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18" w:rsidRDefault="002C6B18"/>
    <w:tbl>
      <w:tblPr>
        <w:tblW w:w="9720"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710"/>
      </w:tblGrid>
      <w:tr w:rsidR="002C6B18" w:rsidRPr="009E1093" w:rsidTr="002C6B18">
        <w:trPr>
          <w:cantSplit/>
          <w:jc w:val="center"/>
        </w:trPr>
        <w:tc>
          <w:tcPr>
            <w:tcW w:w="1170" w:type="dxa"/>
          </w:tcPr>
          <w:p w:rsidR="00186011" w:rsidRDefault="002C6B18">
            <w:pPr>
              <w:rPr>
                <w:rFonts w:ascii="Arial" w:hAnsi="Arial" w:cs="Arial"/>
              </w:rPr>
            </w:pPr>
            <w:proofErr w:type="spellStart"/>
            <w:r w:rsidRPr="009E1093">
              <w:rPr>
                <w:rFonts w:ascii="Arial" w:hAnsi="Arial" w:cs="Arial"/>
                <w:b/>
                <w:bCs/>
                <w:lang w:val="en-CA"/>
              </w:rPr>
              <w:t>Exh</w:t>
            </w:r>
            <w:proofErr w:type="spellEnd"/>
            <w:r w:rsidRPr="009E1093">
              <w:rPr>
                <w:rFonts w:ascii="Arial" w:hAnsi="Arial" w:cs="Arial"/>
                <w:b/>
                <w:bCs/>
                <w:lang w:val="en-CA"/>
              </w:rPr>
              <w:t>.</w:t>
            </w:r>
            <w:r w:rsidR="00D27F99">
              <w:rPr>
                <w:rFonts w:ascii="Arial" w:hAnsi="Arial" w:cs="Arial"/>
                <w:b/>
                <w:bCs/>
                <w:lang w:val="en-CA"/>
              </w:rPr>
              <w:t xml:space="preserve"> J</w:t>
            </w:r>
          </w:p>
          <w:p w:rsidR="00186011" w:rsidRPr="00186011" w:rsidRDefault="00186011" w:rsidP="00186011">
            <w:pPr>
              <w:rPr>
                <w:rFonts w:ascii="Arial" w:hAnsi="Arial" w:cs="Arial"/>
              </w:rPr>
            </w:pPr>
          </w:p>
          <w:p w:rsidR="00186011" w:rsidRPr="00186011" w:rsidRDefault="00186011" w:rsidP="00186011">
            <w:pPr>
              <w:rPr>
                <w:rFonts w:ascii="Arial" w:hAnsi="Arial" w:cs="Arial"/>
              </w:rPr>
            </w:pPr>
          </w:p>
          <w:p w:rsidR="00186011" w:rsidRPr="00186011" w:rsidRDefault="00186011" w:rsidP="00186011">
            <w:pPr>
              <w:rPr>
                <w:rFonts w:ascii="Arial" w:hAnsi="Arial" w:cs="Arial"/>
              </w:rPr>
            </w:pPr>
          </w:p>
          <w:p w:rsidR="00186011" w:rsidRPr="00186011" w:rsidRDefault="00186011" w:rsidP="00186011">
            <w:pPr>
              <w:rPr>
                <w:rFonts w:ascii="Arial" w:hAnsi="Arial" w:cs="Arial"/>
              </w:rPr>
            </w:pPr>
          </w:p>
          <w:p w:rsidR="00186011" w:rsidRPr="00186011" w:rsidRDefault="00186011" w:rsidP="00186011">
            <w:pPr>
              <w:rPr>
                <w:rFonts w:ascii="Arial" w:hAnsi="Arial" w:cs="Arial"/>
              </w:rPr>
            </w:pPr>
          </w:p>
          <w:p w:rsidR="00186011" w:rsidRDefault="00186011" w:rsidP="00186011">
            <w:pPr>
              <w:rPr>
                <w:rFonts w:ascii="Arial" w:hAnsi="Arial" w:cs="Arial"/>
              </w:rPr>
            </w:pPr>
          </w:p>
          <w:p w:rsidR="002C6B18" w:rsidRPr="00186011" w:rsidRDefault="002C6B18" w:rsidP="00186011">
            <w:pPr>
              <w:rPr>
                <w:rFonts w:ascii="Arial" w:hAnsi="Arial" w:cs="Arial"/>
              </w:rPr>
            </w:pPr>
          </w:p>
        </w:tc>
        <w:tc>
          <w:tcPr>
            <w:tcW w:w="6840" w:type="dxa"/>
          </w:tcPr>
          <w:p w:rsidR="002C6B18" w:rsidRPr="009E1093" w:rsidRDefault="00D27F99" w:rsidP="002C6B18">
            <w:pPr>
              <w:jc w:val="center"/>
              <w:rPr>
                <w:rFonts w:ascii="Arial" w:hAnsi="Arial" w:cs="Arial"/>
                <w:b/>
                <w:bCs/>
              </w:rPr>
            </w:pPr>
            <w:r>
              <w:rPr>
                <w:rFonts w:ascii="Arial" w:hAnsi="Arial" w:cs="Arial"/>
                <w:b/>
                <w:bCs/>
              </w:rPr>
              <w:t>Union Gas Limited</w:t>
            </w:r>
          </w:p>
          <w:p w:rsidR="00456357" w:rsidRDefault="00D27F99" w:rsidP="002C6B18">
            <w:pPr>
              <w:jc w:val="center"/>
              <w:rPr>
                <w:rFonts w:ascii="Arial" w:hAnsi="Arial" w:cs="Arial"/>
                <w:b/>
                <w:bCs/>
              </w:rPr>
            </w:pPr>
            <w:r>
              <w:rPr>
                <w:rFonts w:ascii="Arial" w:hAnsi="Arial" w:cs="Arial"/>
                <w:b/>
                <w:bCs/>
              </w:rPr>
              <w:t>EB-201</w:t>
            </w:r>
            <w:r w:rsidR="00186011">
              <w:rPr>
                <w:rFonts w:ascii="Arial" w:hAnsi="Arial" w:cs="Arial"/>
                <w:b/>
                <w:bCs/>
              </w:rPr>
              <w:t>4</w:t>
            </w:r>
            <w:r>
              <w:rPr>
                <w:rFonts w:ascii="Arial" w:hAnsi="Arial" w:cs="Arial"/>
                <w:b/>
                <w:bCs/>
              </w:rPr>
              <w:t>-</w:t>
            </w:r>
            <w:r w:rsidR="00186011">
              <w:rPr>
                <w:rFonts w:ascii="Arial" w:hAnsi="Arial" w:cs="Arial"/>
                <w:b/>
                <w:bCs/>
              </w:rPr>
              <w:t>0012</w:t>
            </w:r>
          </w:p>
          <w:p w:rsidR="003E4646" w:rsidRDefault="00D27F99" w:rsidP="002C6B18">
            <w:pPr>
              <w:jc w:val="center"/>
              <w:rPr>
                <w:rFonts w:ascii="Arial" w:hAnsi="Arial" w:cs="Arial"/>
                <w:b/>
                <w:bCs/>
              </w:rPr>
            </w:pPr>
            <w:r>
              <w:rPr>
                <w:rFonts w:ascii="Arial" w:hAnsi="Arial" w:cs="Arial"/>
                <w:b/>
                <w:bCs/>
              </w:rPr>
              <w:t>Oral Hearing</w:t>
            </w:r>
          </w:p>
          <w:p w:rsidR="006A3DBD" w:rsidRDefault="00D27F99" w:rsidP="002C6B18">
            <w:pPr>
              <w:jc w:val="center"/>
              <w:rPr>
                <w:rFonts w:ascii="Arial" w:hAnsi="Arial" w:cs="Arial"/>
                <w:b/>
                <w:bCs/>
              </w:rPr>
            </w:pPr>
            <w:r>
              <w:rPr>
                <w:rFonts w:ascii="Arial" w:hAnsi="Arial" w:cs="Arial"/>
                <w:b/>
                <w:bCs/>
              </w:rPr>
              <w:t>DATE</w:t>
            </w:r>
          </w:p>
          <w:p w:rsidR="00186011" w:rsidRPr="009E1093" w:rsidRDefault="00186011" w:rsidP="002C6B18">
            <w:pPr>
              <w:jc w:val="center"/>
              <w:rPr>
                <w:rFonts w:ascii="Arial" w:hAnsi="Arial" w:cs="Arial"/>
                <w:b/>
                <w:bCs/>
              </w:rPr>
            </w:pPr>
            <w:r>
              <w:rPr>
                <w:rFonts w:ascii="Arial" w:hAnsi="Arial" w:cs="Arial"/>
                <w:b/>
                <w:bCs/>
              </w:rPr>
              <w:t>November 2</w:t>
            </w:r>
            <w:r w:rsidR="00103668">
              <w:rPr>
                <w:rFonts w:ascii="Arial" w:hAnsi="Arial" w:cs="Arial"/>
                <w:b/>
                <w:bCs/>
              </w:rPr>
              <w:t>4</w:t>
            </w:r>
            <w:r>
              <w:rPr>
                <w:rFonts w:ascii="Arial" w:hAnsi="Arial" w:cs="Arial"/>
                <w:b/>
                <w:bCs/>
              </w:rPr>
              <w:t>, 2014</w:t>
            </w:r>
          </w:p>
          <w:p w:rsidR="002C6B18" w:rsidRDefault="002C6B18" w:rsidP="002C6B18">
            <w:pPr>
              <w:jc w:val="center"/>
              <w:rPr>
                <w:rFonts w:ascii="Arial" w:hAnsi="Arial" w:cs="Arial"/>
                <w:b/>
                <w:bCs/>
              </w:rPr>
            </w:pPr>
            <w:r w:rsidRPr="009E1093">
              <w:rPr>
                <w:rFonts w:ascii="Arial" w:hAnsi="Arial" w:cs="Arial"/>
                <w:b/>
                <w:bCs/>
              </w:rPr>
              <w:t>Undertakings</w:t>
            </w:r>
          </w:p>
          <w:p w:rsidR="00186011" w:rsidRDefault="00186011" w:rsidP="002C6B18">
            <w:pPr>
              <w:jc w:val="center"/>
              <w:rPr>
                <w:rFonts w:ascii="Arial" w:hAnsi="Arial" w:cs="Arial"/>
                <w:b/>
                <w:bCs/>
              </w:rPr>
            </w:pPr>
          </w:p>
          <w:p w:rsidR="002C6B18" w:rsidRPr="009E1093" w:rsidRDefault="002C6B18" w:rsidP="002C6B18">
            <w:pPr>
              <w:jc w:val="center"/>
              <w:rPr>
                <w:rFonts w:ascii="Arial" w:hAnsi="Arial" w:cs="Arial"/>
              </w:rPr>
            </w:pPr>
          </w:p>
        </w:tc>
        <w:tc>
          <w:tcPr>
            <w:tcW w:w="1710" w:type="dxa"/>
          </w:tcPr>
          <w:p w:rsidR="002C6B18" w:rsidRPr="009E1093" w:rsidRDefault="00D27F99">
            <w:pPr>
              <w:jc w:val="center"/>
              <w:rPr>
                <w:rFonts w:ascii="Arial" w:hAnsi="Arial" w:cs="Arial"/>
              </w:rPr>
            </w:pPr>
            <w:r>
              <w:rPr>
                <w:rFonts w:ascii="Arial" w:hAnsi="Arial" w:cs="Arial"/>
                <w:b/>
                <w:bCs/>
                <w:lang w:val="en-CA"/>
              </w:rPr>
              <w:t>Date Filed</w:t>
            </w:r>
          </w:p>
        </w:tc>
      </w:tr>
      <w:tr w:rsidR="000A740A" w:rsidRPr="009E1093" w:rsidTr="002C6B18">
        <w:trPr>
          <w:cantSplit/>
          <w:trHeight w:val="403"/>
          <w:jc w:val="center"/>
        </w:trPr>
        <w:tc>
          <w:tcPr>
            <w:tcW w:w="1170" w:type="dxa"/>
          </w:tcPr>
          <w:p w:rsidR="000A740A" w:rsidRPr="00186011" w:rsidRDefault="00186011">
            <w:pPr>
              <w:rPr>
                <w:rFonts w:ascii="Arial" w:hAnsi="Arial" w:cs="Arial"/>
                <w:b/>
              </w:rPr>
            </w:pPr>
            <w:r w:rsidRPr="00186011">
              <w:rPr>
                <w:rFonts w:ascii="Arial" w:hAnsi="Arial" w:cs="Arial"/>
                <w:b/>
              </w:rPr>
              <w:t>J1.1</w:t>
            </w:r>
          </w:p>
        </w:tc>
        <w:tc>
          <w:tcPr>
            <w:tcW w:w="6840" w:type="dxa"/>
          </w:tcPr>
          <w:p w:rsidR="000A740A" w:rsidRPr="00B65403" w:rsidRDefault="00186011">
            <w:pPr>
              <w:rPr>
                <w:rFonts w:ascii="Courier New" w:hAnsi="Courier New" w:cs="Courier New"/>
                <w:b/>
              </w:rPr>
            </w:pPr>
            <w:r w:rsidRPr="00B65403">
              <w:rPr>
                <w:rFonts w:ascii="Courier New" w:hAnsi="Courier New" w:cs="Courier New"/>
              </w:rPr>
              <w:t>TO CONFIRM THE LEVEL OF INTEREST PAYABLE ON CONSTRUCTION WORK IN PROGRESS, OR EQUIVALENT, PRIOR TO INCLUSION OF ASSETS IN RATE BASE, AND TO CONFIRM IT IS CAPITALIZED AND PUT INTO RATE BASE AT THE SAME TIME AS THE UNDERLYING ASSET</w:t>
            </w:r>
          </w:p>
        </w:tc>
        <w:tc>
          <w:tcPr>
            <w:tcW w:w="1710" w:type="dxa"/>
          </w:tcPr>
          <w:p w:rsidR="000A740A" w:rsidRPr="00073DA5" w:rsidRDefault="00103668" w:rsidP="00073DA5">
            <w:pPr>
              <w:ind w:right="-219"/>
              <w:rPr>
                <w:rFonts w:ascii="Arial" w:hAnsi="Arial" w:cs="Arial"/>
                <w:b/>
              </w:rPr>
            </w:pPr>
            <w:r w:rsidRPr="00073DA5">
              <w:rPr>
                <w:rFonts w:ascii="Arial" w:hAnsi="Arial" w:cs="Arial"/>
                <w:b/>
              </w:rPr>
              <w:t xml:space="preserve">Nov. 27, </w:t>
            </w:r>
            <w:r w:rsidR="00073DA5" w:rsidRPr="00073DA5">
              <w:rPr>
                <w:rFonts w:ascii="Arial" w:hAnsi="Arial" w:cs="Arial"/>
                <w:b/>
              </w:rPr>
              <w:t>2</w:t>
            </w:r>
            <w:r w:rsidRPr="00073DA5">
              <w:rPr>
                <w:rFonts w:ascii="Arial" w:hAnsi="Arial" w:cs="Arial"/>
                <w:b/>
              </w:rPr>
              <w:t>014</w:t>
            </w:r>
          </w:p>
        </w:tc>
      </w:tr>
      <w:tr w:rsidR="002C6B18" w:rsidRPr="009E1093" w:rsidTr="002C6B18">
        <w:trPr>
          <w:cantSplit/>
          <w:trHeight w:val="403"/>
          <w:jc w:val="center"/>
        </w:trPr>
        <w:tc>
          <w:tcPr>
            <w:tcW w:w="1170" w:type="dxa"/>
          </w:tcPr>
          <w:p w:rsidR="002C6B18" w:rsidRPr="009E1093" w:rsidRDefault="002C6B18">
            <w:pPr>
              <w:rPr>
                <w:rFonts w:ascii="Arial" w:hAnsi="Arial" w:cs="Arial"/>
              </w:rPr>
            </w:pPr>
          </w:p>
        </w:tc>
        <w:tc>
          <w:tcPr>
            <w:tcW w:w="6840" w:type="dxa"/>
          </w:tcPr>
          <w:p w:rsidR="002C6B18" w:rsidRPr="009E1093" w:rsidRDefault="002C6B18">
            <w:pPr>
              <w:rPr>
                <w:rFonts w:ascii="Arial" w:hAnsi="Arial" w:cs="Arial"/>
              </w:rPr>
            </w:pPr>
          </w:p>
        </w:tc>
        <w:tc>
          <w:tcPr>
            <w:tcW w:w="1710" w:type="dxa"/>
          </w:tcPr>
          <w:p w:rsidR="002C6B18" w:rsidRPr="009E1093" w:rsidRDefault="002C6B18">
            <w:pPr>
              <w:rPr>
                <w:rFonts w:ascii="Arial" w:hAnsi="Arial" w:cs="Arial"/>
              </w:rPr>
            </w:pPr>
          </w:p>
        </w:tc>
      </w:tr>
      <w:tr w:rsidR="003E4646" w:rsidRPr="009E1093" w:rsidTr="002C6B18">
        <w:trPr>
          <w:cantSplit/>
          <w:trHeight w:val="403"/>
          <w:jc w:val="center"/>
        </w:trPr>
        <w:tc>
          <w:tcPr>
            <w:tcW w:w="1170" w:type="dxa"/>
          </w:tcPr>
          <w:p w:rsidR="003E4646" w:rsidRPr="009E1093" w:rsidRDefault="003E4646">
            <w:pPr>
              <w:rPr>
                <w:rFonts w:ascii="Arial" w:hAnsi="Arial" w:cs="Arial"/>
              </w:rPr>
            </w:pPr>
          </w:p>
        </w:tc>
        <w:tc>
          <w:tcPr>
            <w:tcW w:w="6840" w:type="dxa"/>
          </w:tcPr>
          <w:p w:rsidR="00F45D91" w:rsidRDefault="00F45D91" w:rsidP="00F45D91">
            <w:pPr>
              <w:jc w:val="center"/>
              <w:rPr>
                <w:rFonts w:ascii="Arial" w:hAnsi="Arial" w:cs="Arial"/>
                <w:b/>
                <w:bCs/>
              </w:rPr>
            </w:pPr>
            <w:r>
              <w:rPr>
                <w:rFonts w:ascii="Arial" w:hAnsi="Arial" w:cs="Arial"/>
                <w:b/>
                <w:bCs/>
              </w:rPr>
              <w:t>Oral Hearing</w:t>
            </w:r>
          </w:p>
          <w:p w:rsidR="00F45D91" w:rsidRDefault="00F45D91" w:rsidP="00F45D91">
            <w:pPr>
              <w:jc w:val="center"/>
              <w:rPr>
                <w:rFonts w:ascii="Arial" w:hAnsi="Arial" w:cs="Arial"/>
                <w:b/>
                <w:bCs/>
              </w:rPr>
            </w:pPr>
            <w:r>
              <w:rPr>
                <w:rFonts w:ascii="Arial" w:hAnsi="Arial" w:cs="Arial"/>
                <w:b/>
                <w:bCs/>
              </w:rPr>
              <w:t>DATE</w:t>
            </w:r>
          </w:p>
          <w:p w:rsidR="00F45D91" w:rsidRPr="009E1093" w:rsidRDefault="00F45D91" w:rsidP="00F45D91">
            <w:pPr>
              <w:jc w:val="center"/>
              <w:rPr>
                <w:rFonts w:ascii="Arial" w:hAnsi="Arial" w:cs="Arial"/>
                <w:b/>
                <w:bCs/>
              </w:rPr>
            </w:pPr>
            <w:r>
              <w:rPr>
                <w:rFonts w:ascii="Arial" w:hAnsi="Arial" w:cs="Arial"/>
                <w:b/>
                <w:bCs/>
              </w:rPr>
              <w:t>November 27, 2014</w:t>
            </w:r>
          </w:p>
          <w:p w:rsidR="00F45D91" w:rsidRDefault="00F45D91" w:rsidP="00F45D91">
            <w:pPr>
              <w:jc w:val="center"/>
              <w:rPr>
                <w:rFonts w:ascii="Arial" w:hAnsi="Arial" w:cs="Arial"/>
                <w:b/>
                <w:bCs/>
              </w:rPr>
            </w:pPr>
            <w:r w:rsidRPr="009E1093">
              <w:rPr>
                <w:rFonts w:ascii="Arial" w:hAnsi="Arial" w:cs="Arial"/>
                <w:b/>
                <w:bCs/>
              </w:rPr>
              <w:t>Undertakings</w:t>
            </w:r>
          </w:p>
          <w:p w:rsidR="003E4646" w:rsidRPr="009E1093" w:rsidRDefault="003E4646" w:rsidP="00F45D91">
            <w:pPr>
              <w:jc w:val="center"/>
              <w:rPr>
                <w:rFonts w:ascii="Arial" w:hAnsi="Arial" w:cs="Arial"/>
              </w:rPr>
            </w:pPr>
          </w:p>
        </w:tc>
        <w:tc>
          <w:tcPr>
            <w:tcW w:w="1710" w:type="dxa"/>
          </w:tcPr>
          <w:p w:rsidR="003E4646" w:rsidRPr="009E1093" w:rsidRDefault="003E4646" w:rsidP="003E4646">
            <w:pPr>
              <w:rPr>
                <w:rFonts w:ascii="Arial" w:hAnsi="Arial" w:cs="Arial"/>
              </w:rPr>
            </w:pPr>
          </w:p>
        </w:tc>
      </w:tr>
      <w:tr w:rsidR="003E4646" w:rsidRPr="009E1093" w:rsidTr="002C6B18">
        <w:trPr>
          <w:cantSplit/>
          <w:trHeight w:val="403"/>
          <w:jc w:val="center"/>
        </w:trPr>
        <w:tc>
          <w:tcPr>
            <w:tcW w:w="1170" w:type="dxa"/>
          </w:tcPr>
          <w:p w:rsidR="003E4646" w:rsidRPr="00F45D91" w:rsidRDefault="00F45D91">
            <w:pPr>
              <w:rPr>
                <w:rFonts w:ascii="Arial" w:hAnsi="Arial" w:cs="Arial"/>
                <w:b/>
              </w:rPr>
            </w:pPr>
            <w:r>
              <w:rPr>
                <w:rFonts w:ascii="Arial" w:hAnsi="Arial" w:cs="Arial"/>
                <w:b/>
              </w:rPr>
              <w:t>J2.1</w:t>
            </w:r>
          </w:p>
        </w:tc>
        <w:tc>
          <w:tcPr>
            <w:tcW w:w="6840" w:type="dxa"/>
          </w:tcPr>
          <w:p w:rsidR="003E4646" w:rsidRPr="009E1093" w:rsidRDefault="00F45D91">
            <w:pPr>
              <w:rPr>
                <w:rFonts w:ascii="Arial" w:hAnsi="Arial" w:cs="Arial"/>
              </w:rPr>
            </w:pPr>
            <w:r w:rsidRPr="00103668">
              <w:rPr>
                <w:rFonts w:ascii="Courier New" w:hAnsi="Courier New"/>
                <w:bCs/>
                <w:caps/>
                <w:noProof/>
              </w:rPr>
              <w:t>TO CONFIRM THE MAXIMUM LIQUEFACTION VOLUME, AND THE INCREMENTAL AMOUNT</w:t>
            </w:r>
          </w:p>
        </w:tc>
        <w:tc>
          <w:tcPr>
            <w:tcW w:w="1710" w:type="dxa"/>
          </w:tcPr>
          <w:p w:rsidR="003E4646" w:rsidRPr="00D23DF3" w:rsidRDefault="00D23DF3">
            <w:pPr>
              <w:rPr>
                <w:rFonts w:ascii="Arial" w:hAnsi="Arial" w:cs="Arial"/>
                <w:b/>
              </w:rPr>
            </w:pPr>
            <w:r w:rsidRPr="00D23DF3">
              <w:rPr>
                <w:rFonts w:ascii="Arial" w:hAnsi="Arial" w:cs="Arial"/>
                <w:b/>
              </w:rPr>
              <w:t>Dec. 2, 2014</w:t>
            </w:r>
          </w:p>
        </w:tc>
      </w:tr>
      <w:tr w:rsidR="003E4646" w:rsidRPr="009E1093" w:rsidTr="002C6B18">
        <w:trPr>
          <w:cantSplit/>
          <w:trHeight w:val="403"/>
          <w:jc w:val="center"/>
        </w:trPr>
        <w:tc>
          <w:tcPr>
            <w:tcW w:w="1170" w:type="dxa"/>
          </w:tcPr>
          <w:p w:rsidR="003E4646" w:rsidRPr="009E1093" w:rsidRDefault="003E4646">
            <w:pPr>
              <w:rPr>
                <w:rFonts w:ascii="Arial" w:hAnsi="Arial" w:cs="Arial"/>
              </w:rPr>
            </w:pPr>
          </w:p>
        </w:tc>
        <w:tc>
          <w:tcPr>
            <w:tcW w:w="6840" w:type="dxa"/>
          </w:tcPr>
          <w:p w:rsidR="003E4646" w:rsidRPr="009E1093" w:rsidRDefault="003E4646">
            <w:pPr>
              <w:rPr>
                <w:rFonts w:ascii="Arial" w:hAnsi="Arial" w:cs="Arial"/>
              </w:rPr>
            </w:pPr>
          </w:p>
        </w:tc>
        <w:tc>
          <w:tcPr>
            <w:tcW w:w="1710" w:type="dxa"/>
          </w:tcPr>
          <w:p w:rsidR="003E4646" w:rsidRPr="009E1093" w:rsidRDefault="003E4646">
            <w:pPr>
              <w:rPr>
                <w:rFonts w:ascii="Arial" w:hAnsi="Arial" w:cs="Arial"/>
              </w:rPr>
            </w:pPr>
          </w:p>
        </w:tc>
      </w:tr>
      <w:tr w:rsidR="003E4646" w:rsidRPr="009E1093" w:rsidTr="002C6B18">
        <w:trPr>
          <w:cantSplit/>
          <w:trHeight w:val="403"/>
          <w:jc w:val="center"/>
        </w:trPr>
        <w:tc>
          <w:tcPr>
            <w:tcW w:w="1170" w:type="dxa"/>
          </w:tcPr>
          <w:p w:rsidR="003E4646" w:rsidRPr="00F45D91" w:rsidRDefault="00F45D91">
            <w:pPr>
              <w:rPr>
                <w:rFonts w:ascii="Arial" w:hAnsi="Arial" w:cs="Arial"/>
                <w:b/>
              </w:rPr>
            </w:pPr>
            <w:r w:rsidRPr="00F45D91">
              <w:rPr>
                <w:rFonts w:ascii="Arial" w:hAnsi="Arial" w:cs="Arial"/>
                <w:b/>
              </w:rPr>
              <w:t>J2.2</w:t>
            </w:r>
          </w:p>
        </w:tc>
        <w:tc>
          <w:tcPr>
            <w:tcW w:w="6840" w:type="dxa"/>
          </w:tcPr>
          <w:p w:rsidR="00F45D91" w:rsidRPr="00103668" w:rsidRDefault="00F45D91" w:rsidP="00F45D91">
            <w:pPr>
              <w:widowControl w:val="0"/>
              <w:rPr>
                <w:rFonts w:ascii="Courier New" w:hAnsi="Courier New" w:cs="Courier New"/>
                <w:szCs w:val="20"/>
                <w:lang w:val="x-none" w:eastAsia="x-none"/>
              </w:rPr>
            </w:pPr>
            <w:r w:rsidRPr="00103668">
              <w:rPr>
                <w:rFonts w:ascii="Courier New" w:hAnsi="Courier New" w:cs="Courier New"/>
                <w:szCs w:val="20"/>
                <w:lang w:val="x-none" w:eastAsia="x-none"/>
              </w:rPr>
              <w:t>TO MAKE BEST EFFORTS TO PROVIDE</w:t>
            </w:r>
            <w:r>
              <w:rPr>
                <w:rFonts w:ascii="Courier New" w:hAnsi="Courier New" w:cs="Courier New"/>
                <w:szCs w:val="20"/>
                <w:lang w:val="en-CA" w:eastAsia="x-none"/>
              </w:rPr>
              <w:t xml:space="preserve"> </w:t>
            </w:r>
            <w:r w:rsidRPr="00103668">
              <w:rPr>
                <w:rFonts w:ascii="Courier New" w:hAnsi="Courier New" w:cs="Courier New"/>
                <w:szCs w:val="20"/>
                <w:lang w:val="x-none" w:eastAsia="x-none"/>
              </w:rPr>
              <w:t>A COPY OF THE QUEBEC DECISION CITED BY KPMG, IN ENGLISH</w:t>
            </w:r>
          </w:p>
          <w:p w:rsidR="003E4646" w:rsidRDefault="00F45D91" w:rsidP="00F45D91">
            <w:pPr>
              <w:rPr>
                <w:rFonts w:ascii="Courier New" w:hAnsi="Courier New" w:cs="Courier New"/>
                <w:szCs w:val="20"/>
                <w:lang w:val="en-CA" w:eastAsia="x-none"/>
              </w:rPr>
            </w:pPr>
            <w:r w:rsidRPr="00103668">
              <w:rPr>
                <w:rFonts w:ascii="Courier New" w:hAnsi="Courier New" w:cs="Courier New"/>
                <w:szCs w:val="20"/>
                <w:lang w:val="x-none" w:eastAsia="x-none"/>
              </w:rPr>
              <w:t>IF POSSIBLE</w:t>
            </w:r>
          </w:p>
          <w:p w:rsidR="00F45D91" w:rsidRPr="00F45D91" w:rsidRDefault="00F45D91" w:rsidP="00F45D91">
            <w:pPr>
              <w:rPr>
                <w:rFonts w:ascii="Arial" w:hAnsi="Arial" w:cs="Arial"/>
                <w:lang w:val="en-CA"/>
              </w:rPr>
            </w:pPr>
          </w:p>
        </w:tc>
        <w:tc>
          <w:tcPr>
            <w:tcW w:w="1710" w:type="dxa"/>
          </w:tcPr>
          <w:p w:rsidR="003E4646" w:rsidRPr="009E1093" w:rsidRDefault="00D23DF3">
            <w:pPr>
              <w:rPr>
                <w:rFonts w:ascii="Arial" w:hAnsi="Arial" w:cs="Arial"/>
              </w:rPr>
            </w:pPr>
            <w:r w:rsidRPr="00D23DF3">
              <w:rPr>
                <w:rFonts w:ascii="Arial" w:hAnsi="Arial" w:cs="Arial"/>
                <w:b/>
              </w:rPr>
              <w:t>Dec. 2, 2014</w:t>
            </w:r>
          </w:p>
        </w:tc>
      </w:tr>
      <w:tr w:rsidR="003E4646" w:rsidRPr="009E1093" w:rsidTr="002C6B18">
        <w:trPr>
          <w:cantSplit/>
          <w:trHeight w:val="403"/>
          <w:jc w:val="center"/>
        </w:trPr>
        <w:tc>
          <w:tcPr>
            <w:tcW w:w="1170" w:type="dxa"/>
          </w:tcPr>
          <w:p w:rsidR="003E4646" w:rsidRPr="00F45D91" w:rsidRDefault="00F45D91">
            <w:pPr>
              <w:rPr>
                <w:rFonts w:ascii="Arial" w:hAnsi="Arial" w:cs="Arial"/>
                <w:b/>
              </w:rPr>
            </w:pPr>
            <w:r>
              <w:rPr>
                <w:rFonts w:ascii="Arial" w:hAnsi="Arial" w:cs="Arial"/>
                <w:b/>
              </w:rPr>
              <w:t>J2.3</w:t>
            </w:r>
          </w:p>
        </w:tc>
        <w:tc>
          <w:tcPr>
            <w:tcW w:w="6840" w:type="dxa"/>
          </w:tcPr>
          <w:p w:rsidR="003E4646" w:rsidRDefault="00F45D91">
            <w:pPr>
              <w:rPr>
                <w:rFonts w:ascii="Courier New" w:hAnsi="Courier New" w:cs="Courier New"/>
                <w:szCs w:val="20"/>
                <w:lang w:val="en-CA" w:eastAsia="x-none"/>
              </w:rPr>
            </w:pPr>
            <w:r w:rsidRPr="00103668">
              <w:rPr>
                <w:rFonts w:ascii="Courier New" w:hAnsi="Courier New" w:cs="Courier New"/>
                <w:szCs w:val="20"/>
                <w:lang w:val="x-none" w:eastAsia="x-none"/>
              </w:rPr>
              <w:t>TO UPDATE THE TABLE PROVIDED IN RESPONSE TO ENERGY PROBE NO. 9, TO REFLECT CURRENT COMMITMENTS IN THE FORECAST</w:t>
            </w:r>
          </w:p>
          <w:p w:rsidR="00F45D91" w:rsidRPr="00F45D91" w:rsidRDefault="00F45D91">
            <w:pPr>
              <w:rPr>
                <w:rFonts w:ascii="Arial" w:hAnsi="Arial" w:cs="Arial"/>
                <w:lang w:val="en-CA"/>
              </w:rPr>
            </w:pPr>
          </w:p>
        </w:tc>
        <w:tc>
          <w:tcPr>
            <w:tcW w:w="1710" w:type="dxa"/>
          </w:tcPr>
          <w:p w:rsidR="003E4646" w:rsidRPr="009E1093" w:rsidRDefault="00D23DF3">
            <w:pPr>
              <w:rPr>
                <w:rFonts w:ascii="Arial" w:hAnsi="Arial" w:cs="Arial"/>
              </w:rPr>
            </w:pPr>
            <w:r w:rsidRPr="00D23DF3">
              <w:rPr>
                <w:rFonts w:ascii="Arial" w:hAnsi="Arial" w:cs="Arial"/>
                <w:b/>
              </w:rPr>
              <w:t>Dec. 2, 2014</w:t>
            </w:r>
          </w:p>
        </w:tc>
      </w:tr>
      <w:tr w:rsidR="003E4646" w:rsidRPr="009E1093" w:rsidTr="00713318">
        <w:trPr>
          <w:cantSplit/>
          <w:trHeight w:val="2052"/>
          <w:jc w:val="center"/>
        </w:trPr>
        <w:tc>
          <w:tcPr>
            <w:tcW w:w="1170" w:type="dxa"/>
          </w:tcPr>
          <w:p w:rsidR="00B65403" w:rsidRDefault="00F45D91">
            <w:pPr>
              <w:rPr>
                <w:rFonts w:ascii="Arial" w:hAnsi="Arial" w:cs="Arial"/>
                <w:b/>
              </w:rPr>
            </w:pPr>
            <w:r>
              <w:rPr>
                <w:rFonts w:ascii="Arial" w:hAnsi="Arial" w:cs="Arial"/>
                <w:b/>
              </w:rPr>
              <w:t>J2.4</w:t>
            </w:r>
          </w:p>
          <w:p w:rsidR="00B65403" w:rsidRPr="00B65403" w:rsidRDefault="00B65403" w:rsidP="00B65403">
            <w:pPr>
              <w:rPr>
                <w:rFonts w:ascii="Arial" w:hAnsi="Arial" w:cs="Arial"/>
              </w:rPr>
            </w:pPr>
          </w:p>
          <w:p w:rsidR="00B65403" w:rsidRPr="00B65403" w:rsidRDefault="00B65403" w:rsidP="00B65403">
            <w:pPr>
              <w:rPr>
                <w:rFonts w:ascii="Arial" w:hAnsi="Arial" w:cs="Arial"/>
              </w:rPr>
            </w:pPr>
          </w:p>
          <w:p w:rsidR="00B65403" w:rsidRDefault="00B65403" w:rsidP="00B65403">
            <w:pPr>
              <w:rPr>
                <w:rFonts w:ascii="Arial" w:hAnsi="Arial" w:cs="Arial"/>
              </w:rPr>
            </w:pPr>
          </w:p>
          <w:p w:rsidR="003E4646" w:rsidRPr="00B65403" w:rsidRDefault="00B65403" w:rsidP="00B65403">
            <w:pPr>
              <w:rPr>
                <w:rFonts w:ascii="Arial" w:hAnsi="Arial" w:cs="Arial"/>
                <w:b/>
              </w:rPr>
            </w:pPr>
            <w:r>
              <w:rPr>
                <w:rFonts w:ascii="Arial" w:hAnsi="Arial" w:cs="Arial"/>
                <w:b/>
              </w:rPr>
              <w:t>J2.5</w:t>
            </w:r>
          </w:p>
        </w:tc>
        <w:tc>
          <w:tcPr>
            <w:tcW w:w="6840" w:type="dxa"/>
          </w:tcPr>
          <w:p w:rsidR="00F45D91" w:rsidRPr="00103668" w:rsidRDefault="00F45D91" w:rsidP="00F45D91">
            <w:pPr>
              <w:widowControl w:val="0"/>
              <w:rPr>
                <w:rFonts w:ascii="Courier New" w:hAnsi="Courier New" w:cs="Courier New"/>
                <w:szCs w:val="20"/>
                <w:lang w:val="x-none" w:eastAsia="x-none"/>
              </w:rPr>
            </w:pPr>
            <w:r w:rsidRPr="00103668">
              <w:rPr>
                <w:rFonts w:ascii="Courier New" w:hAnsi="Courier New" w:cs="Courier New"/>
                <w:szCs w:val="20"/>
                <w:lang w:val="x-none" w:eastAsia="x-none"/>
              </w:rPr>
              <w:t>TO UPDATE THE TABLE PROVIDED IN RESPONSE TO ENERGY PROBE NO. 10, TO REFLECT THE SHIFT</w:t>
            </w:r>
          </w:p>
          <w:p w:rsidR="00F45D91" w:rsidRDefault="00F45D91" w:rsidP="00F45D91">
            <w:pPr>
              <w:rPr>
                <w:rFonts w:ascii="Courier New" w:hAnsi="Courier New" w:cs="Courier New"/>
                <w:szCs w:val="20"/>
                <w:lang w:val="en-CA" w:eastAsia="x-none"/>
              </w:rPr>
            </w:pPr>
            <w:r w:rsidRPr="00103668">
              <w:rPr>
                <w:rFonts w:ascii="Courier New" w:hAnsi="Courier New" w:cs="Courier New"/>
                <w:szCs w:val="20"/>
                <w:lang w:val="x-none" w:eastAsia="x-none"/>
              </w:rPr>
              <w:t>IN YEARS</w:t>
            </w:r>
          </w:p>
          <w:p w:rsidR="00B65403" w:rsidRDefault="00B65403" w:rsidP="00F45D91">
            <w:pPr>
              <w:rPr>
                <w:rFonts w:ascii="Courier New" w:hAnsi="Courier New" w:cs="Courier New"/>
                <w:szCs w:val="20"/>
                <w:lang w:val="en-CA" w:eastAsia="x-none"/>
              </w:rPr>
            </w:pPr>
          </w:p>
          <w:p w:rsidR="00B65403" w:rsidRPr="00B65403" w:rsidRDefault="00B65403" w:rsidP="00F45D91">
            <w:pPr>
              <w:rPr>
                <w:rFonts w:ascii="Arial" w:hAnsi="Arial" w:cs="Arial"/>
                <w:lang w:val="en-CA"/>
              </w:rPr>
            </w:pPr>
            <w:r>
              <w:rPr>
                <w:rFonts w:ascii="Courier New" w:hAnsi="Courier New" w:cs="Courier New"/>
                <w:szCs w:val="20"/>
                <w:lang w:val="en-CA" w:eastAsia="x-none"/>
              </w:rPr>
              <w:t>TO UPDATE THE TABLE PROVIDED IN RESPONSE TO BOMA NO. 10, TO REFLECT THE CURRENT STATE OF COMMODITY PRICES</w:t>
            </w:r>
          </w:p>
        </w:tc>
        <w:tc>
          <w:tcPr>
            <w:tcW w:w="1710" w:type="dxa"/>
          </w:tcPr>
          <w:p w:rsidR="00D23DF3" w:rsidRDefault="00D23DF3">
            <w:pPr>
              <w:rPr>
                <w:rFonts w:ascii="Arial" w:hAnsi="Arial" w:cs="Arial"/>
              </w:rPr>
            </w:pPr>
            <w:r w:rsidRPr="00D23DF3">
              <w:rPr>
                <w:rFonts w:ascii="Arial" w:hAnsi="Arial" w:cs="Arial"/>
                <w:b/>
              </w:rPr>
              <w:t>Dec. 2, 2014</w:t>
            </w:r>
          </w:p>
          <w:p w:rsidR="00D23DF3" w:rsidRPr="00D23DF3" w:rsidRDefault="00D23DF3" w:rsidP="00D23DF3">
            <w:pPr>
              <w:rPr>
                <w:rFonts w:ascii="Arial" w:hAnsi="Arial" w:cs="Arial"/>
              </w:rPr>
            </w:pPr>
          </w:p>
          <w:p w:rsidR="00D23DF3" w:rsidRPr="00D23DF3" w:rsidRDefault="00D23DF3" w:rsidP="00D23DF3">
            <w:pPr>
              <w:rPr>
                <w:rFonts w:ascii="Arial" w:hAnsi="Arial" w:cs="Arial"/>
              </w:rPr>
            </w:pPr>
          </w:p>
          <w:p w:rsidR="00D23DF3" w:rsidRDefault="00D23DF3" w:rsidP="00D23DF3">
            <w:pPr>
              <w:rPr>
                <w:rFonts w:ascii="Arial" w:hAnsi="Arial" w:cs="Arial"/>
              </w:rPr>
            </w:pPr>
          </w:p>
          <w:p w:rsidR="003E4646" w:rsidRPr="00D23DF3" w:rsidRDefault="00D23DF3" w:rsidP="00D23DF3">
            <w:pPr>
              <w:rPr>
                <w:rFonts w:ascii="Arial" w:hAnsi="Arial" w:cs="Arial"/>
              </w:rPr>
            </w:pPr>
            <w:r w:rsidRPr="00D23DF3">
              <w:rPr>
                <w:rFonts w:ascii="Arial" w:hAnsi="Arial" w:cs="Arial"/>
                <w:b/>
              </w:rPr>
              <w:t>Dec. 2, 2014</w:t>
            </w:r>
          </w:p>
        </w:tc>
      </w:tr>
    </w:tbl>
    <w:p w:rsidR="00F45D91" w:rsidRPr="00477AF2" w:rsidRDefault="00F45D91" w:rsidP="00477AF2">
      <w:pPr>
        <w:tabs>
          <w:tab w:val="left" w:pos="975"/>
          <w:tab w:val="left" w:pos="1575"/>
          <w:tab w:val="left" w:pos="7950"/>
        </w:tabs>
        <w:ind w:right="-138"/>
        <w:rPr>
          <w:rFonts w:ascii="Courier New" w:hAnsi="Courier New" w:cs="Courier New"/>
          <w:b/>
          <w:szCs w:val="20"/>
          <w:lang w:val="en-CA" w:eastAsia="x-none"/>
        </w:rPr>
      </w:pPr>
      <w:r>
        <w:rPr>
          <w:rFonts w:ascii="Arial" w:hAnsi="Arial" w:cs="Arial"/>
          <w:b/>
        </w:rPr>
        <w:t xml:space="preserve">J2.6 </w:t>
      </w:r>
      <w:r>
        <w:rPr>
          <w:rFonts w:ascii="Arial" w:hAnsi="Arial" w:cs="Arial"/>
          <w:b/>
        </w:rPr>
        <w:tab/>
      </w:r>
      <w:r w:rsidR="00B65403">
        <w:rPr>
          <w:rFonts w:ascii="Arial" w:hAnsi="Arial" w:cs="Arial"/>
          <w:b/>
        </w:rPr>
        <w:t xml:space="preserve"> </w:t>
      </w:r>
      <w:r w:rsidRPr="00103668">
        <w:rPr>
          <w:rFonts w:ascii="Courier New" w:hAnsi="Courier New" w:cs="Courier New"/>
          <w:szCs w:val="20"/>
          <w:lang w:val="x-none" w:eastAsia="x-none"/>
        </w:rPr>
        <w:t xml:space="preserve">TO EXPLAIN THE COST CONSEQUENCES OF THE </w:t>
      </w:r>
      <w:r w:rsidR="00D23DF3">
        <w:rPr>
          <w:rFonts w:ascii="Courier New" w:hAnsi="Courier New" w:cs="Courier New"/>
          <w:szCs w:val="20"/>
          <w:lang w:val="x-none" w:eastAsia="x-none"/>
        </w:rPr>
        <w:tab/>
      </w:r>
      <w:r w:rsidR="00477AF2" w:rsidRPr="00F30482">
        <w:rPr>
          <w:rFonts w:ascii="Arial" w:hAnsi="Arial" w:cs="Arial"/>
          <w:b/>
          <w:szCs w:val="20"/>
          <w:lang w:val="en-CA" w:eastAsia="x-none"/>
        </w:rPr>
        <w:t>Dec.4</w:t>
      </w:r>
      <w:proofErr w:type="gramStart"/>
      <w:r w:rsidR="00477AF2" w:rsidRPr="00F30482">
        <w:rPr>
          <w:rFonts w:ascii="Arial" w:hAnsi="Arial" w:cs="Arial"/>
          <w:b/>
          <w:szCs w:val="20"/>
          <w:lang w:val="en-CA" w:eastAsia="x-none"/>
        </w:rPr>
        <w:t>,2014</w:t>
      </w:r>
      <w:proofErr w:type="gramEnd"/>
    </w:p>
    <w:p w:rsidR="00F45D91" w:rsidRPr="00103668" w:rsidRDefault="00F45D91" w:rsidP="00F45D91">
      <w:pPr>
        <w:tabs>
          <w:tab w:val="left" w:pos="1035"/>
          <w:tab w:val="left" w:pos="1575"/>
        </w:tabs>
        <w:rPr>
          <w:rFonts w:ascii="Courier New" w:hAnsi="Courier New" w:cs="Courier New"/>
          <w:szCs w:val="20"/>
          <w:lang w:val="x-none" w:eastAsia="x-none"/>
        </w:rPr>
      </w:pPr>
      <w:r>
        <w:rPr>
          <w:rFonts w:ascii="Courier New" w:hAnsi="Courier New" w:cs="Courier New"/>
          <w:szCs w:val="20"/>
          <w:lang w:val="en-CA" w:eastAsia="x-none"/>
        </w:rPr>
        <w:tab/>
      </w:r>
      <w:r w:rsidRPr="00103668">
        <w:rPr>
          <w:rFonts w:ascii="Courier New" w:hAnsi="Courier New" w:cs="Courier New"/>
          <w:szCs w:val="20"/>
          <w:lang w:val="x-none" w:eastAsia="x-none"/>
        </w:rPr>
        <w:t>APPLICANT'S PROPOSAL, WITH AND WITHOUT SECTION</w:t>
      </w:r>
    </w:p>
    <w:p w:rsidR="009E1093" w:rsidRPr="00F45D91" w:rsidRDefault="00F45D91" w:rsidP="00B65403">
      <w:pPr>
        <w:ind w:firstLine="720"/>
        <w:rPr>
          <w:rFonts w:ascii="Arial" w:hAnsi="Arial" w:cs="Arial"/>
        </w:rPr>
      </w:pPr>
      <w:r>
        <w:rPr>
          <w:rFonts w:ascii="Courier New" w:hAnsi="Courier New" w:cs="Courier New"/>
          <w:szCs w:val="20"/>
          <w:lang w:val="en-CA" w:eastAsia="x-none"/>
        </w:rPr>
        <w:t xml:space="preserve"> </w:t>
      </w:r>
      <w:r w:rsidR="00B65403">
        <w:rPr>
          <w:rFonts w:ascii="Courier New" w:hAnsi="Courier New" w:cs="Courier New"/>
          <w:szCs w:val="20"/>
          <w:lang w:val="en-CA" w:eastAsia="x-none"/>
        </w:rPr>
        <w:t xml:space="preserve"> </w:t>
      </w:r>
      <w:r w:rsidRPr="00103668">
        <w:rPr>
          <w:rFonts w:ascii="Courier New" w:hAnsi="Courier New" w:cs="Courier New"/>
          <w:szCs w:val="20"/>
          <w:lang w:val="x-none" w:eastAsia="x-none"/>
        </w:rPr>
        <w:t>29 APPROVAL</w:t>
      </w:r>
      <w:bookmarkStart w:id="0" w:name="_GoBack"/>
      <w:bookmarkEnd w:id="0"/>
    </w:p>
    <w:sectPr w:rsidR="009E1093" w:rsidRPr="00F45D91" w:rsidSect="00002BDB">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40"/>
    <w:rsid w:val="00002BDB"/>
    <w:rsid w:val="00073DA5"/>
    <w:rsid w:val="000A740A"/>
    <w:rsid w:val="00103668"/>
    <w:rsid w:val="00186011"/>
    <w:rsid w:val="0029565B"/>
    <w:rsid w:val="002C6B18"/>
    <w:rsid w:val="003E4646"/>
    <w:rsid w:val="00456357"/>
    <w:rsid w:val="00477AF2"/>
    <w:rsid w:val="005F71FD"/>
    <w:rsid w:val="006367E0"/>
    <w:rsid w:val="006A3DBD"/>
    <w:rsid w:val="00713318"/>
    <w:rsid w:val="009E1093"/>
    <w:rsid w:val="00B65403"/>
    <w:rsid w:val="00BE5CA0"/>
    <w:rsid w:val="00CC2B31"/>
    <w:rsid w:val="00D23DF3"/>
    <w:rsid w:val="00D27F99"/>
    <w:rsid w:val="00F11040"/>
    <w:rsid w:val="00F30482"/>
    <w:rsid w:val="00F45D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 w:type="paragraph" w:styleId="BalloonText">
    <w:name w:val="Balloon Text"/>
    <w:basedOn w:val="Normal"/>
    <w:link w:val="BalloonTextChar"/>
    <w:rsid w:val="00477AF2"/>
    <w:rPr>
      <w:rFonts w:ascii="Tahoma" w:hAnsi="Tahoma" w:cs="Tahoma"/>
      <w:sz w:val="16"/>
      <w:szCs w:val="16"/>
    </w:rPr>
  </w:style>
  <w:style w:type="character" w:customStyle="1" w:styleId="BalloonTextChar">
    <w:name w:val="Balloon Text Char"/>
    <w:basedOn w:val="DefaultParagraphFont"/>
    <w:link w:val="BalloonText"/>
    <w:rsid w:val="00477AF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 w:type="paragraph" w:styleId="BalloonText">
    <w:name w:val="Balloon Text"/>
    <w:basedOn w:val="Normal"/>
    <w:link w:val="BalloonTextChar"/>
    <w:rsid w:val="00477AF2"/>
    <w:rPr>
      <w:rFonts w:ascii="Tahoma" w:hAnsi="Tahoma" w:cs="Tahoma"/>
      <w:sz w:val="16"/>
      <w:szCs w:val="16"/>
    </w:rPr>
  </w:style>
  <w:style w:type="character" w:customStyle="1" w:styleId="BalloonTextChar">
    <w:name w:val="Balloon Text Char"/>
    <w:basedOn w:val="DefaultParagraphFont"/>
    <w:link w:val="BalloonText"/>
    <w:rsid w:val="00477AF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938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UNION GAS LIMITED</vt:lpstr>
    </vt:vector>
  </TitlesOfParts>
  <Company>OEB</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GAS LIMITED</dc:title>
  <dc:creator>Noreen Woodall</dc:creator>
  <cp:lastModifiedBy>Susi Vogt</cp:lastModifiedBy>
  <cp:revision>2</cp:revision>
  <cp:lastPrinted>2014-12-05T20:35:00Z</cp:lastPrinted>
  <dcterms:created xsi:type="dcterms:W3CDTF">2014-12-05T20:37:00Z</dcterms:created>
  <dcterms:modified xsi:type="dcterms:W3CDTF">2014-12-05T20:37:00Z</dcterms:modified>
</cp:coreProperties>
</file>