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19" w:rsidRPr="003917AB" w:rsidRDefault="00ED69E8" w:rsidP="003917AB">
      <w:pPr>
        <w:spacing w:after="0"/>
        <w:jc w:val="center"/>
        <w:rPr>
          <w:rFonts w:ascii="Arial" w:hAnsi="Arial" w:cs="Arial"/>
          <w:sz w:val="24"/>
          <w:szCs w:val="24"/>
        </w:rPr>
      </w:pPr>
      <w:r w:rsidRPr="003917AB">
        <w:rPr>
          <w:rFonts w:ascii="Arial" w:hAnsi="Arial" w:cs="Arial"/>
          <w:sz w:val="24"/>
          <w:szCs w:val="24"/>
        </w:rPr>
        <w:t>Rideau St. Lawrence Distribution Inc. (“Rideau”)</w:t>
      </w:r>
    </w:p>
    <w:p w:rsidR="00ED69E8" w:rsidRDefault="00ED69E8" w:rsidP="003917AB">
      <w:pPr>
        <w:spacing w:after="0"/>
        <w:jc w:val="center"/>
      </w:pPr>
    </w:p>
    <w:p w:rsidR="00ED69E8" w:rsidRPr="003917AB" w:rsidRDefault="00ED69E8" w:rsidP="003917AB">
      <w:pPr>
        <w:spacing w:after="0"/>
        <w:jc w:val="center"/>
        <w:rPr>
          <w:rFonts w:ascii="Arial" w:hAnsi="Arial" w:cs="Arial"/>
          <w:sz w:val="24"/>
          <w:szCs w:val="24"/>
        </w:rPr>
      </w:pPr>
      <w:r w:rsidRPr="003917AB">
        <w:rPr>
          <w:rFonts w:ascii="Arial" w:hAnsi="Arial" w:cs="Arial"/>
          <w:sz w:val="24"/>
          <w:szCs w:val="24"/>
        </w:rPr>
        <w:t>EB-2014-0111</w:t>
      </w:r>
    </w:p>
    <w:p w:rsidR="00ED69E8" w:rsidRPr="003917AB" w:rsidRDefault="00ED69E8" w:rsidP="003917AB">
      <w:pPr>
        <w:spacing w:after="0"/>
        <w:jc w:val="center"/>
        <w:rPr>
          <w:rFonts w:ascii="Arial" w:hAnsi="Arial" w:cs="Arial"/>
          <w:sz w:val="24"/>
          <w:szCs w:val="24"/>
        </w:rPr>
      </w:pPr>
    </w:p>
    <w:p w:rsidR="00ED69E8" w:rsidRPr="003917AB" w:rsidRDefault="00ED69E8" w:rsidP="003917AB">
      <w:pPr>
        <w:spacing w:after="0"/>
        <w:jc w:val="center"/>
        <w:rPr>
          <w:rFonts w:ascii="Arial" w:hAnsi="Arial" w:cs="Arial"/>
          <w:sz w:val="24"/>
          <w:szCs w:val="24"/>
        </w:rPr>
      </w:pPr>
      <w:r w:rsidRPr="003917AB">
        <w:rPr>
          <w:rFonts w:ascii="Arial" w:hAnsi="Arial" w:cs="Arial"/>
          <w:sz w:val="24"/>
          <w:szCs w:val="24"/>
        </w:rPr>
        <w:t>Response to Application Analysis</w:t>
      </w:r>
    </w:p>
    <w:p w:rsidR="00ED69E8" w:rsidRPr="003917AB" w:rsidRDefault="00ED69E8" w:rsidP="00ED69E8">
      <w:pPr>
        <w:spacing w:after="0"/>
        <w:rPr>
          <w:rFonts w:ascii="Arial" w:hAnsi="Arial" w:cs="Arial"/>
          <w:sz w:val="24"/>
          <w:szCs w:val="24"/>
        </w:rPr>
      </w:pPr>
    </w:p>
    <w:p w:rsidR="00ED69E8" w:rsidRPr="003917AB" w:rsidRDefault="00ED69E8" w:rsidP="00F20605">
      <w:pPr>
        <w:pStyle w:val="ListParagraph"/>
        <w:numPr>
          <w:ilvl w:val="0"/>
          <w:numId w:val="3"/>
        </w:numPr>
        <w:spacing w:after="0"/>
        <w:rPr>
          <w:rFonts w:ascii="Arial" w:hAnsi="Arial" w:cs="Arial"/>
          <w:sz w:val="24"/>
          <w:szCs w:val="24"/>
        </w:rPr>
      </w:pPr>
    </w:p>
    <w:p w:rsidR="00F20605" w:rsidRDefault="00F20605" w:rsidP="00ED69E8">
      <w:pPr>
        <w:spacing w:after="0"/>
      </w:pPr>
    </w:p>
    <w:p w:rsidR="00F20605" w:rsidRPr="00BC6CAC" w:rsidRDefault="00F20605" w:rsidP="00F20605">
      <w:pPr>
        <w:pStyle w:val="ListParagraph"/>
        <w:numPr>
          <w:ilvl w:val="0"/>
          <w:numId w:val="2"/>
        </w:numPr>
        <w:tabs>
          <w:tab w:val="left" w:pos="426"/>
        </w:tabs>
        <w:ind w:left="0" w:firstLine="0"/>
        <w:rPr>
          <w:rFonts w:ascii="Arial" w:hAnsi="Arial" w:cs="Arial"/>
          <w:sz w:val="24"/>
          <w:szCs w:val="24"/>
        </w:rPr>
      </w:pPr>
      <w:r w:rsidRPr="00BC6CAC">
        <w:rPr>
          <w:rFonts w:ascii="Arial" w:hAnsi="Arial" w:cs="Arial"/>
          <w:sz w:val="24"/>
          <w:szCs w:val="24"/>
        </w:rPr>
        <w:t>Board staff notes that for each Group 1 Account:</w:t>
      </w:r>
    </w:p>
    <w:p w:rsidR="00F20605" w:rsidRDefault="00F20605" w:rsidP="00F20605">
      <w:pPr>
        <w:pStyle w:val="ListParagraph"/>
        <w:tabs>
          <w:tab w:val="left" w:pos="426"/>
        </w:tabs>
        <w:ind w:left="0"/>
        <w:rPr>
          <w:rFonts w:ascii="Arial" w:hAnsi="Arial" w:cs="Arial"/>
          <w:sz w:val="24"/>
          <w:szCs w:val="24"/>
        </w:rPr>
      </w:pPr>
    </w:p>
    <w:p w:rsidR="00F20605" w:rsidRDefault="00F20605" w:rsidP="00F20605">
      <w:pPr>
        <w:pStyle w:val="ListParagraph"/>
        <w:tabs>
          <w:tab w:val="left" w:pos="426"/>
        </w:tabs>
        <w:ind w:left="426"/>
        <w:rPr>
          <w:rFonts w:ascii="Arial" w:hAnsi="Arial" w:cs="Arial"/>
          <w:sz w:val="24"/>
          <w:szCs w:val="24"/>
        </w:rPr>
      </w:pPr>
      <w:r>
        <w:rPr>
          <w:rFonts w:ascii="Arial" w:hAnsi="Arial" w:cs="Arial"/>
          <w:sz w:val="24"/>
          <w:szCs w:val="24"/>
        </w:rPr>
        <w:t xml:space="preserve">“The Board-Approved disposition during 2013” (Columns </w:t>
      </w:r>
      <w:proofErr w:type="gramStart"/>
      <w:r>
        <w:rPr>
          <w:rFonts w:ascii="Arial" w:hAnsi="Arial" w:cs="Arial"/>
          <w:sz w:val="24"/>
          <w:szCs w:val="24"/>
        </w:rPr>
        <w:t>AN and</w:t>
      </w:r>
      <w:proofErr w:type="gramEnd"/>
      <w:r>
        <w:rPr>
          <w:rFonts w:ascii="Arial" w:hAnsi="Arial" w:cs="Arial"/>
          <w:sz w:val="24"/>
          <w:szCs w:val="24"/>
        </w:rPr>
        <w:t xml:space="preserve"> AV) in the Rate Generator Model does not reconcile with the “Principal Balance A” and Interest Balance B” in the 2013 IRM Decision and Order.</w:t>
      </w:r>
    </w:p>
    <w:p w:rsidR="00F20605" w:rsidRDefault="00F20605" w:rsidP="00F20605">
      <w:pPr>
        <w:tabs>
          <w:tab w:val="left" w:pos="426"/>
        </w:tabs>
        <w:ind w:left="426"/>
        <w:rPr>
          <w:rFonts w:ascii="Arial" w:hAnsi="Arial" w:cs="Arial"/>
          <w:sz w:val="24"/>
          <w:szCs w:val="24"/>
        </w:rPr>
      </w:pPr>
      <w:r>
        <w:rPr>
          <w:rFonts w:ascii="Arial" w:hAnsi="Arial" w:cs="Arial"/>
          <w:sz w:val="24"/>
          <w:szCs w:val="24"/>
        </w:rPr>
        <w:t>If the input into the Rate Generator model is an error, please make any necessary updates to the model.</w:t>
      </w:r>
    </w:p>
    <w:p w:rsidR="00F20605" w:rsidRDefault="00F20605" w:rsidP="00F20605">
      <w:pPr>
        <w:tabs>
          <w:tab w:val="left" w:pos="426"/>
        </w:tabs>
        <w:ind w:left="426"/>
        <w:rPr>
          <w:rFonts w:ascii="Arial" w:hAnsi="Arial" w:cs="Arial"/>
          <w:sz w:val="24"/>
          <w:szCs w:val="24"/>
        </w:rPr>
      </w:pPr>
    </w:p>
    <w:p w:rsidR="00F20605" w:rsidRDefault="00F20605" w:rsidP="00F20605">
      <w:pPr>
        <w:tabs>
          <w:tab w:val="left" w:pos="426"/>
        </w:tabs>
        <w:ind w:left="426"/>
        <w:rPr>
          <w:rFonts w:ascii="Arial" w:hAnsi="Arial" w:cs="Arial"/>
          <w:sz w:val="24"/>
          <w:szCs w:val="24"/>
        </w:rPr>
      </w:pPr>
      <w:r>
        <w:rPr>
          <w:rFonts w:ascii="Arial" w:hAnsi="Arial" w:cs="Arial"/>
          <w:sz w:val="24"/>
          <w:szCs w:val="24"/>
        </w:rPr>
        <w:t>Response:  The totals do not balance betw</w:t>
      </w:r>
      <w:r w:rsidR="00733EE3">
        <w:rPr>
          <w:rFonts w:ascii="Arial" w:hAnsi="Arial" w:cs="Arial"/>
          <w:sz w:val="24"/>
          <w:szCs w:val="24"/>
        </w:rPr>
        <w:t>een the two documents because Rideau</w:t>
      </w:r>
      <w:r>
        <w:rPr>
          <w:rFonts w:ascii="Arial" w:hAnsi="Arial" w:cs="Arial"/>
          <w:sz w:val="24"/>
          <w:szCs w:val="24"/>
        </w:rPr>
        <w:t xml:space="preserve"> did not include “Disposition and Recovery of Regulatory Balances (2010)</w:t>
      </w:r>
      <w:r w:rsidR="00733EE3">
        <w:rPr>
          <w:rFonts w:ascii="Arial" w:hAnsi="Arial" w:cs="Arial"/>
          <w:sz w:val="24"/>
          <w:szCs w:val="24"/>
        </w:rPr>
        <w:t>”</w:t>
      </w:r>
      <w:bookmarkStart w:id="0" w:name="_GoBack"/>
      <w:bookmarkEnd w:id="0"/>
      <w:r>
        <w:rPr>
          <w:rFonts w:ascii="Arial" w:hAnsi="Arial" w:cs="Arial"/>
          <w:sz w:val="24"/>
          <w:szCs w:val="24"/>
        </w:rPr>
        <w:t xml:space="preserve"> in the Rate Generator.</w:t>
      </w:r>
    </w:p>
    <w:p w:rsidR="00F20605" w:rsidRDefault="00FA38C6" w:rsidP="00F20605">
      <w:pPr>
        <w:tabs>
          <w:tab w:val="left" w:pos="426"/>
        </w:tabs>
        <w:ind w:left="426"/>
        <w:rPr>
          <w:rFonts w:ascii="Arial" w:hAnsi="Arial" w:cs="Arial"/>
          <w:sz w:val="24"/>
          <w:szCs w:val="24"/>
        </w:rPr>
      </w:pPr>
      <w:r>
        <w:rPr>
          <w:rFonts w:ascii="Arial" w:hAnsi="Arial" w:cs="Arial"/>
          <w:sz w:val="24"/>
          <w:szCs w:val="24"/>
        </w:rPr>
        <w:t>There is a</w:t>
      </w:r>
      <w:r w:rsidR="00F20605">
        <w:rPr>
          <w:rFonts w:ascii="Arial" w:hAnsi="Arial" w:cs="Arial"/>
          <w:sz w:val="24"/>
          <w:szCs w:val="24"/>
        </w:rPr>
        <w:t xml:space="preserve"> reason for the exclusion of this account.  During 2013, Rideau was subject to a Regulatory Audit of accounts 1588,</w:t>
      </w:r>
      <w:r w:rsidR="00661F94">
        <w:rPr>
          <w:rFonts w:ascii="Arial" w:hAnsi="Arial" w:cs="Arial"/>
          <w:sz w:val="24"/>
          <w:szCs w:val="24"/>
        </w:rPr>
        <w:t xml:space="preserve"> </w:t>
      </w:r>
      <w:r w:rsidR="007E5A5C">
        <w:rPr>
          <w:rFonts w:ascii="Arial" w:hAnsi="Arial" w:cs="Arial"/>
          <w:sz w:val="24"/>
          <w:szCs w:val="24"/>
        </w:rPr>
        <w:t xml:space="preserve">1589, and 1595.  </w:t>
      </w:r>
    </w:p>
    <w:p w:rsidR="00F20605" w:rsidRDefault="00F20605" w:rsidP="00F20605">
      <w:pPr>
        <w:tabs>
          <w:tab w:val="left" w:pos="426"/>
        </w:tabs>
        <w:ind w:left="426"/>
        <w:rPr>
          <w:rFonts w:ascii="Arial" w:hAnsi="Arial" w:cs="Arial"/>
          <w:sz w:val="24"/>
          <w:szCs w:val="24"/>
        </w:rPr>
      </w:pPr>
      <w:r>
        <w:rPr>
          <w:rFonts w:ascii="Arial" w:hAnsi="Arial" w:cs="Arial"/>
          <w:sz w:val="24"/>
          <w:szCs w:val="24"/>
        </w:rPr>
        <w:t>During the audit, it was discovered that Rideau had incorrectly billed customers for loss-adjusted consumption on a GA Sub Account rate rider beginning in 2010.  Rideau was instructed to make corrections to the GL accounts in 2013, and reimburse the customers in 2014.</w:t>
      </w:r>
    </w:p>
    <w:p w:rsidR="00FA38C6" w:rsidRDefault="00661F94" w:rsidP="00F20605">
      <w:pPr>
        <w:tabs>
          <w:tab w:val="left" w:pos="426"/>
        </w:tabs>
        <w:ind w:left="426"/>
        <w:rPr>
          <w:rFonts w:ascii="Arial" w:hAnsi="Arial" w:cs="Arial"/>
          <w:sz w:val="24"/>
          <w:szCs w:val="24"/>
        </w:rPr>
      </w:pPr>
      <w:r>
        <w:rPr>
          <w:rFonts w:ascii="Arial" w:hAnsi="Arial" w:cs="Arial"/>
          <w:sz w:val="24"/>
          <w:szCs w:val="24"/>
        </w:rPr>
        <w:t xml:space="preserve">As of December 31, 2013, </w:t>
      </w:r>
      <w:r w:rsidR="00FA38C6">
        <w:rPr>
          <w:rFonts w:ascii="Arial" w:hAnsi="Arial" w:cs="Arial"/>
          <w:sz w:val="24"/>
          <w:szCs w:val="24"/>
        </w:rPr>
        <w:t>account 1595 (2010) contained a balance which was refunded in 2014.  If the 1595 (2010) balance was included in the Rate Generator, the resulting rate rider would include the amounts subsequently refunded in 2014.</w:t>
      </w:r>
    </w:p>
    <w:p w:rsidR="000E2061" w:rsidRDefault="000E2061" w:rsidP="00F20605">
      <w:pPr>
        <w:tabs>
          <w:tab w:val="left" w:pos="426"/>
        </w:tabs>
        <w:ind w:left="426"/>
        <w:rPr>
          <w:rFonts w:ascii="Arial" w:hAnsi="Arial" w:cs="Arial"/>
          <w:sz w:val="24"/>
          <w:szCs w:val="24"/>
        </w:rPr>
      </w:pPr>
      <w:r>
        <w:rPr>
          <w:rFonts w:ascii="Arial" w:hAnsi="Arial" w:cs="Arial"/>
          <w:sz w:val="24"/>
          <w:szCs w:val="24"/>
        </w:rPr>
        <w:t>Included with our response is a copy of the Regulatory Audit Report, and the Rate Order instructing Rideau to refund the overbilling in 2014.</w:t>
      </w:r>
    </w:p>
    <w:p w:rsidR="00FA38C6" w:rsidRDefault="00FA38C6" w:rsidP="00F20605">
      <w:pPr>
        <w:tabs>
          <w:tab w:val="left" w:pos="426"/>
        </w:tabs>
        <w:ind w:left="426"/>
        <w:rPr>
          <w:rFonts w:ascii="Arial" w:hAnsi="Arial" w:cs="Arial"/>
          <w:sz w:val="24"/>
          <w:szCs w:val="24"/>
        </w:rPr>
      </w:pPr>
    </w:p>
    <w:p w:rsidR="003917AB" w:rsidRDefault="003917AB" w:rsidP="00F20605">
      <w:pPr>
        <w:tabs>
          <w:tab w:val="left" w:pos="426"/>
        </w:tabs>
        <w:ind w:left="426"/>
        <w:rPr>
          <w:rFonts w:ascii="Arial" w:hAnsi="Arial" w:cs="Arial"/>
          <w:sz w:val="24"/>
          <w:szCs w:val="24"/>
        </w:rPr>
      </w:pPr>
    </w:p>
    <w:p w:rsidR="00F20605" w:rsidRPr="003917AB" w:rsidRDefault="00661F94" w:rsidP="003917AB">
      <w:pPr>
        <w:pStyle w:val="ListParagraph"/>
        <w:numPr>
          <w:ilvl w:val="0"/>
          <w:numId w:val="3"/>
        </w:numPr>
        <w:tabs>
          <w:tab w:val="left" w:pos="426"/>
        </w:tabs>
        <w:rPr>
          <w:rFonts w:ascii="Arial" w:hAnsi="Arial" w:cs="Arial"/>
          <w:sz w:val="24"/>
          <w:szCs w:val="24"/>
        </w:rPr>
      </w:pPr>
      <w:r w:rsidRPr="003917AB">
        <w:rPr>
          <w:rFonts w:ascii="Arial" w:hAnsi="Arial" w:cs="Arial"/>
          <w:sz w:val="24"/>
          <w:szCs w:val="24"/>
        </w:rPr>
        <w:t xml:space="preserve"> </w:t>
      </w:r>
    </w:p>
    <w:p w:rsidR="00EE25BB" w:rsidRDefault="00EE25BB" w:rsidP="00F20605">
      <w:pPr>
        <w:tabs>
          <w:tab w:val="left" w:pos="426"/>
        </w:tabs>
        <w:ind w:left="426"/>
        <w:rPr>
          <w:rFonts w:ascii="Arial" w:hAnsi="Arial" w:cs="Arial"/>
          <w:sz w:val="24"/>
          <w:szCs w:val="24"/>
        </w:rPr>
      </w:pPr>
    </w:p>
    <w:p w:rsidR="00EE25BB" w:rsidRPr="00BC6CAC" w:rsidRDefault="00EE25BB" w:rsidP="00EE25BB">
      <w:pPr>
        <w:pStyle w:val="ListParagraph"/>
        <w:numPr>
          <w:ilvl w:val="0"/>
          <w:numId w:val="2"/>
        </w:numPr>
        <w:tabs>
          <w:tab w:val="left" w:pos="426"/>
        </w:tabs>
        <w:ind w:hanging="720"/>
        <w:rPr>
          <w:rFonts w:ascii="Arial" w:hAnsi="Arial" w:cs="Arial"/>
          <w:sz w:val="24"/>
          <w:szCs w:val="24"/>
        </w:rPr>
      </w:pPr>
      <w:r w:rsidRPr="00BC6CAC">
        <w:rPr>
          <w:rFonts w:ascii="Arial" w:hAnsi="Arial" w:cs="Arial"/>
          <w:sz w:val="24"/>
          <w:szCs w:val="24"/>
        </w:rPr>
        <w:lastRenderedPageBreak/>
        <w:t>Board staff notes that for each Group 1 Account:</w:t>
      </w:r>
    </w:p>
    <w:p w:rsidR="00EE25BB" w:rsidRDefault="00EE25BB" w:rsidP="00EE25BB">
      <w:pPr>
        <w:pStyle w:val="ListParagraph"/>
        <w:tabs>
          <w:tab w:val="left" w:pos="426"/>
        </w:tabs>
        <w:ind w:left="0"/>
        <w:rPr>
          <w:rFonts w:ascii="Arial" w:hAnsi="Arial" w:cs="Arial"/>
          <w:sz w:val="24"/>
          <w:szCs w:val="24"/>
        </w:rPr>
      </w:pPr>
    </w:p>
    <w:p w:rsidR="00EE25BB" w:rsidRDefault="00EE25BB" w:rsidP="00EE25BB">
      <w:pPr>
        <w:pStyle w:val="ListParagraph"/>
        <w:tabs>
          <w:tab w:val="left" w:pos="426"/>
        </w:tabs>
        <w:ind w:left="426"/>
        <w:rPr>
          <w:rFonts w:ascii="Arial" w:hAnsi="Arial" w:cs="Arial"/>
          <w:sz w:val="24"/>
          <w:szCs w:val="24"/>
        </w:rPr>
      </w:pPr>
      <w:r>
        <w:rPr>
          <w:rFonts w:ascii="Arial" w:hAnsi="Arial" w:cs="Arial"/>
          <w:sz w:val="24"/>
          <w:szCs w:val="24"/>
        </w:rPr>
        <w:t xml:space="preserve">“The Principal Disposition during 2014 – Instructed by Board” (Column AY) and </w:t>
      </w:r>
      <w:proofErr w:type="gramStart"/>
      <w:r>
        <w:rPr>
          <w:rFonts w:ascii="Arial" w:hAnsi="Arial" w:cs="Arial"/>
          <w:sz w:val="24"/>
          <w:szCs w:val="24"/>
        </w:rPr>
        <w:t>the ”</w:t>
      </w:r>
      <w:proofErr w:type="gramEnd"/>
      <w:r>
        <w:rPr>
          <w:rFonts w:ascii="Arial" w:hAnsi="Arial" w:cs="Arial"/>
          <w:sz w:val="24"/>
          <w:szCs w:val="24"/>
        </w:rPr>
        <w:t>Interest Disposition during 2014 – Instructed by Board” (Column AZ) in the Rate Generator Model does not reconcile with the “Principal Balance A” and Interest Balance B”  in the 2014 IRM Rate Order.</w:t>
      </w:r>
    </w:p>
    <w:p w:rsidR="00EE25BB" w:rsidRDefault="00EE25BB" w:rsidP="00EE25BB">
      <w:pPr>
        <w:tabs>
          <w:tab w:val="left" w:pos="426"/>
        </w:tabs>
        <w:ind w:left="426"/>
        <w:rPr>
          <w:rFonts w:ascii="Arial" w:hAnsi="Arial" w:cs="Arial"/>
          <w:sz w:val="24"/>
          <w:szCs w:val="24"/>
        </w:rPr>
      </w:pPr>
      <w:r>
        <w:rPr>
          <w:rFonts w:ascii="Arial" w:hAnsi="Arial" w:cs="Arial"/>
          <w:sz w:val="24"/>
          <w:szCs w:val="24"/>
        </w:rPr>
        <w:t>If the input into the Rate Generator model is an error, please make any necessary updates to the model.</w:t>
      </w:r>
    </w:p>
    <w:p w:rsidR="00EE25BB" w:rsidRDefault="00EE25BB" w:rsidP="00EE25BB">
      <w:pPr>
        <w:pStyle w:val="ListParagraph"/>
        <w:tabs>
          <w:tab w:val="left" w:pos="426"/>
        </w:tabs>
        <w:ind w:left="0"/>
        <w:rPr>
          <w:rFonts w:ascii="Arial" w:hAnsi="Arial" w:cs="Arial"/>
          <w:sz w:val="24"/>
          <w:szCs w:val="24"/>
        </w:rPr>
      </w:pPr>
      <w:r>
        <w:rPr>
          <w:rFonts w:ascii="Arial" w:hAnsi="Arial" w:cs="Arial"/>
          <w:sz w:val="24"/>
          <w:szCs w:val="24"/>
        </w:rPr>
        <w:tab/>
      </w:r>
    </w:p>
    <w:p w:rsidR="00EE25BB" w:rsidRDefault="00EE25BB" w:rsidP="00EE25BB">
      <w:pPr>
        <w:pStyle w:val="ListParagraph"/>
        <w:tabs>
          <w:tab w:val="left" w:pos="426"/>
        </w:tabs>
        <w:ind w:left="0"/>
        <w:rPr>
          <w:rFonts w:ascii="Arial" w:hAnsi="Arial" w:cs="Arial"/>
          <w:sz w:val="24"/>
          <w:szCs w:val="24"/>
        </w:rPr>
      </w:pPr>
    </w:p>
    <w:p w:rsidR="00EE25BB" w:rsidRPr="00EE25BB" w:rsidRDefault="00EE25BB" w:rsidP="00EE25BB">
      <w:pPr>
        <w:pStyle w:val="ListParagraph"/>
        <w:tabs>
          <w:tab w:val="left" w:pos="426"/>
        </w:tabs>
        <w:ind w:left="0"/>
        <w:rPr>
          <w:rFonts w:ascii="Arial" w:hAnsi="Arial" w:cs="Arial"/>
          <w:sz w:val="24"/>
          <w:szCs w:val="24"/>
        </w:rPr>
      </w:pPr>
      <w:r>
        <w:rPr>
          <w:rFonts w:ascii="Arial" w:hAnsi="Arial" w:cs="Arial"/>
          <w:sz w:val="24"/>
          <w:szCs w:val="24"/>
        </w:rPr>
        <w:t>Response:  The reason for this variance is the same as with question 1 a).  The amounts for 1595 (2010) have been excluded from the Claim, as there were balances to be refunded as of December 31, 2013, due to the changes resulting from the Regulatory Audit.</w:t>
      </w:r>
    </w:p>
    <w:p w:rsidR="00EE25BB" w:rsidRDefault="00EE25BB" w:rsidP="00EE25BB">
      <w:pPr>
        <w:pStyle w:val="ListParagraph"/>
        <w:tabs>
          <w:tab w:val="left" w:pos="426"/>
        </w:tabs>
        <w:ind w:left="0"/>
        <w:rPr>
          <w:rFonts w:ascii="Arial" w:hAnsi="Arial" w:cs="Arial"/>
          <w:sz w:val="24"/>
          <w:szCs w:val="24"/>
        </w:rPr>
      </w:pPr>
    </w:p>
    <w:p w:rsidR="003917AB" w:rsidRDefault="003917AB" w:rsidP="00EE25BB">
      <w:pPr>
        <w:pStyle w:val="ListParagraph"/>
        <w:tabs>
          <w:tab w:val="left" w:pos="426"/>
        </w:tabs>
        <w:ind w:left="0"/>
        <w:rPr>
          <w:rFonts w:ascii="Arial" w:hAnsi="Arial" w:cs="Arial"/>
          <w:sz w:val="24"/>
          <w:szCs w:val="24"/>
        </w:rPr>
      </w:pPr>
    </w:p>
    <w:p w:rsidR="003917AB" w:rsidRDefault="003917AB" w:rsidP="00EE25BB">
      <w:pPr>
        <w:pStyle w:val="ListParagraph"/>
        <w:tabs>
          <w:tab w:val="left" w:pos="426"/>
        </w:tabs>
        <w:ind w:left="0"/>
        <w:rPr>
          <w:rFonts w:ascii="Arial" w:hAnsi="Arial" w:cs="Arial"/>
          <w:sz w:val="24"/>
          <w:szCs w:val="24"/>
        </w:rPr>
      </w:pPr>
      <w:r>
        <w:rPr>
          <w:rFonts w:ascii="Arial" w:hAnsi="Arial" w:cs="Arial"/>
          <w:sz w:val="24"/>
          <w:szCs w:val="24"/>
        </w:rPr>
        <w:t>3.</w:t>
      </w:r>
    </w:p>
    <w:p w:rsidR="003917AB" w:rsidRDefault="003917AB" w:rsidP="00EE25BB">
      <w:pPr>
        <w:pStyle w:val="ListParagraph"/>
        <w:tabs>
          <w:tab w:val="left" w:pos="426"/>
        </w:tabs>
        <w:ind w:left="0"/>
        <w:rPr>
          <w:rFonts w:ascii="Arial" w:hAnsi="Arial" w:cs="Arial"/>
          <w:sz w:val="24"/>
          <w:szCs w:val="24"/>
        </w:rPr>
      </w:pPr>
    </w:p>
    <w:p w:rsidR="003917AB" w:rsidRDefault="003917AB" w:rsidP="003917AB">
      <w:pPr>
        <w:spacing w:after="0" w:line="240" w:lineRule="auto"/>
        <w:rPr>
          <w:rFonts w:ascii="Arial" w:hAnsi="Arial" w:cs="Arial"/>
          <w:sz w:val="24"/>
          <w:szCs w:val="24"/>
        </w:rPr>
      </w:pPr>
      <w:r w:rsidRPr="00020B36">
        <w:rPr>
          <w:rFonts w:ascii="Arial" w:hAnsi="Arial" w:cs="Arial"/>
          <w:sz w:val="24"/>
          <w:szCs w:val="24"/>
        </w:rPr>
        <w:t xml:space="preserve">Board staff notes that the </w:t>
      </w:r>
      <w:r>
        <w:rPr>
          <w:rFonts w:ascii="Arial" w:hAnsi="Arial" w:cs="Arial"/>
          <w:sz w:val="24"/>
          <w:szCs w:val="24"/>
        </w:rPr>
        <w:t>description</w:t>
      </w:r>
      <w:r w:rsidRPr="00020B36">
        <w:rPr>
          <w:rFonts w:ascii="Arial" w:hAnsi="Arial" w:cs="Arial"/>
          <w:sz w:val="24"/>
          <w:szCs w:val="24"/>
        </w:rPr>
        <w:t xml:space="preserve"> for “Distribution Loss Factor – Prim</w:t>
      </w:r>
      <w:r>
        <w:rPr>
          <w:rFonts w:ascii="Arial" w:hAnsi="Arial" w:cs="Arial"/>
          <w:sz w:val="24"/>
          <w:szCs w:val="24"/>
        </w:rPr>
        <w:t>ary Metered Customer &lt; 5,000 kW”</w:t>
      </w:r>
      <w:r w:rsidRPr="00020B36">
        <w:rPr>
          <w:rFonts w:ascii="Arial" w:hAnsi="Arial" w:cs="Arial"/>
          <w:sz w:val="24"/>
          <w:szCs w:val="24"/>
        </w:rPr>
        <w:t xml:space="preserve"> do</w:t>
      </w:r>
      <w:r>
        <w:rPr>
          <w:rFonts w:ascii="Arial" w:hAnsi="Arial" w:cs="Arial"/>
          <w:sz w:val="24"/>
          <w:szCs w:val="24"/>
        </w:rPr>
        <w:t>es</w:t>
      </w:r>
      <w:r w:rsidRPr="00020B36">
        <w:rPr>
          <w:rFonts w:ascii="Arial" w:hAnsi="Arial" w:cs="Arial"/>
          <w:sz w:val="24"/>
          <w:szCs w:val="24"/>
        </w:rPr>
        <w:t xml:space="preserve"> not match </w:t>
      </w:r>
      <w:r>
        <w:rPr>
          <w:rFonts w:ascii="Arial" w:hAnsi="Arial" w:cs="Arial"/>
          <w:sz w:val="24"/>
          <w:szCs w:val="24"/>
        </w:rPr>
        <w:t>Rideau</w:t>
      </w:r>
      <w:r w:rsidRPr="00020B36">
        <w:rPr>
          <w:rFonts w:ascii="Arial" w:hAnsi="Arial" w:cs="Arial"/>
          <w:sz w:val="24"/>
          <w:szCs w:val="24"/>
        </w:rPr>
        <w:t>’s current Tariff of Rates and Charges.  Staff believes the correct description is “Total Loss Factor – Primary Metered Customer &lt; 5,000 kW</w:t>
      </w:r>
      <w:r>
        <w:rPr>
          <w:rFonts w:ascii="Arial" w:hAnsi="Arial" w:cs="Arial"/>
          <w:sz w:val="24"/>
          <w:szCs w:val="24"/>
        </w:rPr>
        <w:t>”</w:t>
      </w:r>
      <w:r w:rsidRPr="00020B36">
        <w:rPr>
          <w:rFonts w:ascii="Arial" w:hAnsi="Arial" w:cs="Arial"/>
          <w:sz w:val="24"/>
          <w:szCs w:val="24"/>
        </w:rPr>
        <w:t xml:space="preserve">.   If </w:t>
      </w:r>
      <w:r>
        <w:rPr>
          <w:rFonts w:ascii="Arial" w:hAnsi="Arial" w:cs="Arial"/>
          <w:sz w:val="24"/>
          <w:szCs w:val="24"/>
        </w:rPr>
        <w:t>Rideau</w:t>
      </w:r>
      <w:r w:rsidRPr="00020B36">
        <w:rPr>
          <w:rFonts w:ascii="Arial" w:hAnsi="Arial" w:cs="Arial"/>
          <w:sz w:val="24"/>
          <w:szCs w:val="24"/>
        </w:rPr>
        <w:t xml:space="preserve"> is in agreement, Board staff will make the relevant correction.</w:t>
      </w:r>
    </w:p>
    <w:p w:rsidR="003917AB" w:rsidRDefault="003917AB" w:rsidP="003917AB">
      <w:pPr>
        <w:spacing w:after="0" w:line="240" w:lineRule="auto"/>
        <w:rPr>
          <w:rFonts w:ascii="Arial" w:hAnsi="Arial" w:cs="Arial"/>
          <w:sz w:val="24"/>
          <w:szCs w:val="24"/>
        </w:rPr>
      </w:pPr>
    </w:p>
    <w:p w:rsidR="003917AB" w:rsidRDefault="003917AB" w:rsidP="003917AB">
      <w:pPr>
        <w:spacing w:after="0" w:line="240" w:lineRule="auto"/>
        <w:rPr>
          <w:rFonts w:ascii="Arial" w:hAnsi="Arial" w:cs="Arial"/>
          <w:sz w:val="24"/>
          <w:szCs w:val="24"/>
        </w:rPr>
      </w:pPr>
    </w:p>
    <w:p w:rsidR="003917AB" w:rsidRPr="00020B36" w:rsidRDefault="003917AB" w:rsidP="003917AB">
      <w:pPr>
        <w:spacing w:after="0" w:line="240" w:lineRule="auto"/>
        <w:rPr>
          <w:rFonts w:ascii="Arial" w:hAnsi="Arial" w:cs="Arial"/>
          <w:sz w:val="24"/>
          <w:szCs w:val="24"/>
        </w:rPr>
      </w:pPr>
      <w:r>
        <w:rPr>
          <w:rFonts w:ascii="Arial" w:hAnsi="Arial" w:cs="Arial"/>
          <w:sz w:val="24"/>
          <w:szCs w:val="24"/>
        </w:rPr>
        <w:t>Response:  Rideau agrees with Board Staff that the description is incorrect.  This was an error.</w:t>
      </w:r>
    </w:p>
    <w:p w:rsidR="003917AB" w:rsidRDefault="003917AB" w:rsidP="00EE25BB">
      <w:pPr>
        <w:pStyle w:val="ListParagraph"/>
        <w:tabs>
          <w:tab w:val="left" w:pos="426"/>
        </w:tabs>
        <w:ind w:left="0"/>
        <w:rPr>
          <w:rFonts w:ascii="Arial" w:hAnsi="Arial" w:cs="Arial"/>
          <w:sz w:val="24"/>
          <w:szCs w:val="24"/>
        </w:rPr>
      </w:pPr>
    </w:p>
    <w:p w:rsidR="00EE25BB" w:rsidRDefault="00EE25BB" w:rsidP="00F20605">
      <w:pPr>
        <w:tabs>
          <w:tab w:val="left" w:pos="426"/>
        </w:tabs>
        <w:ind w:left="426"/>
        <w:rPr>
          <w:rFonts w:ascii="Arial" w:hAnsi="Arial" w:cs="Arial"/>
          <w:sz w:val="24"/>
          <w:szCs w:val="24"/>
        </w:rPr>
      </w:pPr>
    </w:p>
    <w:p w:rsidR="00EE25BB" w:rsidRDefault="00EE25BB" w:rsidP="00F20605">
      <w:pPr>
        <w:tabs>
          <w:tab w:val="left" w:pos="426"/>
        </w:tabs>
        <w:ind w:left="426"/>
        <w:rPr>
          <w:rFonts w:ascii="Arial" w:hAnsi="Arial" w:cs="Arial"/>
          <w:sz w:val="24"/>
          <w:szCs w:val="24"/>
        </w:rPr>
      </w:pPr>
    </w:p>
    <w:p w:rsidR="00661F94" w:rsidRPr="00EE25BB" w:rsidRDefault="00661F94" w:rsidP="00EE25BB">
      <w:pPr>
        <w:tabs>
          <w:tab w:val="left" w:pos="426"/>
        </w:tabs>
        <w:rPr>
          <w:rFonts w:ascii="Arial" w:hAnsi="Arial" w:cs="Arial"/>
          <w:sz w:val="24"/>
          <w:szCs w:val="24"/>
        </w:rPr>
      </w:pPr>
    </w:p>
    <w:p w:rsidR="00F20605" w:rsidRDefault="00F20605" w:rsidP="00F20605">
      <w:pPr>
        <w:tabs>
          <w:tab w:val="left" w:pos="426"/>
        </w:tabs>
        <w:ind w:left="426"/>
        <w:rPr>
          <w:rFonts w:ascii="Arial" w:hAnsi="Arial" w:cs="Arial"/>
          <w:sz w:val="24"/>
          <w:szCs w:val="24"/>
        </w:rPr>
      </w:pPr>
    </w:p>
    <w:p w:rsidR="00F20605" w:rsidRDefault="00F20605" w:rsidP="00F20605">
      <w:pPr>
        <w:tabs>
          <w:tab w:val="left" w:pos="426"/>
        </w:tabs>
        <w:ind w:left="426"/>
        <w:rPr>
          <w:rFonts w:ascii="Arial" w:hAnsi="Arial" w:cs="Arial"/>
          <w:sz w:val="24"/>
          <w:szCs w:val="24"/>
        </w:rPr>
      </w:pPr>
    </w:p>
    <w:p w:rsidR="00F20605" w:rsidRDefault="00F20605" w:rsidP="00ED69E8">
      <w:pPr>
        <w:spacing w:after="0"/>
      </w:pPr>
    </w:p>
    <w:sectPr w:rsidR="00F206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1DEF"/>
    <w:multiLevelType w:val="hybridMultilevel"/>
    <w:tmpl w:val="9B06DB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0730437"/>
    <w:multiLevelType w:val="hybridMultilevel"/>
    <w:tmpl w:val="67A49E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DC93611"/>
    <w:multiLevelType w:val="hybridMultilevel"/>
    <w:tmpl w:val="7D42CCE2"/>
    <w:lvl w:ilvl="0" w:tplc="AC22138C">
      <w:start w:val="1"/>
      <w:numFmt w:val="low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E8"/>
    <w:rsid w:val="000A4C19"/>
    <w:rsid w:val="000E2061"/>
    <w:rsid w:val="00151983"/>
    <w:rsid w:val="003917AB"/>
    <w:rsid w:val="00661F94"/>
    <w:rsid w:val="00733EE3"/>
    <w:rsid w:val="00783A7F"/>
    <w:rsid w:val="007E5A5C"/>
    <w:rsid w:val="009C1090"/>
    <w:rsid w:val="00ED69E8"/>
    <w:rsid w:val="00EE25BB"/>
    <w:rsid w:val="00F20605"/>
    <w:rsid w:val="00FA38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9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Soules</dc:creator>
  <cp:lastModifiedBy>Peter Soules</cp:lastModifiedBy>
  <cp:revision>7</cp:revision>
  <dcterms:created xsi:type="dcterms:W3CDTF">2014-10-27T18:41:00Z</dcterms:created>
  <dcterms:modified xsi:type="dcterms:W3CDTF">2014-10-31T18:28:00Z</dcterms:modified>
</cp:coreProperties>
</file>