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CB5" w:rsidRDefault="00B10CB5" w:rsidP="00B10CB5">
      <w:pPr>
        <w:jc w:val="center"/>
        <w:rPr>
          <w:rFonts w:ascii="Arial" w:hAnsi="Arial" w:cs="Arial"/>
          <w:b/>
          <w:sz w:val="24"/>
          <w:szCs w:val="24"/>
        </w:rPr>
      </w:pPr>
      <w:r>
        <w:rPr>
          <w:rFonts w:ascii="Arial" w:hAnsi="Arial" w:cs="Arial"/>
          <w:b/>
          <w:sz w:val="24"/>
          <w:szCs w:val="24"/>
        </w:rPr>
        <w:t>Thunder Bay Hydro Electricity Distribution Inc. (EB-2014-0114)</w:t>
      </w:r>
    </w:p>
    <w:p w:rsidR="00B10CB5" w:rsidRDefault="00B10CB5" w:rsidP="00B10CB5">
      <w:pPr>
        <w:jc w:val="center"/>
        <w:rPr>
          <w:rFonts w:ascii="Arial" w:hAnsi="Arial" w:cs="Arial"/>
          <w:b/>
          <w:sz w:val="24"/>
          <w:szCs w:val="24"/>
        </w:rPr>
      </w:pPr>
      <w:r>
        <w:rPr>
          <w:rFonts w:ascii="Arial" w:hAnsi="Arial" w:cs="Arial"/>
          <w:b/>
          <w:sz w:val="24"/>
          <w:szCs w:val="24"/>
        </w:rPr>
        <w:t>Application Analysis</w:t>
      </w:r>
    </w:p>
    <w:p w:rsidR="001D5251" w:rsidRDefault="001D5251" w:rsidP="001D5251">
      <w:pPr>
        <w:rPr>
          <w:rFonts w:ascii="Arial" w:hAnsi="Arial" w:cs="Arial"/>
          <w:b/>
          <w:sz w:val="24"/>
          <w:szCs w:val="24"/>
        </w:rPr>
      </w:pPr>
      <w:r>
        <w:rPr>
          <w:rFonts w:ascii="Arial" w:hAnsi="Arial" w:cs="Arial"/>
          <w:b/>
          <w:sz w:val="24"/>
          <w:szCs w:val="24"/>
        </w:rPr>
        <w:t>New Info</w:t>
      </w:r>
      <w:r w:rsidR="00592239">
        <w:rPr>
          <w:rFonts w:ascii="Arial" w:hAnsi="Arial" w:cs="Arial"/>
          <w:b/>
          <w:sz w:val="24"/>
          <w:szCs w:val="24"/>
        </w:rPr>
        <w:t>r</w:t>
      </w:r>
      <w:r>
        <w:rPr>
          <w:rFonts w:ascii="Arial" w:hAnsi="Arial" w:cs="Arial"/>
          <w:b/>
          <w:sz w:val="24"/>
          <w:szCs w:val="24"/>
        </w:rPr>
        <w:t>mation</w:t>
      </w:r>
    </w:p>
    <w:p w:rsidR="001D5251" w:rsidRPr="00592239" w:rsidRDefault="001D5251" w:rsidP="002415AD">
      <w:pPr>
        <w:rPr>
          <w:rFonts w:ascii="Arial" w:hAnsi="Arial" w:cs="Arial"/>
          <w:color w:val="E36C0A" w:themeColor="accent6" w:themeShade="BF"/>
        </w:rPr>
      </w:pPr>
      <w:r w:rsidRPr="00592239">
        <w:rPr>
          <w:rFonts w:ascii="Arial" w:hAnsi="Arial" w:cs="Arial"/>
          <w:color w:val="E36C0A" w:themeColor="accent6" w:themeShade="BF"/>
        </w:rPr>
        <w:t xml:space="preserve">Thunder Bay Hydro has recently identified an error and </w:t>
      </w:r>
      <w:r w:rsidR="00E47B48">
        <w:rPr>
          <w:rFonts w:ascii="Arial" w:hAnsi="Arial" w:cs="Arial"/>
          <w:color w:val="E36C0A" w:themeColor="accent6" w:themeShade="BF"/>
        </w:rPr>
        <w:t xml:space="preserve">has </w:t>
      </w:r>
      <w:r w:rsidR="007B5A00">
        <w:rPr>
          <w:rFonts w:ascii="Arial" w:hAnsi="Arial" w:cs="Arial"/>
          <w:color w:val="E36C0A" w:themeColor="accent6" w:themeShade="BF"/>
        </w:rPr>
        <w:t xml:space="preserve">initiated </w:t>
      </w:r>
      <w:r w:rsidRPr="00592239">
        <w:rPr>
          <w:rFonts w:ascii="Arial" w:hAnsi="Arial" w:cs="Arial"/>
          <w:color w:val="E36C0A" w:themeColor="accent6" w:themeShade="BF"/>
        </w:rPr>
        <w:t>a</w:t>
      </w:r>
      <w:r w:rsidR="002415AD">
        <w:rPr>
          <w:rFonts w:ascii="Arial" w:hAnsi="Arial" w:cs="Arial"/>
          <w:color w:val="E36C0A" w:themeColor="accent6" w:themeShade="BF"/>
        </w:rPr>
        <w:t xml:space="preserve"> review</w:t>
      </w:r>
      <w:r w:rsidRPr="00592239">
        <w:rPr>
          <w:rFonts w:ascii="Arial" w:hAnsi="Arial" w:cs="Arial"/>
          <w:color w:val="E36C0A" w:themeColor="accent6" w:themeShade="BF"/>
        </w:rPr>
        <w:t>.</w:t>
      </w:r>
      <w:r w:rsidR="002415AD">
        <w:rPr>
          <w:rFonts w:ascii="Arial" w:hAnsi="Arial" w:cs="Arial"/>
          <w:color w:val="E36C0A" w:themeColor="accent6" w:themeShade="BF"/>
        </w:rPr>
        <w:t xml:space="preserve"> In light of this review, we elect not to dispose of the DVA Group 1 Accounts.  (</w:t>
      </w:r>
      <w:r w:rsidR="00E47B48">
        <w:rPr>
          <w:rFonts w:ascii="Arial" w:hAnsi="Arial" w:cs="Arial"/>
          <w:color w:val="E36C0A" w:themeColor="accent6" w:themeShade="BF"/>
        </w:rPr>
        <w:t>The</w:t>
      </w:r>
      <w:r w:rsidR="00592239" w:rsidRPr="00592239">
        <w:rPr>
          <w:rFonts w:ascii="Arial" w:hAnsi="Arial" w:cs="Arial"/>
          <w:color w:val="E36C0A" w:themeColor="accent6" w:themeShade="BF"/>
        </w:rPr>
        <w:t xml:space="preserve"> t</w:t>
      </w:r>
      <w:r w:rsidRPr="00592239">
        <w:rPr>
          <w:rFonts w:ascii="Arial" w:hAnsi="Arial" w:cs="Arial"/>
          <w:color w:val="E36C0A" w:themeColor="accent6" w:themeShade="BF"/>
        </w:rPr>
        <w:t xml:space="preserve">hreshold </w:t>
      </w:r>
      <w:r w:rsidR="00592239" w:rsidRPr="00592239">
        <w:rPr>
          <w:rFonts w:ascii="Arial" w:hAnsi="Arial" w:cs="Arial"/>
          <w:color w:val="E36C0A" w:themeColor="accent6" w:themeShade="BF"/>
        </w:rPr>
        <w:t>t</w:t>
      </w:r>
      <w:r w:rsidRPr="00592239">
        <w:rPr>
          <w:rFonts w:ascii="Arial" w:hAnsi="Arial" w:cs="Arial"/>
          <w:color w:val="E36C0A" w:themeColor="accent6" w:themeShade="BF"/>
        </w:rPr>
        <w:t xml:space="preserve">est for </w:t>
      </w:r>
      <w:r w:rsidR="00592239" w:rsidRPr="00592239">
        <w:rPr>
          <w:rFonts w:ascii="Arial" w:hAnsi="Arial" w:cs="Arial"/>
          <w:color w:val="E36C0A" w:themeColor="accent6" w:themeShade="BF"/>
        </w:rPr>
        <w:t>d</w:t>
      </w:r>
      <w:r w:rsidR="00592239">
        <w:rPr>
          <w:rFonts w:ascii="Arial" w:hAnsi="Arial" w:cs="Arial"/>
          <w:color w:val="E36C0A" w:themeColor="accent6" w:themeShade="BF"/>
        </w:rPr>
        <w:t>eferral and v</w:t>
      </w:r>
      <w:r w:rsidRPr="00592239">
        <w:rPr>
          <w:rFonts w:ascii="Arial" w:hAnsi="Arial" w:cs="Arial"/>
          <w:color w:val="E36C0A" w:themeColor="accent6" w:themeShade="BF"/>
        </w:rPr>
        <w:t xml:space="preserve">ariance </w:t>
      </w:r>
      <w:r w:rsidR="00592239">
        <w:rPr>
          <w:rFonts w:ascii="Arial" w:hAnsi="Arial" w:cs="Arial"/>
          <w:color w:val="E36C0A" w:themeColor="accent6" w:themeShade="BF"/>
        </w:rPr>
        <w:t>a</w:t>
      </w:r>
      <w:r w:rsidRPr="00592239">
        <w:rPr>
          <w:rFonts w:ascii="Arial" w:hAnsi="Arial" w:cs="Arial"/>
          <w:color w:val="E36C0A" w:themeColor="accent6" w:themeShade="BF"/>
        </w:rPr>
        <w:t xml:space="preserve">ccount (“DVA”) disposal for Group 1 Accounts shows a total claim of $0.0002/kWh (owing) which is below the approved threshold of $0.001/kWh. </w:t>
      </w:r>
      <w:r w:rsidR="00E47B48">
        <w:rPr>
          <w:rFonts w:ascii="Arial" w:hAnsi="Arial" w:cs="Arial"/>
          <w:color w:val="E36C0A" w:themeColor="accent6" w:themeShade="BF"/>
        </w:rPr>
        <w:t>Please note, i</w:t>
      </w:r>
      <w:r w:rsidRPr="00592239">
        <w:rPr>
          <w:rFonts w:ascii="Arial" w:hAnsi="Arial" w:cs="Arial"/>
          <w:color w:val="E36C0A" w:themeColor="accent6" w:themeShade="BF"/>
        </w:rPr>
        <w:t>n our application, we elected to dispose of th</w:t>
      </w:r>
      <w:r w:rsidR="002415AD">
        <w:rPr>
          <w:rFonts w:ascii="Arial" w:hAnsi="Arial" w:cs="Arial"/>
          <w:color w:val="E36C0A" w:themeColor="accent6" w:themeShade="BF"/>
        </w:rPr>
        <w:t>is balance)</w:t>
      </w:r>
      <w:r w:rsidRPr="00592239">
        <w:rPr>
          <w:rFonts w:ascii="Arial" w:hAnsi="Arial" w:cs="Arial"/>
          <w:color w:val="E36C0A" w:themeColor="accent6" w:themeShade="BF"/>
        </w:rPr>
        <w:t xml:space="preserve">. </w:t>
      </w:r>
    </w:p>
    <w:p w:rsidR="001D5251" w:rsidRPr="00592239" w:rsidRDefault="007B5A00" w:rsidP="00592239">
      <w:pPr>
        <w:rPr>
          <w:rFonts w:ascii="Arial" w:hAnsi="Arial" w:cs="Arial"/>
          <w:color w:val="E36C0A" w:themeColor="accent6" w:themeShade="BF"/>
        </w:rPr>
      </w:pPr>
      <w:r>
        <w:rPr>
          <w:rFonts w:ascii="Arial" w:hAnsi="Arial" w:cs="Arial"/>
          <w:color w:val="E36C0A" w:themeColor="accent6" w:themeShade="BF"/>
        </w:rPr>
        <w:t>Below,</w:t>
      </w:r>
      <w:r w:rsidR="002415AD">
        <w:rPr>
          <w:rFonts w:ascii="Arial" w:hAnsi="Arial" w:cs="Arial"/>
          <w:color w:val="E36C0A" w:themeColor="accent6" w:themeShade="BF"/>
        </w:rPr>
        <w:t xml:space="preserve"> the following questions </w:t>
      </w:r>
      <w:r w:rsidR="00592239">
        <w:rPr>
          <w:rFonts w:ascii="Arial" w:hAnsi="Arial" w:cs="Arial"/>
          <w:color w:val="E36C0A" w:themeColor="accent6" w:themeShade="BF"/>
        </w:rPr>
        <w:t xml:space="preserve">below </w:t>
      </w:r>
      <w:r w:rsidR="00592239" w:rsidRPr="00592239">
        <w:rPr>
          <w:rFonts w:ascii="Arial" w:hAnsi="Arial" w:cs="Arial"/>
          <w:color w:val="E36C0A" w:themeColor="accent6" w:themeShade="BF"/>
        </w:rPr>
        <w:t>have been addressed</w:t>
      </w:r>
      <w:r w:rsidR="002415AD">
        <w:rPr>
          <w:rFonts w:ascii="Arial" w:hAnsi="Arial" w:cs="Arial"/>
          <w:color w:val="E36C0A" w:themeColor="accent6" w:themeShade="BF"/>
        </w:rPr>
        <w:t>.</w:t>
      </w:r>
    </w:p>
    <w:p w:rsidR="00AE78F3" w:rsidRDefault="00AE78F3" w:rsidP="00B10CB5">
      <w:pPr>
        <w:rPr>
          <w:rFonts w:ascii="Arial" w:hAnsi="Arial" w:cs="Arial"/>
          <w:b/>
          <w:szCs w:val="24"/>
        </w:rPr>
      </w:pPr>
      <w:r>
        <w:rPr>
          <w:rFonts w:ascii="Arial" w:hAnsi="Arial" w:cs="Arial"/>
          <w:b/>
          <w:szCs w:val="24"/>
        </w:rPr>
        <w:t>Tab 4 – Current Tariff Schedule</w:t>
      </w:r>
    </w:p>
    <w:p w:rsidR="00923749" w:rsidRPr="00923749" w:rsidRDefault="00923749" w:rsidP="00AE78F3">
      <w:pPr>
        <w:pStyle w:val="ListParagraph"/>
        <w:numPr>
          <w:ilvl w:val="0"/>
          <w:numId w:val="2"/>
        </w:numPr>
        <w:rPr>
          <w:rFonts w:ascii="Arial" w:hAnsi="Arial" w:cs="Arial"/>
          <w:szCs w:val="24"/>
        </w:rPr>
      </w:pPr>
      <w:r w:rsidRPr="00923749">
        <w:rPr>
          <w:rFonts w:ascii="Arial" w:hAnsi="Arial" w:cs="Arial"/>
          <w:szCs w:val="24"/>
        </w:rPr>
        <w:t>For the Residential rate class, under the description paragraph, Board staff notes that the words “No rates and charges for the distribution of electricity and charges to meet the costs of any work or service done or furnished…” are missing.</w:t>
      </w:r>
    </w:p>
    <w:p w:rsidR="00AE78F3" w:rsidRPr="00F3476D" w:rsidRDefault="00AE78F3" w:rsidP="00AE78F3">
      <w:pPr>
        <w:pStyle w:val="ListParagraph"/>
        <w:numPr>
          <w:ilvl w:val="0"/>
          <w:numId w:val="2"/>
        </w:numPr>
        <w:rPr>
          <w:rFonts w:ascii="Arial" w:hAnsi="Arial" w:cs="Arial"/>
          <w:b/>
          <w:szCs w:val="24"/>
        </w:rPr>
      </w:pPr>
      <w:r w:rsidRPr="00923749">
        <w:rPr>
          <w:rFonts w:ascii="Arial" w:hAnsi="Arial" w:cs="Arial"/>
          <w:szCs w:val="24"/>
        </w:rPr>
        <w:t>For the General</w:t>
      </w:r>
      <w:r>
        <w:rPr>
          <w:rFonts w:ascii="Arial" w:hAnsi="Arial" w:cs="Arial"/>
          <w:szCs w:val="24"/>
        </w:rPr>
        <w:t xml:space="preserve"> Service 50 to 999kW rate class, under the description paragraph, Board staff notes that the words “This classification refers to a non-residential account whose monthly average peak demand is equal to or greater than, or is…” are missing. </w:t>
      </w:r>
    </w:p>
    <w:p w:rsidR="00F3476D" w:rsidRPr="00F3476D" w:rsidRDefault="00F3476D" w:rsidP="00AE78F3">
      <w:pPr>
        <w:pStyle w:val="ListParagraph"/>
        <w:numPr>
          <w:ilvl w:val="0"/>
          <w:numId w:val="2"/>
        </w:numPr>
        <w:rPr>
          <w:rFonts w:ascii="Arial" w:hAnsi="Arial" w:cs="Arial"/>
          <w:b/>
          <w:szCs w:val="24"/>
        </w:rPr>
      </w:pPr>
      <w:r>
        <w:rPr>
          <w:rFonts w:ascii="Arial" w:hAnsi="Arial" w:cs="Arial"/>
          <w:szCs w:val="24"/>
        </w:rPr>
        <w:t xml:space="preserve">For the Unmetered Scattered Load Service Classification, under the description paragraph, Board staff notes that the words “This classification refers to </w:t>
      </w:r>
      <w:proofErr w:type="gramStart"/>
      <w:r>
        <w:rPr>
          <w:rFonts w:ascii="Arial" w:hAnsi="Arial" w:cs="Arial"/>
          <w:szCs w:val="24"/>
        </w:rPr>
        <w:t>an account</w:t>
      </w:r>
      <w:proofErr w:type="gramEnd"/>
      <w:r>
        <w:rPr>
          <w:rFonts w:ascii="Arial" w:hAnsi="Arial" w:cs="Arial"/>
          <w:szCs w:val="24"/>
        </w:rPr>
        <w:t xml:space="preserve"> taking electricity at 750 volts or less whose monthly average peak demand is less…” are missing.</w:t>
      </w:r>
    </w:p>
    <w:p w:rsidR="00F3476D" w:rsidRDefault="00923749" w:rsidP="00923749">
      <w:pPr>
        <w:pStyle w:val="ListParagraph"/>
        <w:ind w:left="1080"/>
        <w:rPr>
          <w:rFonts w:ascii="Arial" w:hAnsi="Arial" w:cs="Arial"/>
          <w:szCs w:val="24"/>
        </w:rPr>
      </w:pPr>
      <w:r>
        <w:rPr>
          <w:rFonts w:ascii="Arial" w:hAnsi="Arial" w:cs="Arial"/>
          <w:szCs w:val="24"/>
        </w:rPr>
        <w:t>P</w:t>
      </w:r>
      <w:r w:rsidR="00F3476D">
        <w:rPr>
          <w:rFonts w:ascii="Arial" w:hAnsi="Arial" w:cs="Arial"/>
          <w:szCs w:val="24"/>
        </w:rPr>
        <w:t>lease confirm that these omissions were in error and Board staff will make the necessary correction</w:t>
      </w:r>
      <w:r w:rsidR="000921DD">
        <w:rPr>
          <w:rFonts w:ascii="Arial" w:hAnsi="Arial" w:cs="Arial"/>
          <w:szCs w:val="24"/>
        </w:rPr>
        <w:t>s</w:t>
      </w:r>
      <w:r w:rsidR="00F3476D">
        <w:rPr>
          <w:rFonts w:ascii="Arial" w:hAnsi="Arial" w:cs="Arial"/>
          <w:szCs w:val="24"/>
        </w:rPr>
        <w:t>.</w:t>
      </w:r>
    </w:p>
    <w:p w:rsidR="00C0489E" w:rsidRPr="00B4798E" w:rsidRDefault="00C0489E" w:rsidP="00923749">
      <w:pPr>
        <w:pStyle w:val="ListParagraph"/>
        <w:ind w:left="1080"/>
        <w:rPr>
          <w:rFonts w:ascii="Arial" w:hAnsi="Arial" w:cs="Arial"/>
          <w:color w:val="E36C0A" w:themeColor="accent6" w:themeShade="BF"/>
          <w:szCs w:val="24"/>
        </w:rPr>
      </w:pPr>
    </w:p>
    <w:p w:rsidR="00C0489E" w:rsidRDefault="00C0489E" w:rsidP="00923749">
      <w:pPr>
        <w:pStyle w:val="ListParagraph"/>
        <w:ind w:left="1080"/>
        <w:rPr>
          <w:rFonts w:ascii="Arial" w:hAnsi="Arial" w:cs="Arial"/>
          <w:color w:val="E36C0A" w:themeColor="accent6" w:themeShade="BF"/>
          <w:szCs w:val="24"/>
        </w:rPr>
      </w:pPr>
      <w:r w:rsidRPr="00B4798E">
        <w:rPr>
          <w:rFonts w:ascii="Arial" w:hAnsi="Arial" w:cs="Arial"/>
          <w:color w:val="E36C0A" w:themeColor="accent6" w:themeShade="BF"/>
          <w:szCs w:val="24"/>
        </w:rPr>
        <w:t xml:space="preserve">It is confirmed </w:t>
      </w:r>
      <w:r w:rsidRPr="00592239">
        <w:rPr>
          <w:rFonts w:ascii="Arial" w:hAnsi="Arial" w:cs="Arial"/>
          <w:color w:val="E36C0A" w:themeColor="accent6" w:themeShade="BF"/>
          <w:szCs w:val="24"/>
        </w:rPr>
        <w:t xml:space="preserve">that these </w:t>
      </w:r>
      <w:r w:rsidRPr="00B4798E">
        <w:rPr>
          <w:rFonts w:ascii="Arial" w:hAnsi="Arial" w:cs="Arial"/>
          <w:color w:val="E36C0A" w:themeColor="accent6" w:themeShade="BF"/>
          <w:szCs w:val="24"/>
        </w:rPr>
        <w:t xml:space="preserve">omissions were in error. </w:t>
      </w:r>
    </w:p>
    <w:p w:rsidR="00E52770" w:rsidRDefault="00E52770" w:rsidP="00923749">
      <w:pPr>
        <w:pStyle w:val="ListParagraph"/>
        <w:ind w:left="1080"/>
        <w:rPr>
          <w:rFonts w:ascii="Arial" w:hAnsi="Arial" w:cs="Arial"/>
          <w:color w:val="E36C0A" w:themeColor="accent6" w:themeShade="BF"/>
          <w:szCs w:val="24"/>
        </w:rPr>
      </w:pPr>
    </w:p>
    <w:p w:rsidR="00E52770" w:rsidRPr="00E52770" w:rsidRDefault="00E52770" w:rsidP="00923749">
      <w:pPr>
        <w:pStyle w:val="ListParagraph"/>
        <w:ind w:left="1080"/>
        <w:rPr>
          <w:rFonts w:ascii="Arial" w:hAnsi="Arial" w:cs="Arial"/>
          <w:b/>
          <w:color w:val="FF0000"/>
          <w:szCs w:val="24"/>
        </w:rPr>
      </w:pPr>
      <w:r>
        <w:rPr>
          <w:rFonts w:ascii="Arial" w:hAnsi="Arial" w:cs="Arial"/>
          <w:color w:val="FF0000"/>
          <w:szCs w:val="24"/>
        </w:rPr>
        <w:t>Staff</w:t>
      </w:r>
      <w:r w:rsidRPr="00E52770">
        <w:rPr>
          <w:rFonts w:ascii="Arial" w:hAnsi="Arial" w:cs="Arial"/>
          <w:color w:val="FF0000"/>
          <w:szCs w:val="24"/>
        </w:rPr>
        <w:t>: Corrected</w:t>
      </w:r>
    </w:p>
    <w:p w:rsidR="00AE78F3" w:rsidRDefault="00190A40" w:rsidP="00B10CB5">
      <w:pPr>
        <w:rPr>
          <w:rFonts w:ascii="Arial" w:hAnsi="Arial" w:cs="Arial"/>
          <w:b/>
          <w:szCs w:val="24"/>
        </w:rPr>
      </w:pPr>
      <w:r>
        <w:rPr>
          <w:rFonts w:ascii="Arial" w:hAnsi="Arial" w:cs="Arial"/>
          <w:b/>
          <w:szCs w:val="24"/>
        </w:rPr>
        <w:t>Tab 5 – Continuity Schedule</w:t>
      </w:r>
    </w:p>
    <w:p w:rsidR="00190A40" w:rsidRPr="00C957A8" w:rsidRDefault="00190A40" w:rsidP="00190A40">
      <w:pPr>
        <w:pStyle w:val="ListParagraph"/>
        <w:numPr>
          <w:ilvl w:val="0"/>
          <w:numId w:val="4"/>
        </w:numPr>
        <w:rPr>
          <w:rFonts w:ascii="Arial" w:hAnsi="Arial" w:cs="Arial"/>
          <w:szCs w:val="24"/>
        </w:rPr>
      </w:pPr>
      <w:r w:rsidRPr="00C957A8">
        <w:rPr>
          <w:rFonts w:ascii="Arial" w:hAnsi="Arial" w:cs="Arial"/>
          <w:szCs w:val="24"/>
        </w:rPr>
        <w:t xml:space="preserve">Columns G and L (Board-Approved principal and interest during 2010, respectively) has not been entered. </w:t>
      </w:r>
    </w:p>
    <w:p w:rsidR="00190A40" w:rsidRDefault="00190A40" w:rsidP="00190A40">
      <w:pPr>
        <w:pStyle w:val="ListParagraph"/>
        <w:numPr>
          <w:ilvl w:val="0"/>
          <w:numId w:val="4"/>
        </w:numPr>
        <w:rPr>
          <w:rFonts w:ascii="Arial" w:hAnsi="Arial" w:cs="Arial"/>
          <w:szCs w:val="24"/>
        </w:rPr>
      </w:pPr>
      <w:r w:rsidRPr="00C957A8">
        <w:rPr>
          <w:rFonts w:ascii="Arial" w:hAnsi="Arial" w:cs="Arial"/>
          <w:szCs w:val="24"/>
        </w:rPr>
        <w:t>Column Q (Board-Approved principal during 2011) has not been entered.</w:t>
      </w:r>
    </w:p>
    <w:p w:rsidR="00AE78F3" w:rsidRDefault="00C957A8" w:rsidP="00B30534">
      <w:pPr>
        <w:pStyle w:val="ListParagraph"/>
        <w:ind w:left="1080"/>
        <w:rPr>
          <w:rFonts w:ascii="Arial" w:hAnsi="Arial" w:cs="Arial"/>
          <w:szCs w:val="24"/>
        </w:rPr>
      </w:pPr>
      <w:r>
        <w:rPr>
          <w:rFonts w:ascii="Arial" w:hAnsi="Arial" w:cs="Arial"/>
          <w:szCs w:val="24"/>
        </w:rPr>
        <w:t>Please confirm that these omissions were in error and</w:t>
      </w:r>
      <w:r w:rsidR="007728AD">
        <w:rPr>
          <w:rFonts w:ascii="Arial" w:hAnsi="Arial" w:cs="Arial"/>
          <w:szCs w:val="24"/>
        </w:rPr>
        <w:t xml:space="preserve"> provide the correct amounts, and</w:t>
      </w:r>
      <w:r>
        <w:rPr>
          <w:rFonts w:ascii="Arial" w:hAnsi="Arial" w:cs="Arial"/>
          <w:szCs w:val="24"/>
        </w:rPr>
        <w:t xml:space="preserve"> Board staff will update Thunder Bay Hydro’s Rate Generator Model with the appropriate figures.</w:t>
      </w:r>
    </w:p>
    <w:p w:rsidR="00FC6BE2" w:rsidRDefault="00FC6BE2" w:rsidP="00B30534">
      <w:pPr>
        <w:pStyle w:val="ListParagraph"/>
        <w:ind w:left="1080"/>
        <w:rPr>
          <w:rFonts w:ascii="Arial" w:hAnsi="Arial" w:cs="Arial"/>
          <w:color w:val="E36C0A" w:themeColor="accent6" w:themeShade="BF"/>
          <w:szCs w:val="24"/>
        </w:rPr>
      </w:pPr>
      <w:r w:rsidRPr="00B4798E">
        <w:rPr>
          <w:rFonts w:ascii="Arial" w:hAnsi="Arial" w:cs="Arial"/>
          <w:color w:val="E36C0A" w:themeColor="accent6" w:themeShade="BF"/>
          <w:szCs w:val="24"/>
        </w:rPr>
        <w:t xml:space="preserve">It is confirmed that these omissions were in error. The </w:t>
      </w:r>
      <w:r w:rsidR="00F845BE" w:rsidRPr="00B4798E">
        <w:rPr>
          <w:rFonts w:ascii="Arial" w:hAnsi="Arial" w:cs="Arial"/>
          <w:color w:val="E36C0A" w:themeColor="accent6" w:themeShade="BF"/>
          <w:szCs w:val="24"/>
        </w:rPr>
        <w:t>continuity</w:t>
      </w:r>
      <w:r w:rsidRPr="00B4798E">
        <w:rPr>
          <w:rFonts w:ascii="Arial" w:hAnsi="Arial" w:cs="Arial"/>
          <w:color w:val="E36C0A" w:themeColor="accent6" w:themeShade="BF"/>
          <w:szCs w:val="24"/>
        </w:rPr>
        <w:t xml:space="preserve"> schedule has been updated to reflect those amounts</w:t>
      </w:r>
      <w:r w:rsidR="00C8683B" w:rsidRPr="00B4798E">
        <w:rPr>
          <w:rFonts w:ascii="Arial" w:hAnsi="Arial" w:cs="Arial"/>
          <w:color w:val="E36C0A" w:themeColor="accent6" w:themeShade="BF"/>
          <w:szCs w:val="24"/>
        </w:rPr>
        <w:t xml:space="preserve"> and is </w:t>
      </w:r>
      <w:r w:rsidR="00A02BD9">
        <w:rPr>
          <w:rFonts w:ascii="Arial" w:hAnsi="Arial" w:cs="Arial"/>
          <w:color w:val="E36C0A" w:themeColor="accent6" w:themeShade="BF"/>
          <w:szCs w:val="24"/>
        </w:rPr>
        <w:t xml:space="preserve">included in the revised IRM model </w:t>
      </w:r>
      <w:r w:rsidR="00C8683B" w:rsidRPr="00B4798E">
        <w:rPr>
          <w:rFonts w:ascii="Arial" w:hAnsi="Arial" w:cs="Arial"/>
          <w:color w:val="E36C0A" w:themeColor="accent6" w:themeShade="BF"/>
          <w:szCs w:val="24"/>
        </w:rPr>
        <w:t xml:space="preserve">attached. </w:t>
      </w:r>
    </w:p>
    <w:p w:rsidR="00E52770" w:rsidRDefault="00E52770" w:rsidP="00B30534">
      <w:pPr>
        <w:pStyle w:val="ListParagraph"/>
        <w:ind w:left="1080"/>
        <w:rPr>
          <w:rFonts w:ascii="Arial" w:hAnsi="Arial" w:cs="Arial"/>
          <w:color w:val="E36C0A" w:themeColor="accent6" w:themeShade="BF"/>
          <w:szCs w:val="24"/>
        </w:rPr>
      </w:pPr>
    </w:p>
    <w:p w:rsidR="00E52770" w:rsidRPr="00E52770" w:rsidRDefault="00E52770" w:rsidP="00B30534">
      <w:pPr>
        <w:pStyle w:val="ListParagraph"/>
        <w:ind w:left="1080"/>
        <w:rPr>
          <w:rFonts w:ascii="Arial" w:hAnsi="Arial" w:cs="Arial"/>
          <w:color w:val="FF0000"/>
          <w:szCs w:val="24"/>
        </w:rPr>
      </w:pPr>
      <w:r>
        <w:rPr>
          <w:rFonts w:ascii="Arial" w:hAnsi="Arial" w:cs="Arial"/>
          <w:color w:val="FF0000"/>
          <w:szCs w:val="24"/>
        </w:rPr>
        <w:t>Staff</w:t>
      </w:r>
      <w:r w:rsidRPr="00E52770">
        <w:rPr>
          <w:rFonts w:ascii="Arial" w:hAnsi="Arial" w:cs="Arial"/>
          <w:color w:val="FF0000"/>
          <w:szCs w:val="24"/>
        </w:rPr>
        <w:t>: Inputs confirmed.</w:t>
      </w:r>
    </w:p>
    <w:p w:rsidR="00B10CB5" w:rsidRPr="00F25732" w:rsidRDefault="00B10CB5" w:rsidP="00B10CB5">
      <w:pPr>
        <w:rPr>
          <w:rFonts w:ascii="Arial" w:hAnsi="Arial" w:cs="Arial"/>
          <w:b/>
          <w:szCs w:val="24"/>
        </w:rPr>
      </w:pPr>
      <w:r w:rsidRPr="00F25732">
        <w:rPr>
          <w:rFonts w:ascii="Arial" w:hAnsi="Arial" w:cs="Arial"/>
          <w:b/>
          <w:szCs w:val="24"/>
        </w:rPr>
        <w:lastRenderedPageBreak/>
        <w:t>Tab 15 – RTSR – UTRs &amp; Sub-Tx</w:t>
      </w:r>
    </w:p>
    <w:p w:rsidR="00B10CB5" w:rsidRPr="00F25732" w:rsidRDefault="00B10CB5" w:rsidP="00B10CB5">
      <w:pPr>
        <w:spacing w:after="0" w:line="240" w:lineRule="auto"/>
        <w:rPr>
          <w:rFonts w:ascii="Arial" w:hAnsi="Arial" w:cs="Arial"/>
          <w:lang w:val="en-US"/>
        </w:rPr>
      </w:pPr>
      <w:r w:rsidRPr="00F25732">
        <w:rPr>
          <w:rFonts w:ascii="Arial" w:hAnsi="Arial" w:cs="Arial"/>
          <w:lang w:val="en-US"/>
        </w:rPr>
        <w:t xml:space="preserve">Board staff notes that the Hydro One Sub-Transmission Rate Rider 9A expires on December 31, 2014 and therefore the rates should be removed. </w:t>
      </w:r>
    </w:p>
    <w:p w:rsidR="00B10CB5" w:rsidRPr="00F25732" w:rsidRDefault="00B10CB5" w:rsidP="00B10CB5">
      <w:pPr>
        <w:spacing w:after="0" w:line="240" w:lineRule="auto"/>
        <w:rPr>
          <w:rFonts w:ascii="Arial" w:hAnsi="Arial" w:cs="Arial"/>
          <w:lang w:val="en-US"/>
        </w:rPr>
      </w:pPr>
    </w:p>
    <w:p w:rsidR="00B10CB5" w:rsidRDefault="00B10CB5" w:rsidP="00B30534">
      <w:pPr>
        <w:spacing w:after="0" w:line="240" w:lineRule="auto"/>
        <w:ind w:left="720"/>
        <w:rPr>
          <w:rFonts w:ascii="Arial" w:hAnsi="Arial" w:cs="Arial"/>
          <w:lang w:val="en-US"/>
        </w:rPr>
      </w:pPr>
      <w:r w:rsidRPr="00F25732">
        <w:rPr>
          <w:rFonts w:ascii="Arial" w:hAnsi="Arial" w:cs="Arial"/>
          <w:lang w:val="en-US"/>
        </w:rPr>
        <w:t xml:space="preserve">Board staff will make the necessary </w:t>
      </w:r>
      <w:r>
        <w:rPr>
          <w:rFonts w:ascii="Arial" w:hAnsi="Arial" w:cs="Arial"/>
          <w:lang w:val="en-US"/>
        </w:rPr>
        <w:t>adjustments to Thunder Bay</w:t>
      </w:r>
      <w:r w:rsidRPr="00F25732">
        <w:rPr>
          <w:rFonts w:ascii="Arial" w:hAnsi="Arial" w:cs="Arial"/>
          <w:lang w:val="en-US"/>
        </w:rPr>
        <w:t xml:space="preserve"> Hydro’s Rate Generator Model.</w:t>
      </w:r>
    </w:p>
    <w:p w:rsidR="00B77DBF" w:rsidRDefault="00B77DBF" w:rsidP="00B30534">
      <w:pPr>
        <w:spacing w:after="0" w:line="240" w:lineRule="auto"/>
        <w:ind w:left="720"/>
        <w:rPr>
          <w:rFonts w:ascii="Arial" w:hAnsi="Arial" w:cs="Arial"/>
          <w:lang w:val="en-US"/>
        </w:rPr>
      </w:pPr>
    </w:p>
    <w:p w:rsidR="00B77DBF" w:rsidRDefault="00B77DBF" w:rsidP="00B30534">
      <w:pPr>
        <w:spacing w:after="0" w:line="240" w:lineRule="auto"/>
        <w:ind w:left="720"/>
        <w:rPr>
          <w:rFonts w:ascii="Arial" w:hAnsi="Arial" w:cs="Arial"/>
          <w:color w:val="E36C0A" w:themeColor="accent6" w:themeShade="BF"/>
          <w:lang w:val="en-US"/>
        </w:rPr>
      </w:pPr>
      <w:r w:rsidRPr="00B4798E">
        <w:rPr>
          <w:rFonts w:ascii="Arial" w:hAnsi="Arial" w:cs="Arial"/>
          <w:color w:val="E36C0A" w:themeColor="accent6" w:themeShade="BF"/>
          <w:lang w:val="en-US"/>
        </w:rPr>
        <w:t>No further action</w:t>
      </w:r>
      <w:r w:rsidR="00F54E67">
        <w:rPr>
          <w:rFonts w:ascii="Arial" w:hAnsi="Arial" w:cs="Arial"/>
          <w:color w:val="E36C0A" w:themeColor="accent6" w:themeShade="BF"/>
          <w:lang w:val="en-US"/>
        </w:rPr>
        <w:t>.</w:t>
      </w:r>
    </w:p>
    <w:p w:rsidR="00E52770" w:rsidRDefault="00E52770" w:rsidP="00B30534">
      <w:pPr>
        <w:spacing w:after="0" w:line="240" w:lineRule="auto"/>
        <w:ind w:left="720"/>
        <w:rPr>
          <w:rFonts w:ascii="Arial" w:hAnsi="Arial" w:cs="Arial"/>
          <w:color w:val="E36C0A" w:themeColor="accent6" w:themeShade="BF"/>
          <w:lang w:val="en-US"/>
        </w:rPr>
      </w:pPr>
    </w:p>
    <w:p w:rsidR="00E52770" w:rsidRPr="00E52770" w:rsidRDefault="00E52770" w:rsidP="00B30534">
      <w:pPr>
        <w:spacing w:after="0" w:line="240" w:lineRule="auto"/>
        <w:ind w:left="720"/>
        <w:rPr>
          <w:rFonts w:ascii="Arial" w:hAnsi="Arial" w:cs="Arial"/>
          <w:color w:val="FF0000"/>
          <w:lang w:val="en-US"/>
        </w:rPr>
      </w:pPr>
      <w:r w:rsidRPr="00E52770">
        <w:rPr>
          <w:rFonts w:ascii="Arial" w:hAnsi="Arial" w:cs="Arial"/>
          <w:color w:val="FF0000"/>
          <w:lang w:val="en-US"/>
        </w:rPr>
        <w:t>Staff: Hydro One Sub-</w:t>
      </w:r>
      <w:proofErr w:type="spellStart"/>
      <w:r w:rsidRPr="00E52770">
        <w:rPr>
          <w:rFonts w:ascii="Arial" w:hAnsi="Arial" w:cs="Arial"/>
          <w:color w:val="FF0000"/>
          <w:lang w:val="en-US"/>
        </w:rPr>
        <w:t>Tx</w:t>
      </w:r>
      <w:proofErr w:type="spellEnd"/>
      <w:r w:rsidRPr="00E52770">
        <w:rPr>
          <w:rFonts w:ascii="Arial" w:hAnsi="Arial" w:cs="Arial"/>
          <w:color w:val="FF0000"/>
          <w:lang w:val="en-US"/>
        </w:rPr>
        <w:t xml:space="preserve"> rate riders removed.</w:t>
      </w:r>
    </w:p>
    <w:p w:rsidR="00B10CB5" w:rsidRDefault="00B10CB5" w:rsidP="00B10CB5">
      <w:pPr>
        <w:rPr>
          <w:rFonts w:ascii="Arial" w:hAnsi="Arial" w:cs="Arial"/>
          <w:szCs w:val="24"/>
        </w:rPr>
      </w:pPr>
    </w:p>
    <w:p w:rsidR="00B10CB5" w:rsidRPr="00E12229" w:rsidRDefault="00B10CB5" w:rsidP="00B10CB5">
      <w:pPr>
        <w:rPr>
          <w:rFonts w:ascii="Arial" w:hAnsi="Arial" w:cs="Arial"/>
          <w:szCs w:val="24"/>
        </w:rPr>
      </w:pPr>
      <w:r>
        <w:rPr>
          <w:rFonts w:ascii="Arial" w:hAnsi="Arial" w:cs="Arial"/>
          <w:noProof/>
          <w:szCs w:val="24"/>
          <w:lang w:eastAsia="en-CA"/>
        </w:rPr>
        <w:drawing>
          <wp:inline distT="0" distB="0" distL="0" distR="0" wp14:anchorId="2430B54C" wp14:editId="7BA7FBE6">
            <wp:extent cx="5524500" cy="184130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5090" cy="1841500"/>
                    </a:xfrm>
                    <a:prstGeom prst="rect">
                      <a:avLst/>
                    </a:prstGeom>
                    <a:noFill/>
                  </pic:spPr>
                </pic:pic>
              </a:graphicData>
            </a:graphic>
          </wp:inline>
        </w:drawing>
      </w:r>
    </w:p>
    <w:p w:rsidR="00B10CB5" w:rsidRPr="00CA2D58" w:rsidRDefault="00CA2D58" w:rsidP="00B10CB5">
      <w:pPr>
        <w:rPr>
          <w:rFonts w:ascii="Arial" w:hAnsi="Arial" w:cs="Arial"/>
          <w:b/>
          <w:szCs w:val="24"/>
        </w:rPr>
      </w:pPr>
      <w:r w:rsidRPr="00CA2D58">
        <w:rPr>
          <w:rFonts w:ascii="Arial" w:hAnsi="Arial" w:cs="Arial"/>
          <w:b/>
          <w:szCs w:val="24"/>
        </w:rPr>
        <w:t>Tab 16 – RTSR – Historical Wholesale</w:t>
      </w:r>
    </w:p>
    <w:p w:rsidR="00CA2D58" w:rsidRPr="004B11A9" w:rsidRDefault="00CA2D58" w:rsidP="00B10CB5">
      <w:pPr>
        <w:rPr>
          <w:rFonts w:ascii="Arial" w:hAnsi="Arial" w:cs="Arial"/>
          <w:sz w:val="24"/>
          <w:szCs w:val="24"/>
        </w:rPr>
      </w:pPr>
      <w:r w:rsidRPr="00CA2D58">
        <w:rPr>
          <w:noProof/>
          <w:lang w:eastAsia="en-CA"/>
        </w:rPr>
        <w:drawing>
          <wp:inline distT="0" distB="0" distL="0" distR="0" wp14:anchorId="3001DF9B" wp14:editId="52EC16D9">
            <wp:extent cx="6217920" cy="1996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9464" cy="1996936"/>
                    </a:xfrm>
                    <a:prstGeom prst="rect">
                      <a:avLst/>
                    </a:prstGeom>
                    <a:noFill/>
                    <a:ln>
                      <a:noFill/>
                    </a:ln>
                  </pic:spPr>
                </pic:pic>
              </a:graphicData>
            </a:graphic>
          </wp:inline>
        </w:drawing>
      </w:r>
    </w:p>
    <w:p w:rsidR="00B10CB5" w:rsidRPr="007621D3" w:rsidRDefault="007621D3" w:rsidP="00B10CB5">
      <w:pPr>
        <w:rPr>
          <w:rFonts w:ascii="Arial" w:hAnsi="Arial" w:cs="Arial"/>
          <w:szCs w:val="24"/>
        </w:rPr>
      </w:pPr>
      <w:r w:rsidRPr="007621D3">
        <w:rPr>
          <w:rFonts w:ascii="Arial" w:hAnsi="Arial" w:cs="Arial"/>
          <w:szCs w:val="24"/>
        </w:rPr>
        <w:t>Board staff notes that the following U</w:t>
      </w:r>
      <w:r>
        <w:rPr>
          <w:rFonts w:ascii="Arial" w:hAnsi="Arial" w:cs="Arial"/>
          <w:szCs w:val="24"/>
        </w:rPr>
        <w:t xml:space="preserve">niform </w:t>
      </w:r>
      <w:r w:rsidRPr="007621D3">
        <w:rPr>
          <w:rFonts w:ascii="Arial" w:hAnsi="Arial" w:cs="Arial"/>
          <w:szCs w:val="24"/>
        </w:rPr>
        <w:t>T</w:t>
      </w:r>
      <w:r>
        <w:rPr>
          <w:rFonts w:ascii="Arial" w:hAnsi="Arial" w:cs="Arial"/>
          <w:szCs w:val="24"/>
        </w:rPr>
        <w:t xml:space="preserve">ransmission </w:t>
      </w:r>
      <w:r w:rsidRPr="007621D3">
        <w:rPr>
          <w:rFonts w:ascii="Arial" w:hAnsi="Arial" w:cs="Arial"/>
          <w:szCs w:val="24"/>
        </w:rPr>
        <w:t>R</w:t>
      </w:r>
      <w:r>
        <w:rPr>
          <w:rFonts w:ascii="Arial" w:hAnsi="Arial" w:cs="Arial"/>
          <w:szCs w:val="24"/>
        </w:rPr>
        <w:t>ate</w:t>
      </w:r>
      <w:r w:rsidRPr="007621D3">
        <w:rPr>
          <w:rFonts w:ascii="Arial" w:hAnsi="Arial" w:cs="Arial"/>
          <w:szCs w:val="24"/>
        </w:rPr>
        <w:t>s were effective January 1, 2013:</w:t>
      </w:r>
    </w:p>
    <w:p w:rsidR="007621D3" w:rsidRPr="007621D3" w:rsidRDefault="007621D3" w:rsidP="007621D3">
      <w:pPr>
        <w:pStyle w:val="ListParagraph"/>
        <w:numPr>
          <w:ilvl w:val="0"/>
          <w:numId w:val="6"/>
        </w:numPr>
        <w:rPr>
          <w:rFonts w:ascii="Arial" w:hAnsi="Arial" w:cs="Arial"/>
          <w:szCs w:val="24"/>
        </w:rPr>
      </w:pPr>
      <w:r w:rsidRPr="007621D3">
        <w:rPr>
          <w:rFonts w:ascii="Arial" w:hAnsi="Arial" w:cs="Arial"/>
          <w:szCs w:val="24"/>
        </w:rPr>
        <w:t>Network</w:t>
      </w:r>
      <w:r>
        <w:rPr>
          <w:rFonts w:ascii="Arial" w:hAnsi="Arial" w:cs="Arial"/>
          <w:szCs w:val="24"/>
        </w:rPr>
        <w:t xml:space="preserve"> Service Rate: $3.63</w:t>
      </w:r>
    </w:p>
    <w:p w:rsidR="007621D3" w:rsidRPr="007621D3" w:rsidRDefault="007621D3" w:rsidP="007621D3">
      <w:pPr>
        <w:pStyle w:val="ListParagraph"/>
        <w:numPr>
          <w:ilvl w:val="0"/>
          <w:numId w:val="6"/>
        </w:numPr>
        <w:rPr>
          <w:rFonts w:ascii="Arial" w:hAnsi="Arial" w:cs="Arial"/>
          <w:szCs w:val="24"/>
        </w:rPr>
      </w:pPr>
      <w:r w:rsidRPr="007621D3">
        <w:rPr>
          <w:rFonts w:ascii="Arial" w:hAnsi="Arial" w:cs="Arial"/>
          <w:szCs w:val="24"/>
        </w:rPr>
        <w:t>Line Connection Service Rate</w:t>
      </w:r>
      <w:r>
        <w:rPr>
          <w:rFonts w:ascii="Arial" w:hAnsi="Arial" w:cs="Arial"/>
          <w:szCs w:val="24"/>
        </w:rPr>
        <w:t>: $0.75</w:t>
      </w:r>
    </w:p>
    <w:p w:rsidR="007621D3" w:rsidRPr="007621D3" w:rsidRDefault="007621D3" w:rsidP="007621D3">
      <w:pPr>
        <w:pStyle w:val="ListParagraph"/>
        <w:numPr>
          <w:ilvl w:val="0"/>
          <w:numId w:val="6"/>
        </w:numPr>
        <w:rPr>
          <w:rFonts w:ascii="Arial" w:hAnsi="Arial" w:cs="Arial"/>
          <w:szCs w:val="24"/>
        </w:rPr>
      </w:pPr>
      <w:r w:rsidRPr="007621D3">
        <w:rPr>
          <w:rFonts w:ascii="Arial" w:hAnsi="Arial" w:cs="Arial"/>
          <w:szCs w:val="24"/>
        </w:rPr>
        <w:t>Transformation Connection Service Rate</w:t>
      </w:r>
      <w:r>
        <w:rPr>
          <w:rFonts w:ascii="Arial" w:hAnsi="Arial" w:cs="Arial"/>
          <w:szCs w:val="24"/>
        </w:rPr>
        <w:t>: $1.85</w:t>
      </w:r>
    </w:p>
    <w:p w:rsidR="00746080" w:rsidRDefault="007621D3" w:rsidP="00B30534">
      <w:pPr>
        <w:ind w:left="360"/>
        <w:rPr>
          <w:rFonts w:ascii="Arial" w:hAnsi="Arial" w:cs="Arial"/>
          <w:szCs w:val="24"/>
        </w:rPr>
      </w:pPr>
      <w:r w:rsidRPr="007621D3">
        <w:rPr>
          <w:rFonts w:ascii="Arial" w:hAnsi="Arial" w:cs="Arial"/>
          <w:szCs w:val="24"/>
        </w:rPr>
        <w:t xml:space="preserve">Please provide an explanation for the varying rates entered on tab 16 on the Rate Generator Model. If any corrections are required, please confirm the correct figures, and Board staff will make the necessary corrections to the Model. </w:t>
      </w:r>
    </w:p>
    <w:p w:rsidR="00F845BE" w:rsidRDefault="00F845BE" w:rsidP="00B30534">
      <w:pPr>
        <w:ind w:left="360"/>
        <w:rPr>
          <w:rFonts w:ascii="Arial" w:hAnsi="Arial" w:cs="Arial"/>
          <w:color w:val="E36C0A" w:themeColor="accent6" w:themeShade="BF"/>
          <w:szCs w:val="24"/>
        </w:rPr>
      </w:pPr>
      <w:r w:rsidRPr="00B4798E">
        <w:rPr>
          <w:rFonts w:ascii="Arial" w:hAnsi="Arial" w:cs="Arial"/>
          <w:color w:val="E36C0A" w:themeColor="accent6" w:themeShade="BF"/>
          <w:szCs w:val="24"/>
        </w:rPr>
        <w:lastRenderedPageBreak/>
        <w:t xml:space="preserve">The volume used </w:t>
      </w:r>
      <w:r w:rsidR="00A02BD9">
        <w:rPr>
          <w:rFonts w:ascii="Arial" w:hAnsi="Arial" w:cs="Arial"/>
          <w:color w:val="E36C0A" w:themeColor="accent6" w:themeShade="BF"/>
          <w:szCs w:val="24"/>
        </w:rPr>
        <w:t xml:space="preserve">in the </w:t>
      </w:r>
      <w:r w:rsidR="00210783">
        <w:rPr>
          <w:rFonts w:ascii="Arial" w:hAnsi="Arial" w:cs="Arial"/>
          <w:color w:val="E36C0A" w:themeColor="accent6" w:themeShade="BF"/>
          <w:szCs w:val="24"/>
        </w:rPr>
        <w:t>original</w:t>
      </w:r>
      <w:r w:rsidR="00A02BD9">
        <w:rPr>
          <w:rFonts w:ascii="Arial" w:hAnsi="Arial" w:cs="Arial"/>
          <w:color w:val="E36C0A" w:themeColor="accent6" w:themeShade="BF"/>
          <w:szCs w:val="24"/>
        </w:rPr>
        <w:t xml:space="preserve"> submission </w:t>
      </w:r>
      <w:r w:rsidR="00E45F78">
        <w:rPr>
          <w:rFonts w:ascii="Arial" w:hAnsi="Arial" w:cs="Arial"/>
          <w:color w:val="E36C0A" w:themeColor="accent6" w:themeShade="BF"/>
          <w:szCs w:val="24"/>
        </w:rPr>
        <w:t>was</w:t>
      </w:r>
      <w:r w:rsidRPr="00B4798E">
        <w:rPr>
          <w:rFonts w:ascii="Arial" w:hAnsi="Arial" w:cs="Arial"/>
          <w:color w:val="E36C0A" w:themeColor="accent6" w:themeShade="BF"/>
          <w:szCs w:val="24"/>
        </w:rPr>
        <w:t xml:space="preserve"> the IESO </w:t>
      </w:r>
      <w:r w:rsidR="00E45F78">
        <w:rPr>
          <w:rFonts w:ascii="Arial" w:hAnsi="Arial" w:cs="Arial"/>
          <w:color w:val="E36C0A" w:themeColor="accent6" w:themeShade="BF"/>
          <w:szCs w:val="24"/>
        </w:rPr>
        <w:t xml:space="preserve">monthly </w:t>
      </w:r>
      <w:r w:rsidRPr="00B4798E">
        <w:rPr>
          <w:rFonts w:ascii="Arial" w:hAnsi="Arial" w:cs="Arial"/>
          <w:color w:val="E36C0A" w:themeColor="accent6" w:themeShade="BF"/>
          <w:szCs w:val="24"/>
        </w:rPr>
        <w:t>peak</w:t>
      </w:r>
      <w:r w:rsidR="00E45F78">
        <w:rPr>
          <w:rFonts w:ascii="Arial" w:hAnsi="Arial" w:cs="Arial"/>
          <w:color w:val="E36C0A" w:themeColor="accent6" w:themeShade="BF"/>
          <w:szCs w:val="24"/>
        </w:rPr>
        <w:t xml:space="preserve"> average</w:t>
      </w:r>
      <w:r w:rsidR="007B5A00">
        <w:rPr>
          <w:rFonts w:ascii="Arial" w:hAnsi="Arial" w:cs="Arial"/>
          <w:color w:val="E36C0A" w:themeColor="accent6" w:themeShade="BF"/>
          <w:szCs w:val="24"/>
        </w:rPr>
        <w:t>. The table</w:t>
      </w:r>
      <w:r w:rsidR="00E45F78">
        <w:rPr>
          <w:rFonts w:ascii="Arial" w:hAnsi="Arial" w:cs="Arial"/>
          <w:color w:val="E36C0A" w:themeColor="accent6" w:themeShade="BF"/>
          <w:szCs w:val="24"/>
        </w:rPr>
        <w:t xml:space="preserve">s been updated to reflect the network, line and connection volumes. The updated volumes are below, and also included in the attached </w:t>
      </w:r>
      <w:r w:rsidR="00A02BD9">
        <w:rPr>
          <w:rFonts w:ascii="Arial" w:hAnsi="Arial" w:cs="Arial"/>
          <w:color w:val="E36C0A" w:themeColor="accent6" w:themeShade="BF"/>
          <w:szCs w:val="24"/>
        </w:rPr>
        <w:t xml:space="preserve">revised IRM model, </w:t>
      </w:r>
      <w:r w:rsidR="00E45F78">
        <w:rPr>
          <w:rFonts w:ascii="Arial" w:hAnsi="Arial" w:cs="Arial"/>
          <w:color w:val="E36C0A" w:themeColor="accent6" w:themeShade="BF"/>
          <w:szCs w:val="24"/>
        </w:rPr>
        <w:t>tab 16.</w:t>
      </w:r>
    </w:p>
    <w:p w:rsidR="00E52770" w:rsidRPr="00E52770" w:rsidRDefault="00E52770" w:rsidP="00B30534">
      <w:pPr>
        <w:ind w:left="360"/>
        <w:rPr>
          <w:rFonts w:ascii="Arial" w:hAnsi="Arial" w:cs="Arial"/>
          <w:color w:val="FF0000"/>
          <w:szCs w:val="24"/>
        </w:rPr>
      </w:pPr>
      <w:r w:rsidRPr="00E52770">
        <w:rPr>
          <w:rFonts w:ascii="Arial" w:hAnsi="Arial" w:cs="Arial"/>
          <w:color w:val="FF0000"/>
          <w:szCs w:val="24"/>
        </w:rPr>
        <w:t xml:space="preserve">Staff: Board staff thanks Thunder Bay Hydro for making the necessary corrections. </w:t>
      </w:r>
    </w:p>
    <w:p w:rsidR="00E45F78" w:rsidRDefault="00254827" w:rsidP="00B30534">
      <w:pPr>
        <w:ind w:left="360"/>
        <w:rPr>
          <w:rFonts w:ascii="Arial" w:hAnsi="Arial" w:cs="Arial"/>
          <w:color w:val="E36C0A" w:themeColor="accent6" w:themeShade="BF"/>
          <w:szCs w:val="24"/>
        </w:rPr>
      </w:pPr>
      <w:r w:rsidRPr="00254827">
        <w:rPr>
          <w:noProof/>
          <w:lang w:eastAsia="en-CA"/>
        </w:rPr>
        <w:drawing>
          <wp:inline distT="0" distB="0" distL="0" distR="0" wp14:anchorId="7C3FD2B0" wp14:editId="3782A4BF">
            <wp:extent cx="5943600" cy="187849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78496"/>
                    </a:xfrm>
                    <a:prstGeom prst="rect">
                      <a:avLst/>
                    </a:prstGeom>
                    <a:noFill/>
                    <a:ln>
                      <a:noFill/>
                    </a:ln>
                  </pic:spPr>
                </pic:pic>
              </a:graphicData>
            </a:graphic>
          </wp:inline>
        </w:drawing>
      </w:r>
    </w:p>
    <w:p w:rsidR="00E45F78" w:rsidRPr="00B4798E" w:rsidRDefault="00E45F78" w:rsidP="00B30534">
      <w:pPr>
        <w:ind w:left="360"/>
        <w:rPr>
          <w:rFonts w:ascii="Arial" w:hAnsi="Arial" w:cs="Arial"/>
          <w:color w:val="E36C0A" w:themeColor="accent6" w:themeShade="BF"/>
          <w:szCs w:val="24"/>
        </w:rPr>
      </w:pPr>
    </w:p>
    <w:p w:rsidR="00F21C4D" w:rsidRDefault="00F21C4D">
      <w:pPr>
        <w:rPr>
          <w:rFonts w:ascii="Arial" w:hAnsi="Arial" w:cs="Arial"/>
          <w:b/>
          <w:szCs w:val="24"/>
        </w:rPr>
      </w:pPr>
      <w:r>
        <w:rPr>
          <w:rFonts w:ascii="Arial" w:hAnsi="Arial" w:cs="Arial"/>
          <w:b/>
          <w:szCs w:val="24"/>
        </w:rPr>
        <w:t>Tab 27 – Final Tariff Schedule</w:t>
      </w:r>
    </w:p>
    <w:p w:rsidR="00F21C4D" w:rsidRPr="00420097" w:rsidRDefault="00F21C4D">
      <w:pPr>
        <w:rPr>
          <w:rFonts w:ascii="Arial" w:hAnsi="Arial" w:cs="Arial"/>
          <w:szCs w:val="24"/>
        </w:rPr>
      </w:pPr>
      <w:r w:rsidRPr="00420097">
        <w:rPr>
          <w:rFonts w:ascii="Arial" w:hAnsi="Arial" w:cs="Arial"/>
          <w:szCs w:val="24"/>
        </w:rPr>
        <w:t xml:space="preserve">Board staff notes that in the final tariff schedule, effective May 1, 2015 provided by Thunder Bay Hydro, the Rate Rider for Deferral/Variance Accounts applicable to its Class A customer is entered under a separate rate class (i.e. General Service Greater Than 50kW – WMP Service Classification). </w:t>
      </w:r>
    </w:p>
    <w:p w:rsidR="00F21C4D" w:rsidRPr="00420097" w:rsidRDefault="00F21C4D" w:rsidP="00F21C4D">
      <w:pPr>
        <w:pStyle w:val="ListParagraph"/>
        <w:numPr>
          <w:ilvl w:val="0"/>
          <w:numId w:val="10"/>
        </w:numPr>
        <w:rPr>
          <w:rFonts w:ascii="Arial" w:hAnsi="Arial" w:cs="Arial"/>
          <w:szCs w:val="24"/>
        </w:rPr>
      </w:pPr>
      <w:r w:rsidRPr="00420097">
        <w:rPr>
          <w:rFonts w:ascii="Arial" w:hAnsi="Arial" w:cs="Arial"/>
          <w:szCs w:val="24"/>
        </w:rPr>
        <w:t>Please confirm that this rate rider should be entered in the General Service 1,000 to 4,999kW Service Classification in Thunder Bay Hydro’s final Tariff of Rates and Charges.</w:t>
      </w:r>
    </w:p>
    <w:p w:rsidR="00420097" w:rsidRPr="002415AD" w:rsidRDefault="00420097" w:rsidP="00420097">
      <w:pPr>
        <w:rPr>
          <w:rFonts w:ascii="Arial" w:hAnsi="Arial" w:cs="Arial"/>
          <w:color w:val="E36C0A" w:themeColor="accent6" w:themeShade="BF"/>
          <w:szCs w:val="24"/>
        </w:rPr>
      </w:pPr>
      <w:r w:rsidRPr="002415AD">
        <w:rPr>
          <w:rFonts w:ascii="Arial" w:hAnsi="Arial" w:cs="Arial"/>
          <w:color w:val="E36C0A" w:themeColor="accent6" w:themeShade="BF"/>
          <w:szCs w:val="24"/>
        </w:rPr>
        <w:t>Thunder Bay Hydro has 8 rate classes.  In the 2015 IRM original submission, a 9th was added for the purpose to separate the volume of one Class A customer in the 1,000 – 4,999 rate class. This customer is not a WMP</w:t>
      </w:r>
      <w:r w:rsidR="00D97E08" w:rsidRPr="002415AD">
        <w:rPr>
          <w:rFonts w:ascii="Arial" w:hAnsi="Arial" w:cs="Arial"/>
          <w:color w:val="E36C0A" w:themeColor="accent6" w:themeShade="BF"/>
          <w:szCs w:val="24"/>
        </w:rPr>
        <w:t xml:space="preserve"> (each month, t</w:t>
      </w:r>
      <w:r w:rsidRPr="002415AD">
        <w:rPr>
          <w:rFonts w:ascii="Arial" w:hAnsi="Arial" w:cs="Arial"/>
          <w:color w:val="E36C0A" w:themeColor="accent6" w:themeShade="BF"/>
          <w:szCs w:val="24"/>
        </w:rPr>
        <w:t xml:space="preserve">he IESO invoices Thunder Bay Hydro, who in turn, bills the customer </w:t>
      </w:r>
      <w:r w:rsidR="00D97E08" w:rsidRPr="002415AD">
        <w:rPr>
          <w:rFonts w:ascii="Arial" w:hAnsi="Arial" w:cs="Arial"/>
          <w:color w:val="E36C0A" w:themeColor="accent6" w:themeShade="BF"/>
          <w:szCs w:val="24"/>
        </w:rPr>
        <w:t>for Global Adjustment, Class A, t</w:t>
      </w:r>
      <w:r w:rsidRPr="002415AD">
        <w:rPr>
          <w:rFonts w:ascii="Arial" w:hAnsi="Arial" w:cs="Arial"/>
          <w:color w:val="E36C0A" w:themeColor="accent6" w:themeShade="BF"/>
          <w:szCs w:val="24"/>
        </w:rPr>
        <w:t>hus, the net is zero</w:t>
      </w:r>
      <w:r w:rsidR="00D97E08" w:rsidRPr="002415AD">
        <w:rPr>
          <w:rFonts w:ascii="Arial" w:hAnsi="Arial" w:cs="Arial"/>
          <w:color w:val="E36C0A" w:themeColor="accent6" w:themeShade="BF"/>
          <w:szCs w:val="24"/>
        </w:rPr>
        <w:t>)</w:t>
      </w:r>
      <w:r w:rsidRPr="002415AD">
        <w:rPr>
          <w:rFonts w:ascii="Arial" w:hAnsi="Arial" w:cs="Arial"/>
          <w:color w:val="E36C0A" w:themeColor="accent6" w:themeShade="BF"/>
          <w:szCs w:val="24"/>
        </w:rPr>
        <w:t xml:space="preserve">.   To accommodate this Class </w:t>
      </w:r>
      <w:proofErr w:type="gramStart"/>
      <w:r w:rsidRPr="002415AD">
        <w:rPr>
          <w:rFonts w:ascii="Arial" w:hAnsi="Arial" w:cs="Arial"/>
          <w:color w:val="E36C0A" w:themeColor="accent6" w:themeShade="BF"/>
          <w:szCs w:val="24"/>
        </w:rPr>
        <w:t>A</w:t>
      </w:r>
      <w:proofErr w:type="gramEnd"/>
      <w:r w:rsidRPr="002415AD">
        <w:rPr>
          <w:rFonts w:ascii="Arial" w:hAnsi="Arial" w:cs="Arial"/>
          <w:color w:val="E36C0A" w:themeColor="accent6" w:themeShade="BF"/>
          <w:szCs w:val="24"/>
        </w:rPr>
        <w:t xml:space="preserve"> customer and to </w:t>
      </w:r>
      <w:r w:rsidR="00D97E08" w:rsidRPr="002415AD">
        <w:rPr>
          <w:rFonts w:ascii="Arial" w:hAnsi="Arial" w:cs="Arial"/>
          <w:color w:val="E36C0A" w:themeColor="accent6" w:themeShade="BF"/>
          <w:szCs w:val="24"/>
        </w:rPr>
        <w:t>calculate</w:t>
      </w:r>
      <w:r w:rsidRPr="002415AD">
        <w:rPr>
          <w:rFonts w:ascii="Arial" w:hAnsi="Arial" w:cs="Arial"/>
          <w:color w:val="E36C0A" w:themeColor="accent6" w:themeShade="BF"/>
          <w:szCs w:val="24"/>
        </w:rPr>
        <w:t xml:space="preserve"> proper rate riders, further changes were made to the IRM model (regarding allocation) in Tab 7, Column U. </w:t>
      </w:r>
    </w:p>
    <w:p w:rsidR="00420097" w:rsidRPr="002415AD" w:rsidRDefault="00420097" w:rsidP="00420097">
      <w:pPr>
        <w:rPr>
          <w:rFonts w:ascii="Arial" w:hAnsi="Arial" w:cs="Arial"/>
          <w:color w:val="E36C0A" w:themeColor="accent6" w:themeShade="BF"/>
          <w:szCs w:val="24"/>
        </w:rPr>
      </w:pPr>
      <w:r w:rsidRPr="002415AD">
        <w:rPr>
          <w:rFonts w:ascii="Arial" w:hAnsi="Arial" w:cs="Arial"/>
          <w:color w:val="E36C0A" w:themeColor="accent6" w:themeShade="BF"/>
          <w:szCs w:val="24"/>
        </w:rPr>
        <w:t xml:space="preserve">However, the original submission has not calculated the correct rate riders </w:t>
      </w:r>
      <w:r w:rsidR="00D97E08" w:rsidRPr="002415AD">
        <w:rPr>
          <w:rFonts w:ascii="Arial" w:hAnsi="Arial" w:cs="Arial"/>
          <w:color w:val="E36C0A" w:themeColor="accent6" w:themeShade="BF"/>
          <w:szCs w:val="24"/>
        </w:rPr>
        <w:t>among other classes</w:t>
      </w:r>
      <w:r w:rsidRPr="002415AD">
        <w:rPr>
          <w:rFonts w:ascii="Arial" w:hAnsi="Arial" w:cs="Arial"/>
          <w:color w:val="E36C0A" w:themeColor="accent6" w:themeShade="BF"/>
          <w:szCs w:val="24"/>
        </w:rPr>
        <w:t xml:space="preserve">. </w:t>
      </w:r>
      <w:r w:rsidR="00D97E08" w:rsidRPr="002415AD">
        <w:rPr>
          <w:rFonts w:ascii="Arial" w:hAnsi="Arial" w:cs="Arial"/>
          <w:color w:val="E36C0A" w:themeColor="accent6" w:themeShade="BF"/>
          <w:szCs w:val="24"/>
        </w:rPr>
        <w:t xml:space="preserve"> As a result, </w:t>
      </w:r>
      <w:r w:rsidRPr="002415AD">
        <w:rPr>
          <w:rFonts w:ascii="Arial" w:hAnsi="Arial" w:cs="Arial"/>
          <w:color w:val="E36C0A" w:themeColor="accent6" w:themeShade="BF"/>
          <w:szCs w:val="24"/>
        </w:rPr>
        <w:t xml:space="preserve">Thunder Bay Hydro is </w:t>
      </w:r>
      <w:r w:rsidR="00D97E08" w:rsidRPr="002415AD">
        <w:rPr>
          <w:rFonts w:ascii="Arial" w:hAnsi="Arial" w:cs="Arial"/>
          <w:color w:val="E36C0A" w:themeColor="accent6" w:themeShade="BF"/>
          <w:szCs w:val="24"/>
        </w:rPr>
        <w:t>submitting</w:t>
      </w:r>
      <w:r w:rsidRPr="002415AD">
        <w:rPr>
          <w:rFonts w:ascii="Arial" w:hAnsi="Arial" w:cs="Arial"/>
          <w:color w:val="E36C0A" w:themeColor="accent6" w:themeShade="BF"/>
          <w:szCs w:val="24"/>
        </w:rPr>
        <w:t xml:space="preserve"> a revised IRM model,  that reverts back to </w:t>
      </w:r>
      <w:r w:rsidR="00D97E08" w:rsidRPr="002415AD">
        <w:rPr>
          <w:rFonts w:ascii="Arial" w:hAnsi="Arial" w:cs="Arial"/>
          <w:color w:val="E36C0A" w:themeColor="accent6" w:themeShade="BF"/>
          <w:szCs w:val="24"/>
        </w:rPr>
        <w:t>original</w:t>
      </w:r>
      <w:r w:rsidRPr="002415AD">
        <w:rPr>
          <w:rFonts w:ascii="Arial" w:hAnsi="Arial" w:cs="Arial"/>
          <w:color w:val="E36C0A" w:themeColor="accent6" w:themeShade="BF"/>
          <w:szCs w:val="24"/>
        </w:rPr>
        <w:t xml:space="preserve"> </w:t>
      </w:r>
      <w:r w:rsidR="00D97E08" w:rsidRPr="002415AD">
        <w:rPr>
          <w:rFonts w:ascii="Arial" w:hAnsi="Arial" w:cs="Arial"/>
          <w:color w:val="E36C0A" w:themeColor="accent6" w:themeShade="BF"/>
          <w:szCs w:val="24"/>
        </w:rPr>
        <w:t>calculations</w:t>
      </w:r>
      <w:r w:rsidRPr="002415AD">
        <w:rPr>
          <w:rFonts w:ascii="Arial" w:hAnsi="Arial" w:cs="Arial"/>
          <w:color w:val="E36C0A" w:themeColor="accent6" w:themeShade="BF"/>
          <w:szCs w:val="24"/>
        </w:rPr>
        <w:t xml:space="preserve"> for deferral and </w:t>
      </w:r>
      <w:r w:rsidR="00D97E08" w:rsidRPr="002415AD">
        <w:rPr>
          <w:rFonts w:ascii="Arial" w:hAnsi="Arial" w:cs="Arial"/>
          <w:color w:val="E36C0A" w:themeColor="accent6" w:themeShade="BF"/>
          <w:szCs w:val="24"/>
        </w:rPr>
        <w:t>g</w:t>
      </w:r>
      <w:r w:rsidRPr="002415AD">
        <w:rPr>
          <w:rFonts w:ascii="Arial" w:hAnsi="Arial" w:cs="Arial"/>
          <w:color w:val="E36C0A" w:themeColor="accent6" w:themeShade="BF"/>
          <w:szCs w:val="24"/>
        </w:rPr>
        <w:t>lobal adjustment</w:t>
      </w:r>
      <w:r w:rsidR="00D97E08" w:rsidRPr="002415AD">
        <w:rPr>
          <w:rFonts w:ascii="Arial" w:hAnsi="Arial" w:cs="Arial"/>
          <w:color w:val="E36C0A" w:themeColor="accent6" w:themeShade="BF"/>
          <w:szCs w:val="24"/>
        </w:rPr>
        <w:t xml:space="preserve"> rate rider</w:t>
      </w:r>
      <w:r w:rsidR="00857876" w:rsidRPr="002415AD">
        <w:rPr>
          <w:rFonts w:ascii="Arial" w:hAnsi="Arial" w:cs="Arial"/>
          <w:color w:val="E36C0A" w:themeColor="accent6" w:themeShade="BF"/>
          <w:szCs w:val="24"/>
        </w:rPr>
        <w:t>s</w:t>
      </w:r>
      <w:r w:rsidRPr="002415AD">
        <w:rPr>
          <w:rFonts w:ascii="Arial" w:hAnsi="Arial" w:cs="Arial"/>
          <w:color w:val="E36C0A" w:themeColor="accent6" w:themeShade="BF"/>
          <w:szCs w:val="24"/>
        </w:rPr>
        <w:t xml:space="preserve">, and has provided another worksheet to determine correct rate riders, </w:t>
      </w:r>
      <w:r w:rsidR="00857876" w:rsidRPr="002415AD">
        <w:rPr>
          <w:rFonts w:ascii="Arial" w:hAnsi="Arial" w:cs="Arial"/>
          <w:color w:val="E36C0A" w:themeColor="accent6" w:themeShade="BF"/>
          <w:szCs w:val="24"/>
        </w:rPr>
        <w:t xml:space="preserve">considering </w:t>
      </w:r>
      <w:r w:rsidRPr="002415AD">
        <w:rPr>
          <w:rFonts w:ascii="Arial" w:hAnsi="Arial" w:cs="Arial"/>
          <w:color w:val="E36C0A" w:themeColor="accent6" w:themeShade="BF"/>
          <w:szCs w:val="24"/>
        </w:rPr>
        <w:t xml:space="preserve">the Class A customer.  </w:t>
      </w:r>
      <w:r w:rsidR="00D97E08" w:rsidRPr="002415AD">
        <w:rPr>
          <w:rFonts w:ascii="Arial" w:hAnsi="Arial" w:cs="Arial"/>
          <w:color w:val="E36C0A" w:themeColor="accent6" w:themeShade="BF"/>
          <w:szCs w:val="24"/>
        </w:rPr>
        <w:t>Given that the current IRM model is not able to accommodate this particular situation, p</w:t>
      </w:r>
      <w:r w:rsidRPr="002415AD">
        <w:rPr>
          <w:rFonts w:ascii="Arial" w:hAnsi="Arial" w:cs="Arial"/>
          <w:color w:val="E36C0A" w:themeColor="accent6" w:themeShade="BF"/>
          <w:szCs w:val="24"/>
        </w:rPr>
        <w:t>lease note, the revised IRM model</w:t>
      </w:r>
      <w:r w:rsidR="00D97E08" w:rsidRPr="002415AD">
        <w:rPr>
          <w:rFonts w:ascii="Arial" w:hAnsi="Arial" w:cs="Arial"/>
          <w:color w:val="E36C0A" w:themeColor="accent6" w:themeShade="BF"/>
          <w:szCs w:val="24"/>
        </w:rPr>
        <w:t xml:space="preserve"> </w:t>
      </w:r>
      <w:r w:rsidR="00857876" w:rsidRPr="002415AD">
        <w:rPr>
          <w:rFonts w:ascii="Arial" w:hAnsi="Arial" w:cs="Arial"/>
          <w:color w:val="E36C0A" w:themeColor="accent6" w:themeShade="BF"/>
          <w:szCs w:val="24"/>
        </w:rPr>
        <w:t xml:space="preserve">that is attached, </w:t>
      </w:r>
      <w:r w:rsidR="00D97E08" w:rsidRPr="002415AD">
        <w:rPr>
          <w:rFonts w:ascii="Arial" w:hAnsi="Arial" w:cs="Arial"/>
          <w:color w:val="E36C0A" w:themeColor="accent6" w:themeShade="BF"/>
          <w:szCs w:val="24"/>
        </w:rPr>
        <w:t xml:space="preserve">continues to </w:t>
      </w:r>
      <w:r w:rsidRPr="002415AD">
        <w:rPr>
          <w:rFonts w:ascii="Arial" w:hAnsi="Arial" w:cs="Arial"/>
          <w:color w:val="E36C0A" w:themeColor="accent6" w:themeShade="BF"/>
          <w:szCs w:val="24"/>
        </w:rPr>
        <w:t xml:space="preserve">include </w:t>
      </w:r>
      <w:r w:rsidR="00D97E08" w:rsidRPr="002415AD">
        <w:rPr>
          <w:rFonts w:ascii="Arial" w:hAnsi="Arial" w:cs="Arial"/>
          <w:color w:val="E36C0A" w:themeColor="accent6" w:themeShade="BF"/>
          <w:szCs w:val="24"/>
        </w:rPr>
        <w:t>in</w:t>
      </w:r>
      <w:r w:rsidRPr="002415AD">
        <w:rPr>
          <w:rFonts w:ascii="Arial" w:hAnsi="Arial" w:cs="Arial"/>
          <w:color w:val="E36C0A" w:themeColor="accent6" w:themeShade="BF"/>
          <w:szCs w:val="24"/>
        </w:rPr>
        <w:t>correct GA</w:t>
      </w:r>
      <w:r w:rsidR="00D97E08" w:rsidRPr="002415AD">
        <w:rPr>
          <w:rFonts w:ascii="Arial" w:hAnsi="Arial" w:cs="Arial"/>
          <w:color w:val="E36C0A" w:themeColor="accent6" w:themeShade="BF"/>
          <w:szCs w:val="24"/>
        </w:rPr>
        <w:t xml:space="preserve"> rate riders</w:t>
      </w:r>
      <w:r w:rsidRPr="002415AD">
        <w:rPr>
          <w:rFonts w:ascii="Arial" w:hAnsi="Arial" w:cs="Arial"/>
          <w:color w:val="E36C0A" w:themeColor="accent6" w:themeShade="BF"/>
          <w:szCs w:val="24"/>
        </w:rPr>
        <w:t>, which is the purpose for including the revised document</w:t>
      </w:r>
      <w:r w:rsidR="00D97E08" w:rsidRPr="002415AD">
        <w:rPr>
          <w:rFonts w:ascii="Arial" w:hAnsi="Arial" w:cs="Arial"/>
          <w:color w:val="E36C0A" w:themeColor="accent6" w:themeShade="BF"/>
          <w:szCs w:val="24"/>
        </w:rPr>
        <w:t xml:space="preserve"> (</w:t>
      </w:r>
      <w:r w:rsidR="000E0283" w:rsidRPr="002415AD">
        <w:rPr>
          <w:rFonts w:ascii="Arial" w:hAnsi="Arial" w:cs="Arial"/>
          <w:color w:val="E36C0A" w:themeColor="accent6" w:themeShade="BF"/>
          <w:szCs w:val="24"/>
        </w:rPr>
        <w:t>“</w:t>
      </w:r>
      <w:r w:rsidR="00D97E08" w:rsidRPr="002415AD">
        <w:rPr>
          <w:rFonts w:ascii="Arial" w:hAnsi="Arial" w:cs="Arial"/>
          <w:color w:val="E36C0A" w:themeColor="accent6" w:themeShade="BF"/>
          <w:szCs w:val="24"/>
        </w:rPr>
        <w:t xml:space="preserve">Thunder Bay Hydro DVA RR Calculations.xls, Tab </w:t>
      </w:r>
      <w:r w:rsidR="00857876" w:rsidRPr="002415AD">
        <w:rPr>
          <w:rFonts w:ascii="Arial" w:hAnsi="Arial" w:cs="Arial"/>
          <w:color w:val="E36C0A" w:themeColor="accent6" w:themeShade="BF"/>
          <w:szCs w:val="24"/>
        </w:rPr>
        <w:t>“</w:t>
      </w:r>
      <w:r w:rsidR="00D97E08" w:rsidRPr="002415AD">
        <w:rPr>
          <w:rFonts w:ascii="Arial" w:hAnsi="Arial" w:cs="Arial"/>
          <w:color w:val="E36C0A" w:themeColor="accent6" w:themeShade="BF"/>
          <w:szCs w:val="24"/>
        </w:rPr>
        <w:t>34. DVA RR Cal”</w:t>
      </w:r>
      <w:r w:rsidR="000E0283" w:rsidRPr="002415AD">
        <w:rPr>
          <w:rFonts w:ascii="Arial" w:hAnsi="Arial" w:cs="Arial"/>
          <w:color w:val="E36C0A" w:themeColor="accent6" w:themeShade="BF"/>
          <w:szCs w:val="24"/>
        </w:rPr>
        <w:t>”</w:t>
      </w:r>
      <w:r w:rsidR="00D97E08" w:rsidRPr="002415AD">
        <w:rPr>
          <w:rFonts w:ascii="Arial" w:hAnsi="Arial" w:cs="Arial"/>
          <w:color w:val="E36C0A" w:themeColor="accent6" w:themeShade="BF"/>
          <w:szCs w:val="24"/>
        </w:rPr>
        <w:t>)</w:t>
      </w:r>
      <w:r w:rsidRPr="002415AD">
        <w:rPr>
          <w:rFonts w:ascii="Arial" w:hAnsi="Arial" w:cs="Arial"/>
          <w:color w:val="E36C0A" w:themeColor="accent6" w:themeShade="BF"/>
          <w:szCs w:val="24"/>
        </w:rPr>
        <w:t>.</w:t>
      </w:r>
    </w:p>
    <w:p w:rsidR="00420097" w:rsidRPr="002415AD" w:rsidRDefault="00420097" w:rsidP="00420097">
      <w:pPr>
        <w:rPr>
          <w:rFonts w:ascii="Arial" w:hAnsi="Arial" w:cs="Arial"/>
          <w:color w:val="E36C0A" w:themeColor="accent6" w:themeShade="BF"/>
          <w:szCs w:val="24"/>
        </w:rPr>
      </w:pPr>
      <w:r w:rsidRPr="002415AD">
        <w:rPr>
          <w:rFonts w:ascii="Arial" w:hAnsi="Arial" w:cs="Arial"/>
          <w:color w:val="E36C0A" w:themeColor="accent6" w:themeShade="BF"/>
          <w:szCs w:val="24"/>
        </w:rPr>
        <w:lastRenderedPageBreak/>
        <w:t>The results would be the following rate riders</w:t>
      </w:r>
      <w:r w:rsidR="00857876" w:rsidRPr="002415AD">
        <w:rPr>
          <w:rFonts w:ascii="Arial" w:hAnsi="Arial" w:cs="Arial"/>
          <w:color w:val="E36C0A" w:themeColor="accent6" w:themeShade="BF"/>
          <w:szCs w:val="24"/>
        </w:rPr>
        <w:t xml:space="preserve">, as found in </w:t>
      </w:r>
      <w:r w:rsidR="000E0283" w:rsidRPr="002415AD">
        <w:rPr>
          <w:rFonts w:ascii="Arial" w:hAnsi="Arial" w:cs="Arial"/>
          <w:color w:val="E36C0A" w:themeColor="accent6" w:themeShade="BF"/>
          <w:szCs w:val="24"/>
        </w:rPr>
        <w:t>the file, “</w:t>
      </w:r>
      <w:r w:rsidR="00857876" w:rsidRPr="002415AD">
        <w:rPr>
          <w:rFonts w:ascii="Arial" w:hAnsi="Arial" w:cs="Arial"/>
          <w:color w:val="E36C0A" w:themeColor="accent6" w:themeShade="BF"/>
          <w:szCs w:val="24"/>
        </w:rPr>
        <w:t xml:space="preserve">Thunder Bay Hydro DVA RR Calculations.xls, Tab “34. DVA RR Cal” </w:t>
      </w:r>
      <w:r w:rsidR="000E0283" w:rsidRPr="002415AD">
        <w:rPr>
          <w:rFonts w:ascii="Arial" w:hAnsi="Arial" w:cs="Arial"/>
          <w:color w:val="E36C0A" w:themeColor="accent6" w:themeShade="BF"/>
          <w:szCs w:val="24"/>
        </w:rPr>
        <w:t>“</w:t>
      </w:r>
      <w:r w:rsidRPr="002415AD">
        <w:rPr>
          <w:rFonts w:ascii="Arial" w:hAnsi="Arial" w:cs="Arial"/>
          <w:color w:val="E36C0A" w:themeColor="accent6" w:themeShade="BF"/>
          <w:szCs w:val="24"/>
        </w:rPr>
        <w:t>:</w:t>
      </w:r>
    </w:p>
    <w:p w:rsidR="00420097" w:rsidRDefault="00210783" w:rsidP="00420097">
      <w:pPr>
        <w:rPr>
          <w:highlight w:val="yellow"/>
        </w:rPr>
      </w:pPr>
      <w:r w:rsidRPr="00210783">
        <w:rPr>
          <w:noProof/>
          <w:lang w:eastAsia="en-CA"/>
        </w:rPr>
        <w:drawing>
          <wp:inline distT="0" distB="0" distL="0" distR="0" wp14:anchorId="325B89A7" wp14:editId="7CBC9DF0">
            <wp:extent cx="5943600" cy="298231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982313"/>
                    </a:xfrm>
                    <a:prstGeom prst="rect">
                      <a:avLst/>
                    </a:prstGeom>
                    <a:noFill/>
                    <a:ln>
                      <a:noFill/>
                    </a:ln>
                  </pic:spPr>
                </pic:pic>
              </a:graphicData>
            </a:graphic>
          </wp:inline>
        </w:drawing>
      </w:r>
    </w:p>
    <w:p w:rsidR="003F1CAA" w:rsidRPr="00AB022D" w:rsidRDefault="00AB022D" w:rsidP="00AB022D">
      <w:pPr>
        <w:ind w:left="720"/>
        <w:rPr>
          <w:rFonts w:ascii="Arial" w:hAnsi="Arial" w:cs="Arial"/>
          <w:color w:val="FF0000"/>
        </w:rPr>
      </w:pPr>
      <w:r w:rsidRPr="00AB022D">
        <w:rPr>
          <w:rFonts w:ascii="Arial" w:hAnsi="Arial" w:cs="Arial"/>
          <w:color w:val="FF0000"/>
        </w:rPr>
        <w:t xml:space="preserve">Staff: Board staff acknowledges that the IRM Rate Generator Model re-submitted contains the incorrect GA rate riders due to the fact that it does not accommodate the calculation of rate riders for Class A customers. Board staff has reviewed the calculations as provided in Thunder Bay Hydro’s separate Excel document and takes no issue with the calculations or methodology. Board </w:t>
      </w:r>
      <w:r w:rsidR="00165620" w:rsidRPr="00AB022D">
        <w:rPr>
          <w:rFonts w:ascii="Arial" w:hAnsi="Arial" w:cs="Arial"/>
          <w:color w:val="FF0000"/>
        </w:rPr>
        <w:t>staff acknowledges</w:t>
      </w:r>
      <w:r w:rsidRPr="00AB022D">
        <w:rPr>
          <w:rFonts w:ascii="Arial" w:hAnsi="Arial" w:cs="Arial"/>
          <w:color w:val="FF0000"/>
        </w:rPr>
        <w:t xml:space="preserve"> that Thunder Bay Hydro has retracted its request to dispose of its Group 1 Accounts.</w:t>
      </w:r>
      <w:r w:rsidR="00B4798E" w:rsidRPr="00AB022D">
        <w:rPr>
          <w:rFonts w:ascii="Arial" w:hAnsi="Arial" w:cs="Arial"/>
          <w:color w:val="E36C0A" w:themeColor="accent6" w:themeShade="BF"/>
          <w:sz w:val="20"/>
          <w:szCs w:val="20"/>
        </w:rPr>
        <w:br/>
      </w:r>
    </w:p>
    <w:p w:rsidR="00F21C4D" w:rsidRDefault="00F21C4D" w:rsidP="00F21C4D">
      <w:pPr>
        <w:pStyle w:val="ListParagraph"/>
        <w:numPr>
          <w:ilvl w:val="0"/>
          <w:numId w:val="10"/>
        </w:numPr>
        <w:rPr>
          <w:rFonts w:ascii="Arial" w:hAnsi="Arial" w:cs="Arial"/>
          <w:szCs w:val="24"/>
        </w:rPr>
      </w:pPr>
      <w:r>
        <w:rPr>
          <w:rFonts w:ascii="Arial" w:hAnsi="Arial" w:cs="Arial"/>
          <w:szCs w:val="24"/>
        </w:rPr>
        <w:t xml:space="preserve">Please confirm that for labelling purposes, this rate rider should only be applicable to Class A customers in that service classification, and not Wholesale Market Participants as currently entered. </w:t>
      </w:r>
    </w:p>
    <w:p w:rsidR="00B4798E" w:rsidRPr="00B4798E" w:rsidRDefault="00B4798E" w:rsidP="00B4798E">
      <w:pPr>
        <w:pStyle w:val="ListParagraph"/>
        <w:rPr>
          <w:rFonts w:ascii="Arial" w:hAnsi="Arial" w:cs="Arial"/>
          <w:color w:val="E36C0A" w:themeColor="accent6" w:themeShade="BF"/>
          <w:szCs w:val="24"/>
        </w:rPr>
      </w:pPr>
    </w:p>
    <w:p w:rsidR="00B4798E" w:rsidRPr="00B4798E" w:rsidRDefault="00420097" w:rsidP="00B4798E">
      <w:pPr>
        <w:pStyle w:val="ListParagraph"/>
        <w:rPr>
          <w:rFonts w:ascii="Arial" w:hAnsi="Arial" w:cs="Arial"/>
          <w:color w:val="E36C0A" w:themeColor="accent6" w:themeShade="BF"/>
          <w:szCs w:val="24"/>
        </w:rPr>
      </w:pPr>
      <w:r>
        <w:rPr>
          <w:rFonts w:ascii="Arial" w:hAnsi="Arial" w:cs="Arial"/>
          <w:color w:val="E36C0A" w:themeColor="accent6" w:themeShade="BF"/>
          <w:szCs w:val="24"/>
        </w:rPr>
        <w:t>See above</w:t>
      </w:r>
    </w:p>
    <w:p w:rsidR="00B4798E" w:rsidRDefault="00B4798E" w:rsidP="00B4798E">
      <w:pPr>
        <w:pStyle w:val="ListParagraph"/>
        <w:rPr>
          <w:rFonts w:ascii="Arial" w:hAnsi="Arial" w:cs="Arial"/>
          <w:color w:val="E36C0A" w:themeColor="accent6" w:themeShade="BF"/>
          <w:szCs w:val="24"/>
        </w:rPr>
      </w:pPr>
    </w:p>
    <w:p w:rsidR="00165620" w:rsidRPr="00165620" w:rsidRDefault="00165620" w:rsidP="00B4798E">
      <w:pPr>
        <w:pStyle w:val="ListParagraph"/>
        <w:rPr>
          <w:rFonts w:ascii="Arial" w:hAnsi="Arial" w:cs="Arial"/>
          <w:color w:val="FF0000"/>
          <w:szCs w:val="24"/>
        </w:rPr>
      </w:pPr>
      <w:r w:rsidRPr="00165620">
        <w:rPr>
          <w:rFonts w:ascii="Arial" w:hAnsi="Arial" w:cs="Arial"/>
          <w:color w:val="FF0000"/>
          <w:szCs w:val="24"/>
        </w:rPr>
        <w:t>Staff: Confirmed</w:t>
      </w:r>
    </w:p>
    <w:p w:rsidR="00A05F02" w:rsidRDefault="00F21C4D">
      <w:pPr>
        <w:rPr>
          <w:rFonts w:ascii="Arial" w:hAnsi="Arial" w:cs="Arial"/>
          <w:b/>
          <w:szCs w:val="24"/>
        </w:rPr>
      </w:pPr>
      <w:r>
        <w:rPr>
          <w:rFonts w:ascii="Arial" w:hAnsi="Arial" w:cs="Arial"/>
          <w:b/>
          <w:szCs w:val="24"/>
        </w:rPr>
        <w:t>Deferral/Variance Account Calculation</w:t>
      </w:r>
      <w:r w:rsidR="005F39DC">
        <w:rPr>
          <w:rFonts w:ascii="Arial" w:hAnsi="Arial" w:cs="Arial"/>
          <w:b/>
          <w:szCs w:val="24"/>
        </w:rPr>
        <w:t>s – Wholesale Market Participants</w:t>
      </w:r>
    </w:p>
    <w:p w:rsidR="005F39DC" w:rsidRPr="005F39DC" w:rsidRDefault="005F39DC" w:rsidP="005F39DC">
      <w:pPr>
        <w:rPr>
          <w:rFonts w:ascii="Arial" w:hAnsi="Arial" w:cs="Arial"/>
          <w:szCs w:val="24"/>
          <w:lang w:val="en-US"/>
        </w:rPr>
      </w:pPr>
      <w:r w:rsidRPr="005F39DC">
        <w:rPr>
          <w:rFonts w:ascii="Arial" w:hAnsi="Arial" w:cs="Arial"/>
          <w:szCs w:val="24"/>
          <w:lang w:val="en-US"/>
        </w:rPr>
        <w:t xml:space="preserve">Chapter 3 of the </w:t>
      </w:r>
      <w:r>
        <w:rPr>
          <w:rFonts w:ascii="Arial" w:hAnsi="Arial" w:cs="Arial"/>
          <w:szCs w:val="24"/>
          <w:lang w:val="en-US"/>
        </w:rPr>
        <w:t xml:space="preserve">Filing Requirements notes that </w:t>
      </w:r>
      <w:r w:rsidRPr="005F39DC">
        <w:rPr>
          <w:rFonts w:ascii="Arial" w:hAnsi="Arial" w:cs="Arial"/>
          <w:szCs w:val="24"/>
          <w:lang w:val="en-US"/>
        </w:rPr>
        <w:t xml:space="preserve">distributors must establish separate rate riders to recover the balances in the RSVAs from </w:t>
      </w:r>
      <w:r>
        <w:rPr>
          <w:rFonts w:ascii="Arial" w:hAnsi="Arial" w:cs="Arial"/>
          <w:szCs w:val="24"/>
          <w:lang w:val="en-US"/>
        </w:rPr>
        <w:t xml:space="preserve">Wholesale </w:t>
      </w:r>
      <w:r w:rsidRPr="005F39DC">
        <w:rPr>
          <w:rFonts w:ascii="Arial" w:hAnsi="Arial" w:cs="Arial"/>
          <w:szCs w:val="24"/>
          <w:lang w:val="en-US"/>
        </w:rPr>
        <w:t>Market Participants (“</w:t>
      </w:r>
      <w:r>
        <w:rPr>
          <w:rFonts w:ascii="Arial" w:hAnsi="Arial" w:cs="Arial"/>
          <w:szCs w:val="24"/>
          <w:lang w:val="en-US"/>
        </w:rPr>
        <w:t>W</w:t>
      </w:r>
      <w:r w:rsidRPr="005F39DC">
        <w:rPr>
          <w:rFonts w:ascii="Arial" w:hAnsi="Arial" w:cs="Arial"/>
          <w:szCs w:val="24"/>
          <w:lang w:val="en-US"/>
        </w:rPr>
        <w:t xml:space="preserve">MPs”) who must not be allocated the RSVA account balances related to charges for which the </w:t>
      </w:r>
      <w:r>
        <w:rPr>
          <w:rFonts w:ascii="Arial" w:hAnsi="Arial" w:cs="Arial"/>
          <w:szCs w:val="24"/>
          <w:lang w:val="en-US"/>
        </w:rPr>
        <w:t>W</w:t>
      </w:r>
      <w:r w:rsidRPr="005F39DC">
        <w:rPr>
          <w:rFonts w:ascii="Arial" w:hAnsi="Arial" w:cs="Arial"/>
          <w:szCs w:val="24"/>
          <w:lang w:val="en-US"/>
        </w:rPr>
        <w:t>MPs settle directly with the IESO (e.g. wholesale ener</w:t>
      </w:r>
      <w:r>
        <w:rPr>
          <w:rFonts w:ascii="Arial" w:hAnsi="Arial" w:cs="Arial"/>
          <w:szCs w:val="24"/>
          <w:lang w:val="en-US"/>
        </w:rPr>
        <w:t>gy, wholesale market services).</w:t>
      </w:r>
      <w:r w:rsidRPr="005F39DC">
        <w:rPr>
          <w:rFonts w:ascii="Arial" w:hAnsi="Arial" w:cs="Arial"/>
          <w:szCs w:val="24"/>
          <w:lang w:val="en-US"/>
        </w:rPr>
        <w:t xml:space="preserve"> </w:t>
      </w:r>
    </w:p>
    <w:p w:rsidR="005F39DC" w:rsidRPr="005F39DC" w:rsidRDefault="005F39DC" w:rsidP="005F39DC">
      <w:pPr>
        <w:rPr>
          <w:rFonts w:ascii="Arial" w:hAnsi="Arial" w:cs="Arial"/>
          <w:szCs w:val="24"/>
          <w:lang w:val="en-US"/>
        </w:rPr>
      </w:pPr>
      <w:r w:rsidRPr="005F39DC">
        <w:rPr>
          <w:rFonts w:ascii="Arial" w:hAnsi="Arial" w:cs="Arial"/>
          <w:szCs w:val="24"/>
          <w:lang w:val="en-US"/>
        </w:rPr>
        <w:t>Chapter 3 of the Fili</w:t>
      </w:r>
      <w:r>
        <w:rPr>
          <w:rFonts w:ascii="Arial" w:hAnsi="Arial" w:cs="Arial"/>
          <w:szCs w:val="24"/>
          <w:lang w:val="en-US"/>
        </w:rPr>
        <w:t xml:space="preserve">ng Requirements also note that </w:t>
      </w:r>
      <w:r w:rsidRPr="005F39DC">
        <w:rPr>
          <w:rFonts w:ascii="Arial" w:hAnsi="Arial" w:cs="Arial"/>
          <w:szCs w:val="24"/>
          <w:lang w:val="en-US"/>
        </w:rPr>
        <w:t xml:space="preserve">distributors who serve Class A customers per O.Reg 429/04 (i.e. customers greater than 5 MW) must propose an appropriate allocation </w:t>
      </w:r>
      <w:r w:rsidRPr="005F39DC">
        <w:rPr>
          <w:rFonts w:ascii="Arial" w:hAnsi="Arial" w:cs="Arial"/>
          <w:szCs w:val="24"/>
          <w:lang w:val="en-US"/>
        </w:rPr>
        <w:lastRenderedPageBreak/>
        <w:t>for the recovery of the global adjustment variance balance based on their s</w:t>
      </w:r>
      <w:r>
        <w:rPr>
          <w:rFonts w:ascii="Arial" w:hAnsi="Arial" w:cs="Arial"/>
          <w:szCs w:val="24"/>
          <w:lang w:val="en-US"/>
        </w:rPr>
        <w:t>ettlement process with the IESO.</w:t>
      </w:r>
    </w:p>
    <w:p w:rsidR="005F39DC" w:rsidRPr="005F39DC" w:rsidRDefault="005F39DC" w:rsidP="005F39DC">
      <w:pPr>
        <w:numPr>
          <w:ilvl w:val="0"/>
          <w:numId w:val="8"/>
        </w:numPr>
        <w:rPr>
          <w:rFonts w:ascii="Arial" w:hAnsi="Arial" w:cs="Arial"/>
          <w:szCs w:val="24"/>
          <w:lang w:val="en-US"/>
        </w:rPr>
      </w:pPr>
      <w:r w:rsidRPr="005F39DC">
        <w:rPr>
          <w:rFonts w:ascii="Arial" w:hAnsi="Arial" w:cs="Arial"/>
          <w:szCs w:val="24"/>
          <w:lang w:val="en-US"/>
        </w:rPr>
        <w:t>Ple</w:t>
      </w:r>
      <w:r>
        <w:rPr>
          <w:rFonts w:ascii="Arial" w:hAnsi="Arial" w:cs="Arial"/>
          <w:szCs w:val="24"/>
          <w:lang w:val="en-US"/>
        </w:rPr>
        <w:t>ase confirm whether or not Thunder Bay Hydro serves any consumers that are WMPs</w:t>
      </w:r>
      <w:r w:rsidRPr="005F39DC">
        <w:rPr>
          <w:rFonts w:ascii="Arial" w:hAnsi="Arial" w:cs="Arial"/>
          <w:szCs w:val="24"/>
          <w:lang w:val="en-US"/>
        </w:rPr>
        <w:t>.</w:t>
      </w:r>
    </w:p>
    <w:p w:rsidR="005F39DC" w:rsidRPr="005F39DC" w:rsidRDefault="005F39DC" w:rsidP="005F39DC">
      <w:pPr>
        <w:numPr>
          <w:ilvl w:val="1"/>
          <w:numId w:val="8"/>
        </w:numPr>
        <w:rPr>
          <w:rFonts w:ascii="Arial" w:hAnsi="Arial" w:cs="Arial"/>
          <w:szCs w:val="24"/>
          <w:lang w:val="en-US"/>
        </w:rPr>
      </w:pPr>
      <w:r w:rsidRPr="005F39DC">
        <w:rPr>
          <w:rFonts w:ascii="Arial" w:hAnsi="Arial" w:cs="Arial"/>
          <w:szCs w:val="24"/>
          <w:lang w:val="en-US"/>
        </w:rPr>
        <w:t>If yes:</w:t>
      </w:r>
    </w:p>
    <w:p w:rsidR="005F39DC" w:rsidRPr="005F39DC" w:rsidRDefault="005F39DC" w:rsidP="005F39DC">
      <w:pPr>
        <w:numPr>
          <w:ilvl w:val="2"/>
          <w:numId w:val="8"/>
        </w:numPr>
        <w:rPr>
          <w:rFonts w:ascii="Arial" w:hAnsi="Arial" w:cs="Arial"/>
          <w:szCs w:val="24"/>
          <w:lang w:val="en-US"/>
        </w:rPr>
      </w:pPr>
      <w:r w:rsidRPr="005F39DC">
        <w:rPr>
          <w:rFonts w:ascii="Arial" w:hAnsi="Arial" w:cs="Arial"/>
          <w:szCs w:val="24"/>
          <w:lang w:val="en-US"/>
        </w:rPr>
        <w:t>Have these consumers been WMPs throughout the entire time over which variances accumulated in the RSVA accounts proposed for disposition?</w:t>
      </w:r>
    </w:p>
    <w:p w:rsidR="00A05F02" w:rsidRPr="005F39DC" w:rsidRDefault="005F39DC" w:rsidP="005F39DC">
      <w:pPr>
        <w:numPr>
          <w:ilvl w:val="2"/>
          <w:numId w:val="8"/>
        </w:numPr>
        <w:rPr>
          <w:rFonts w:ascii="Arial" w:hAnsi="Arial" w:cs="Arial"/>
          <w:szCs w:val="24"/>
          <w:lang w:val="en-US"/>
        </w:rPr>
      </w:pPr>
      <w:r w:rsidRPr="005F39DC">
        <w:rPr>
          <w:rFonts w:ascii="Arial" w:hAnsi="Arial" w:cs="Arial"/>
          <w:szCs w:val="24"/>
          <w:lang w:val="en-US"/>
        </w:rPr>
        <w:t>Please confirm that RSVA account balances have not been allocated to WMP customers as they settle these charges directly with the IESO.</w:t>
      </w:r>
    </w:p>
    <w:p w:rsidR="00F54E67" w:rsidRDefault="00FC10A8">
      <w:pPr>
        <w:rPr>
          <w:rFonts w:ascii="Arial" w:hAnsi="Arial" w:cs="Arial"/>
          <w:color w:val="E36C0A" w:themeColor="accent6" w:themeShade="BF"/>
          <w:szCs w:val="24"/>
        </w:rPr>
      </w:pPr>
      <w:r w:rsidRPr="00FC10A8">
        <w:rPr>
          <w:rFonts w:ascii="Arial" w:hAnsi="Arial" w:cs="Arial"/>
          <w:color w:val="E36C0A" w:themeColor="accent6" w:themeShade="BF"/>
          <w:szCs w:val="24"/>
        </w:rPr>
        <w:t>Thunder Bay Hydro does not serve any WMPs customers.</w:t>
      </w:r>
      <w:r w:rsidR="003F1CAA">
        <w:rPr>
          <w:rFonts w:ascii="Arial" w:hAnsi="Arial" w:cs="Arial"/>
          <w:color w:val="E36C0A" w:themeColor="accent6" w:themeShade="BF"/>
          <w:szCs w:val="24"/>
        </w:rPr>
        <w:t xml:space="preserve"> </w:t>
      </w:r>
    </w:p>
    <w:p w:rsidR="00F54E67" w:rsidRDefault="00F54E67">
      <w:pPr>
        <w:rPr>
          <w:rFonts w:ascii="Arial" w:hAnsi="Arial" w:cs="Arial"/>
          <w:color w:val="E36C0A" w:themeColor="accent6" w:themeShade="BF"/>
          <w:szCs w:val="24"/>
        </w:rPr>
      </w:pPr>
      <w:r w:rsidRPr="003F1CAA">
        <w:rPr>
          <w:rFonts w:ascii="Arial" w:hAnsi="Arial" w:cs="Arial"/>
          <w:color w:val="E36C0A" w:themeColor="accent6" w:themeShade="BF"/>
          <w:szCs w:val="24"/>
        </w:rPr>
        <w:t>Thunder Bay Hydro added the GS &gt; 50 Kw – WMP Service Classification in its 2015 IRM to separate out the Class A volume from Class B,</w:t>
      </w:r>
      <w:r>
        <w:rPr>
          <w:rFonts w:ascii="Arial" w:hAnsi="Arial" w:cs="Arial"/>
          <w:color w:val="E36C0A" w:themeColor="accent6" w:themeShade="BF"/>
          <w:szCs w:val="24"/>
        </w:rPr>
        <w:t xml:space="preserve"> for proper GA rate rider purposes, </w:t>
      </w:r>
      <w:r w:rsidRPr="003F1CAA">
        <w:rPr>
          <w:rFonts w:ascii="Arial" w:hAnsi="Arial" w:cs="Arial"/>
          <w:color w:val="E36C0A" w:themeColor="accent6" w:themeShade="BF"/>
          <w:szCs w:val="24"/>
        </w:rPr>
        <w:t>however, this classification is not required, as there is no balance to dispose (offsets to zero</w:t>
      </w:r>
      <w:r w:rsidR="005F2C51">
        <w:rPr>
          <w:rFonts w:ascii="Arial" w:hAnsi="Arial" w:cs="Arial"/>
          <w:color w:val="E36C0A" w:themeColor="accent6" w:themeShade="BF"/>
          <w:szCs w:val="24"/>
        </w:rPr>
        <w:t xml:space="preserve">).   </w:t>
      </w:r>
    </w:p>
    <w:p w:rsidR="005424E3" w:rsidRPr="005424E3" w:rsidRDefault="005424E3">
      <w:pPr>
        <w:rPr>
          <w:rFonts w:ascii="Arial" w:hAnsi="Arial" w:cs="Arial"/>
          <w:color w:val="FF0000"/>
          <w:szCs w:val="24"/>
        </w:rPr>
      </w:pPr>
      <w:r w:rsidRPr="005424E3">
        <w:rPr>
          <w:rFonts w:ascii="Arial" w:hAnsi="Arial" w:cs="Arial"/>
          <w:color w:val="FF0000"/>
          <w:szCs w:val="24"/>
        </w:rPr>
        <w:t>Staff: Board staff conf</w:t>
      </w:r>
      <w:bookmarkStart w:id="0" w:name="_GoBack"/>
      <w:bookmarkEnd w:id="0"/>
      <w:r w:rsidRPr="005424E3">
        <w:rPr>
          <w:rFonts w:ascii="Arial" w:hAnsi="Arial" w:cs="Arial"/>
          <w:color w:val="FF0000"/>
          <w:szCs w:val="24"/>
        </w:rPr>
        <w:t xml:space="preserve">irms that at the time of the </w:t>
      </w:r>
      <w:r w:rsidR="00DC65F6">
        <w:rPr>
          <w:rFonts w:ascii="Arial" w:hAnsi="Arial" w:cs="Arial"/>
          <w:color w:val="FF0000"/>
          <w:szCs w:val="24"/>
        </w:rPr>
        <w:t xml:space="preserve">final </w:t>
      </w:r>
      <w:r w:rsidRPr="005424E3">
        <w:rPr>
          <w:rFonts w:ascii="Arial" w:hAnsi="Arial" w:cs="Arial"/>
          <w:color w:val="FF0000"/>
          <w:szCs w:val="24"/>
        </w:rPr>
        <w:t xml:space="preserve">Tariff of Rates and Charges to be issued, staff will ensure that this rate class (i.e. GS&gt;50kW – WMP) is omitted. </w:t>
      </w:r>
    </w:p>
    <w:p w:rsidR="005F39DC" w:rsidRPr="005F39DC" w:rsidRDefault="005F39DC">
      <w:pPr>
        <w:rPr>
          <w:rFonts w:ascii="Arial" w:hAnsi="Arial" w:cs="Arial"/>
          <w:b/>
          <w:szCs w:val="24"/>
        </w:rPr>
      </w:pPr>
      <w:r w:rsidRPr="005F39DC">
        <w:rPr>
          <w:rFonts w:ascii="Arial" w:hAnsi="Arial" w:cs="Arial"/>
          <w:b/>
          <w:szCs w:val="24"/>
        </w:rPr>
        <w:t>Deferral/Variance Account Calculations</w:t>
      </w:r>
    </w:p>
    <w:p w:rsidR="005F39DC" w:rsidRDefault="005F39DC" w:rsidP="005F39DC">
      <w:pPr>
        <w:rPr>
          <w:rFonts w:ascii="Arial" w:hAnsi="Arial" w:cs="Arial"/>
          <w:szCs w:val="24"/>
        </w:rPr>
      </w:pPr>
      <w:r>
        <w:rPr>
          <w:rFonts w:ascii="Arial" w:hAnsi="Arial" w:cs="Arial"/>
          <w:szCs w:val="24"/>
        </w:rPr>
        <w:t>In calculating Deferral and Variance Account rate riders for sub-groups of customers within a class (e.g. WMPs and non-WMPs)</w:t>
      </w:r>
      <w:proofErr w:type="gramStart"/>
      <w:r>
        <w:rPr>
          <w:rFonts w:ascii="Arial" w:hAnsi="Arial" w:cs="Arial"/>
          <w:szCs w:val="24"/>
        </w:rPr>
        <w:t>,</w:t>
      </w:r>
      <w:proofErr w:type="gramEnd"/>
      <w:r>
        <w:rPr>
          <w:rFonts w:ascii="Arial" w:hAnsi="Arial" w:cs="Arial"/>
          <w:szCs w:val="24"/>
        </w:rPr>
        <w:t xml:space="preserve"> distributors have used two approaches in the past.</w:t>
      </w:r>
    </w:p>
    <w:p w:rsidR="005F39DC" w:rsidRDefault="005F39DC" w:rsidP="005F39DC">
      <w:pPr>
        <w:pStyle w:val="ListParagraph"/>
        <w:numPr>
          <w:ilvl w:val="0"/>
          <w:numId w:val="11"/>
        </w:numPr>
        <w:rPr>
          <w:rFonts w:ascii="Arial" w:hAnsi="Arial" w:cs="Arial"/>
          <w:szCs w:val="24"/>
        </w:rPr>
      </w:pPr>
      <w:r>
        <w:rPr>
          <w:rFonts w:ascii="Arial" w:hAnsi="Arial" w:cs="Arial"/>
          <w:szCs w:val="24"/>
        </w:rPr>
        <w:t>Rate riders grouped by the nature of the deferral and variance accounts (i.e. one set of rate riders for accounts related to transmission (e.g. 1584 and 1586) and another set of rate riders for accounts related to power (e.g. 1580 and 1588). For an example, see the EnWin Utilities Ltd. Final 2014 Tariff of Rates and Charges (EB-2014-0156).</w:t>
      </w:r>
    </w:p>
    <w:p w:rsidR="005F39DC" w:rsidRDefault="005F39DC" w:rsidP="005F39DC">
      <w:pPr>
        <w:pStyle w:val="ListParagraph"/>
        <w:numPr>
          <w:ilvl w:val="0"/>
          <w:numId w:val="11"/>
        </w:numPr>
        <w:rPr>
          <w:rFonts w:ascii="Arial" w:hAnsi="Arial" w:cs="Arial"/>
          <w:szCs w:val="24"/>
        </w:rPr>
      </w:pPr>
      <w:r>
        <w:rPr>
          <w:rFonts w:ascii="Arial" w:hAnsi="Arial" w:cs="Arial"/>
          <w:szCs w:val="24"/>
        </w:rPr>
        <w:t>Sets of rate riders calculated on the basis of the customer group to which they would apply (i.e. one rate rider for WMPs and one rate rider for non-WMPs). For an example, see Bluewater Power Distribution Corp.’s 2014 IRM application (EB-2013-0112).</w:t>
      </w:r>
    </w:p>
    <w:p w:rsidR="005F39DC" w:rsidRDefault="005F39DC" w:rsidP="005F39DC">
      <w:pPr>
        <w:pStyle w:val="ListParagraph"/>
        <w:rPr>
          <w:rFonts w:ascii="Arial" w:hAnsi="Arial" w:cs="Arial"/>
          <w:szCs w:val="24"/>
        </w:rPr>
      </w:pPr>
    </w:p>
    <w:p w:rsidR="005F39DC" w:rsidRDefault="005F39DC" w:rsidP="00B30534">
      <w:pPr>
        <w:pStyle w:val="ListParagraph"/>
        <w:rPr>
          <w:rFonts w:ascii="Arial" w:hAnsi="Arial" w:cs="Arial"/>
          <w:szCs w:val="24"/>
        </w:rPr>
      </w:pPr>
      <w:r w:rsidRPr="005F39DC">
        <w:rPr>
          <w:rFonts w:ascii="Arial" w:hAnsi="Arial" w:cs="Arial"/>
          <w:szCs w:val="24"/>
        </w:rPr>
        <w:t>Please explain which approach Thunder Bay Hydro would use</w:t>
      </w:r>
      <w:r w:rsidR="008601EE">
        <w:rPr>
          <w:rFonts w:ascii="Arial" w:hAnsi="Arial" w:cs="Arial"/>
          <w:szCs w:val="24"/>
        </w:rPr>
        <w:t xml:space="preserve"> and</w:t>
      </w:r>
      <w:r w:rsidRPr="005F39DC">
        <w:rPr>
          <w:rFonts w:ascii="Arial" w:hAnsi="Arial" w:cs="Arial"/>
          <w:szCs w:val="24"/>
        </w:rPr>
        <w:t xml:space="preserve"> why.</w:t>
      </w:r>
    </w:p>
    <w:p w:rsidR="006742DF" w:rsidRDefault="006742DF" w:rsidP="006742DF">
      <w:pPr>
        <w:pStyle w:val="ListParagraph"/>
        <w:rPr>
          <w:rFonts w:ascii="Arial" w:hAnsi="Arial" w:cs="Arial"/>
          <w:szCs w:val="24"/>
        </w:rPr>
      </w:pPr>
    </w:p>
    <w:p w:rsidR="0082437B" w:rsidRDefault="0082437B">
      <w:pPr>
        <w:rPr>
          <w:rFonts w:ascii="Arial" w:hAnsi="Arial" w:cs="Arial"/>
          <w:color w:val="E36C0A" w:themeColor="accent6" w:themeShade="BF"/>
        </w:rPr>
      </w:pPr>
      <w:r w:rsidRPr="00B4798E">
        <w:rPr>
          <w:rFonts w:ascii="Arial" w:hAnsi="Arial" w:cs="Arial"/>
          <w:color w:val="E36C0A" w:themeColor="accent6" w:themeShade="BF"/>
        </w:rPr>
        <w:t xml:space="preserve">Thunder Bay Hydro does not require a rate rider for its Class </w:t>
      </w:r>
      <w:proofErr w:type="gramStart"/>
      <w:r w:rsidRPr="00B4798E">
        <w:rPr>
          <w:rFonts w:ascii="Arial" w:hAnsi="Arial" w:cs="Arial"/>
          <w:color w:val="E36C0A" w:themeColor="accent6" w:themeShade="BF"/>
        </w:rPr>
        <w:t>A</w:t>
      </w:r>
      <w:proofErr w:type="gramEnd"/>
      <w:r w:rsidRPr="00B4798E">
        <w:rPr>
          <w:rFonts w:ascii="Arial" w:hAnsi="Arial" w:cs="Arial"/>
          <w:color w:val="E36C0A" w:themeColor="accent6" w:themeShade="BF"/>
        </w:rPr>
        <w:t xml:space="preserve"> customer because the settlement process with the IESO offset any balance in Account 1589 to zero at each month</w:t>
      </w:r>
      <w:r>
        <w:rPr>
          <w:rFonts w:ascii="Arial" w:hAnsi="Arial" w:cs="Arial"/>
          <w:color w:val="E36C0A" w:themeColor="accent6" w:themeShade="BF"/>
        </w:rPr>
        <w:t>.</w:t>
      </w:r>
    </w:p>
    <w:p w:rsidR="00616D33" w:rsidRPr="00616D33" w:rsidRDefault="00616D33">
      <w:pPr>
        <w:rPr>
          <w:rFonts w:ascii="Arial" w:hAnsi="Arial" w:cs="Arial"/>
          <w:color w:val="FF0000"/>
        </w:rPr>
      </w:pPr>
      <w:r w:rsidRPr="00616D33">
        <w:rPr>
          <w:rFonts w:ascii="Arial" w:hAnsi="Arial" w:cs="Arial"/>
          <w:color w:val="FF0000"/>
        </w:rPr>
        <w:t>Staff: Confirmed.</w:t>
      </w:r>
    </w:p>
    <w:sectPr w:rsidR="00616D33" w:rsidRPr="00616D33"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44C79F2"/>
    <w:lvl w:ilvl="0">
      <w:start w:val="1"/>
      <w:numFmt w:val="decimal"/>
      <w:pStyle w:val="ListNumber"/>
      <w:lvlText w:val="%1."/>
      <w:lvlJc w:val="left"/>
      <w:pPr>
        <w:tabs>
          <w:tab w:val="num" w:pos="454"/>
        </w:tabs>
        <w:ind w:left="454" w:hanging="454"/>
      </w:pPr>
      <w:rPr>
        <w:b/>
      </w:rPr>
    </w:lvl>
  </w:abstractNum>
  <w:abstractNum w:abstractNumId="1">
    <w:nsid w:val="01764375"/>
    <w:multiLevelType w:val="hybridMultilevel"/>
    <w:tmpl w:val="05E453D0"/>
    <w:lvl w:ilvl="0" w:tplc="F190CE2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3FB687A"/>
    <w:multiLevelType w:val="hybridMultilevel"/>
    <w:tmpl w:val="E95CF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8EC09C1"/>
    <w:multiLevelType w:val="hybridMultilevel"/>
    <w:tmpl w:val="279871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C1E01A7"/>
    <w:multiLevelType w:val="hybridMultilevel"/>
    <w:tmpl w:val="1520D2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31A11D0"/>
    <w:multiLevelType w:val="hybridMultilevel"/>
    <w:tmpl w:val="A882FE6C"/>
    <w:lvl w:ilvl="0" w:tplc="0A744F32">
      <w:start w:val="1"/>
      <w:numFmt w:val="upp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21CC426C"/>
    <w:multiLevelType w:val="hybridMultilevel"/>
    <w:tmpl w:val="C470890C"/>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69FC2795"/>
    <w:multiLevelType w:val="hybridMultilevel"/>
    <w:tmpl w:val="03C29728"/>
    <w:lvl w:ilvl="0" w:tplc="3FD8A45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6EF4604E"/>
    <w:multiLevelType w:val="hybridMultilevel"/>
    <w:tmpl w:val="CA746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B2504F2"/>
    <w:multiLevelType w:val="hybridMultilevel"/>
    <w:tmpl w:val="A82E5FB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7C2F5E2E"/>
    <w:multiLevelType w:val="hybridMultilevel"/>
    <w:tmpl w:val="BEAC6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EC50E10"/>
    <w:multiLevelType w:val="hybridMultilevel"/>
    <w:tmpl w:val="55086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4"/>
  </w:num>
  <w:num w:numId="5">
    <w:abstractNumId w:val="7"/>
  </w:num>
  <w:num w:numId="6">
    <w:abstractNumId w:val="3"/>
  </w:num>
  <w:num w:numId="7">
    <w:abstractNumId w:val="0"/>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B5"/>
    <w:rsid w:val="00053A78"/>
    <w:rsid w:val="000921DD"/>
    <w:rsid w:val="000E0283"/>
    <w:rsid w:val="00165620"/>
    <w:rsid w:val="00190A40"/>
    <w:rsid w:val="001D0676"/>
    <w:rsid w:val="001D5251"/>
    <w:rsid w:val="00210783"/>
    <w:rsid w:val="002415AD"/>
    <w:rsid w:val="00254827"/>
    <w:rsid w:val="003D412F"/>
    <w:rsid w:val="003F1CAA"/>
    <w:rsid w:val="00412DC6"/>
    <w:rsid w:val="00420097"/>
    <w:rsid w:val="004302AA"/>
    <w:rsid w:val="00445A4F"/>
    <w:rsid w:val="00481350"/>
    <w:rsid w:val="005424E3"/>
    <w:rsid w:val="00592239"/>
    <w:rsid w:val="005F2C51"/>
    <w:rsid w:val="005F39DC"/>
    <w:rsid w:val="00616D33"/>
    <w:rsid w:val="006742DF"/>
    <w:rsid w:val="00746080"/>
    <w:rsid w:val="007621D3"/>
    <w:rsid w:val="007728AD"/>
    <w:rsid w:val="007B5A00"/>
    <w:rsid w:val="0082437B"/>
    <w:rsid w:val="0085072F"/>
    <w:rsid w:val="00857876"/>
    <w:rsid w:val="008601EE"/>
    <w:rsid w:val="008F6A6D"/>
    <w:rsid w:val="00923749"/>
    <w:rsid w:val="009D4913"/>
    <w:rsid w:val="00A02BD9"/>
    <w:rsid w:val="00A05F02"/>
    <w:rsid w:val="00A60C68"/>
    <w:rsid w:val="00A94331"/>
    <w:rsid w:val="00AA06D9"/>
    <w:rsid w:val="00AB022D"/>
    <w:rsid w:val="00AE78F3"/>
    <w:rsid w:val="00B10CB5"/>
    <w:rsid w:val="00B25576"/>
    <w:rsid w:val="00B30534"/>
    <w:rsid w:val="00B4798E"/>
    <w:rsid w:val="00B77DBF"/>
    <w:rsid w:val="00BE4C49"/>
    <w:rsid w:val="00C0489E"/>
    <w:rsid w:val="00C8683B"/>
    <w:rsid w:val="00C957A8"/>
    <w:rsid w:val="00CA2D58"/>
    <w:rsid w:val="00CB6B52"/>
    <w:rsid w:val="00D97E08"/>
    <w:rsid w:val="00DA27D8"/>
    <w:rsid w:val="00DC65F6"/>
    <w:rsid w:val="00DE793D"/>
    <w:rsid w:val="00E45F78"/>
    <w:rsid w:val="00E47B48"/>
    <w:rsid w:val="00E52770"/>
    <w:rsid w:val="00EA0919"/>
    <w:rsid w:val="00F05654"/>
    <w:rsid w:val="00F11668"/>
    <w:rsid w:val="00F21C4D"/>
    <w:rsid w:val="00F3476D"/>
    <w:rsid w:val="00F460D8"/>
    <w:rsid w:val="00F54E67"/>
    <w:rsid w:val="00F845BE"/>
    <w:rsid w:val="00FC10A8"/>
    <w:rsid w:val="00FC6B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CB5"/>
    <w:pPr>
      <w:ind w:left="720"/>
      <w:contextualSpacing/>
    </w:pPr>
  </w:style>
  <w:style w:type="table" w:styleId="TableGrid">
    <w:name w:val="Table Grid"/>
    <w:basedOn w:val="TableNormal"/>
    <w:uiPriority w:val="59"/>
    <w:rsid w:val="00B10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CB5"/>
    <w:rPr>
      <w:rFonts w:ascii="Tahoma" w:hAnsi="Tahoma" w:cs="Tahoma"/>
      <w:sz w:val="16"/>
      <w:szCs w:val="16"/>
    </w:rPr>
  </w:style>
  <w:style w:type="character" w:customStyle="1" w:styleId="ListNumberChar">
    <w:name w:val="List Number Char"/>
    <w:basedOn w:val="DefaultParagraphFont"/>
    <w:link w:val="ListNumber"/>
    <w:semiHidden/>
    <w:locked/>
    <w:rsid w:val="00F21C4D"/>
    <w:rPr>
      <w:rFonts w:ascii="Arial" w:hAnsi="Arial" w:cs="Arial"/>
      <w:b/>
      <w:bCs/>
    </w:rPr>
  </w:style>
  <w:style w:type="paragraph" w:styleId="ListNumber">
    <w:name w:val="List Number"/>
    <w:basedOn w:val="Normal"/>
    <w:link w:val="ListNumberChar"/>
    <w:semiHidden/>
    <w:unhideWhenUsed/>
    <w:rsid w:val="00F21C4D"/>
    <w:pPr>
      <w:numPr>
        <w:numId w:val="7"/>
      </w:numPr>
      <w:spacing w:after="120" w:line="240" w:lineRule="auto"/>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CB5"/>
    <w:pPr>
      <w:ind w:left="720"/>
      <w:contextualSpacing/>
    </w:pPr>
  </w:style>
  <w:style w:type="table" w:styleId="TableGrid">
    <w:name w:val="Table Grid"/>
    <w:basedOn w:val="TableNormal"/>
    <w:uiPriority w:val="59"/>
    <w:rsid w:val="00B10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CB5"/>
    <w:rPr>
      <w:rFonts w:ascii="Tahoma" w:hAnsi="Tahoma" w:cs="Tahoma"/>
      <w:sz w:val="16"/>
      <w:szCs w:val="16"/>
    </w:rPr>
  </w:style>
  <w:style w:type="character" w:customStyle="1" w:styleId="ListNumberChar">
    <w:name w:val="List Number Char"/>
    <w:basedOn w:val="DefaultParagraphFont"/>
    <w:link w:val="ListNumber"/>
    <w:semiHidden/>
    <w:locked/>
    <w:rsid w:val="00F21C4D"/>
    <w:rPr>
      <w:rFonts w:ascii="Arial" w:hAnsi="Arial" w:cs="Arial"/>
      <w:b/>
      <w:bCs/>
    </w:rPr>
  </w:style>
  <w:style w:type="paragraph" w:styleId="ListNumber">
    <w:name w:val="List Number"/>
    <w:basedOn w:val="Normal"/>
    <w:link w:val="ListNumberChar"/>
    <w:semiHidden/>
    <w:unhideWhenUsed/>
    <w:rsid w:val="00F21C4D"/>
    <w:pPr>
      <w:numPr>
        <w:numId w:val="7"/>
      </w:numPr>
      <w:spacing w:after="120" w:line="240" w:lineRule="auto"/>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8310">
      <w:bodyDiv w:val="1"/>
      <w:marLeft w:val="0"/>
      <w:marRight w:val="0"/>
      <w:marTop w:val="0"/>
      <w:marBottom w:val="0"/>
      <w:divBdr>
        <w:top w:val="none" w:sz="0" w:space="0" w:color="auto"/>
        <w:left w:val="none" w:sz="0" w:space="0" w:color="auto"/>
        <w:bottom w:val="none" w:sz="0" w:space="0" w:color="auto"/>
        <w:right w:val="none" w:sz="0" w:space="0" w:color="auto"/>
      </w:divBdr>
    </w:div>
    <w:div w:id="49426082">
      <w:bodyDiv w:val="1"/>
      <w:marLeft w:val="0"/>
      <w:marRight w:val="0"/>
      <w:marTop w:val="0"/>
      <w:marBottom w:val="0"/>
      <w:divBdr>
        <w:top w:val="none" w:sz="0" w:space="0" w:color="auto"/>
        <w:left w:val="none" w:sz="0" w:space="0" w:color="auto"/>
        <w:bottom w:val="none" w:sz="0" w:space="0" w:color="auto"/>
        <w:right w:val="none" w:sz="0" w:space="0" w:color="auto"/>
      </w:divBdr>
    </w:div>
    <w:div w:id="154300193">
      <w:bodyDiv w:val="1"/>
      <w:marLeft w:val="0"/>
      <w:marRight w:val="0"/>
      <w:marTop w:val="0"/>
      <w:marBottom w:val="0"/>
      <w:divBdr>
        <w:top w:val="none" w:sz="0" w:space="0" w:color="auto"/>
        <w:left w:val="none" w:sz="0" w:space="0" w:color="auto"/>
        <w:bottom w:val="none" w:sz="0" w:space="0" w:color="auto"/>
        <w:right w:val="none" w:sz="0" w:space="0" w:color="auto"/>
      </w:divBdr>
    </w:div>
    <w:div w:id="202910706">
      <w:bodyDiv w:val="1"/>
      <w:marLeft w:val="0"/>
      <w:marRight w:val="0"/>
      <w:marTop w:val="0"/>
      <w:marBottom w:val="0"/>
      <w:divBdr>
        <w:top w:val="none" w:sz="0" w:space="0" w:color="auto"/>
        <w:left w:val="none" w:sz="0" w:space="0" w:color="auto"/>
        <w:bottom w:val="none" w:sz="0" w:space="0" w:color="auto"/>
        <w:right w:val="none" w:sz="0" w:space="0" w:color="auto"/>
      </w:divBdr>
      <w:divsChild>
        <w:div w:id="2073192812">
          <w:marLeft w:val="0"/>
          <w:marRight w:val="0"/>
          <w:marTop w:val="0"/>
          <w:marBottom w:val="0"/>
          <w:divBdr>
            <w:top w:val="none" w:sz="0" w:space="0" w:color="auto"/>
            <w:left w:val="none" w:sz="0" w:space="0" w:color="auto"/>
            <w:bottom w:val="none" w:sz="0" w:space="0" w:color="auto"/>
            <w:right w:val="none" w:sz="0" w:space="0" w:color="auto"/>
          </w:divBdr>
        </w:div>
      </w:divsChild>
    </w:div>
    <w:div w:id="326373261">
      <w:bodyDiv w:val="1"/>
      <w:marLeft w:val="0"/>
      <w:marRight w:val="0"/>
      <w:marTop w:val="0"/>
      <w:marBottom w:val="0"/>
      <w:divBdr>
        <w:top w:val="none" w:sz="0" w:space="0" w:color="auto"/>
        <w:left w:val="none" w:sz="0" w:space="0" w:color="auto"/>
        <w:bottom w:val="none" w:sz="0" w:space="0" w:color="auto"/>
        <w:right w:val="none" w:sz="0" w:space="0" w:color="auto"/>
      </w:divBdr>
    </w:div>
    <w:div w:id="744685885">
      <w:bodyDiv w:val="1"/>
      <w:marLeft w:val="0"/>
      <w:marRight w:val="0"/>
      <w:marTop w:val="0"/>
      <w:marBottom w:val="0"/>
      <w:divBdr>
        <w:top w:val="none" w:sz="0" w:space="0" w:color="auto"/>
        <w:left w:val="none" w:sz="0" w:space="0" w:color="auto"/>
        <w:bottom w:val="none" w:sz="0" w:space="0" w:color="auto"/>
        <w:right w:val="none" w:sz="0" w:space="0" w:color="auto"/>
      </w:divBdr>
    </w:div>
    <w:div w:id="808012935">
      <w:bodyDiv w:val="1"/>
      <w:marLeft w:val="0"/>
      <w:marRight w:val="0"/>
      <w:marTop w:val="0"/>
      <w:marBottom w:val="0"/>
      <w:divBdr>
        <w:top w:val="none" w:sz="0" w:space="0" w:color="auto"/>
        <w:left w:val="none" w:sz="0" w:space="0" w:color="auto"/>
        <w:bottom w:val="none" w:sz="0" w:space="0" w:color="auto"/>
        <w:right w:val="none" w:sz="0" w:space="0" w:color="auto"/>
      </w:divBdr>
    </w:div>
    <w:div w:id="826942743">
      <w:bodyDiv w:val="1"/>
      <w:marLeft w:val="0"/>
      <w:marRight w:val="0"/>
      <w:marTop w:val="0"/>
      <w:marBottom w:val="0"/>
      <w:divBdr>
        <w:top w:val="none" w:sz="0" w:space="0" w:color="auto"/>
        <w:left w:val="none" w:sz="0" w:space="0" w:color="auto"/>
        <w:bottom w:val="none" w:sz="0" w:space="0" w:color="auto"/>
        <w:right w:val="none" w:sz="0" w:space="0" w:color="auto"/>
      </w:divBdr>
    </w:div>
    <w:div w:id="1328946310">
      <w:bodyDiv w:val="1"/>
      <w:marLeft w:val="0"/>
      <w:marRight w:val="0"/>
      <w:marTop w:val="0"/>
      <w:marBottom w:val="0"/>
      <w:divBdr>
        <w:top w:val="none" w:sz="0" w:space="0" w:color="auto"/>
        <w:left w:val="none" w:sz="0" w:space="0" w:color="auto"/>
        <w:bottom w:val="none" w:sz="0" w:space="0" w:color="auto"/>
        <w:right w:val="none" w:sz="0" w:space="0" w:color="auto"/>
      </w:divBdr>
    </w:div>
    <w:div w:id="1384913264">
      <w:bodyDiv w:val="1"/>
      <w:marLeft w:val="0"/>
      <w:marRight w:val="0"/>
      <w:marTop w:val="0"/>
      <w:marBottom w:val="0"/>
      <w:divBdr>
        <w:top w:val="none" w:sz="0" w:space="0" w:color="auto"/>
        <w:left w:val="none" w:sz="0" w:space="0" w:color="auto"/>
        <w:bottom w:val="none" w:sz="0" w:space="0" w:color="auto"/>
        <w:right w:val="none" w:sz="0" w:space="0" w:color="auto"/>
      </w:divBdr>
    </w:div>
    <w:div w:id="1395615476">
      <w:bodyDiv w:val="1"/>
      <w:marLeft w:val="0"/>
      <w:marRight w:val="0"/>
      <w:marTop w:val="0"/>
      <w:marBottom w:val="0"/>
      <w:divBdr>
        <w:top w:val="none" w:sz="0" w:space="0" w:color="auto"/>
        <w:left w:val="none" w:sz="0" w:space="0" w:color="auto"/>
        <w:bottom w:val="none" w:sz="0" w:space="0" w:color="auto"/>
        <w:right w:val="none" w:sz="0" w:space="0" w:color="auto"/>
      </w:divBdr>
    </w:div>
    <w:div w:id="1819761403">
      <w:bodyDiv w:val="1"/>
      <w:marLeft w:val="0"/>
      <w:marRight w:val="0"/>
      <w:marTop w:val="0"/>
      <w:marBottom w:val="0"/>
      <w:divBdr>
        <w:top w:val="none" w:sz="0" w:space="0" w:color="auto"/>
        <w:left w:val="none" w:sz="0" w:space="0" w:color="auto"/>
        <w:bottom w:val="none" w:sz="0" w:space="0" w:color="auto"/>
        <w:right w:val="none" w:sz="0" w:space="0" w:color="auto"/>
      </w:divBdr>
    </w:div>
    <w:div w:id="1983463193">
      <w:bodyDiv w:val="1"/>
      <w:marLeft w:val="0"/>
      <w:marRight w:val="0"/>
      <w:marTop w:val="0"/>
      <w:marBottom w:val="0"/>
      <w:divBdr>
        <w:top w:val="none" w:sz="0" w:space="0" w:color="auto"/>
        <w:left w:val="none" w:sz="0" w:space="0" w:color="auto"/>
        <w:bottom w:val="none" w:sz="0" w:space="0" w:color="auto"/>
        <w:right w:val="none" w:sz="0" w:space="0" w:color="auto"/>
      </w:divBdr>
      <w:divsChild>
        <w:div w:id="849635295">
          <w:marLeft w:val="0"/>
          <w:marRight w:val="0"/>
          <w:marTop w:val="0"/>
          <w:marBottom w:val="0"/>
          <w:divBdr>
            <w:top w:val="none" w:sz="0" w:space="0" w:color="auto"/>
            <w:left w:val="none" w:sz="0" w:space="0" w:color="auto"/>
            <w:bottom w:val="none" w:sz="0" w:space="0" w:color="auto"/>
            <w:right w:val="none" w:sz="0" w:space="0" w:color="auto"/>
          </w:divBdr>
        </w:div>
      </w:divsChild>
    </w:div>
    <w:div w:id="1997757848">
      <w:bodyDiv w:val="1"/>
      <w:marLeft w:val="0"/>
      <w:marRight w:val="0"/>
      <w:marTop w:val="0"/>
      <w:marBottom w:val="0"/>
      <w:divBdr>
        <w:top w:val="none" w:sz="0" w:space="0" w:color="auto"/>
        <w:left w:val="none" w:sz="0" w:space="0" w:color="auto"/>
        <w:bottom w:val="none" w:sz="0" w:space="0" w:color="auto"/>
        <w:right w:val="none" w:sz="0" w:space="0" w:color="auto"/>
      </w:divBdr>
    </w:div>
    <w:div w:id="2005937041">
      <w:bodyDiv w:val="1"/>
      <w:marLeft w:val="0"/>
      <w:marRight w:val="0"/>
      <w:marTop w:val="0"/>
      <w:marBottom w:val="0"/>
      <w:divBdr>
        <w:top w:val="none" w:sz="0" w:space="0" w:color="auto"/>
        <w:left w:val="none" w:sz="0" w:space="0" w:color="auto"/>
        <w:bottom w:val="none" w:sz="0" w:space="0" w:color="auto"/>
        <w:right w:val="none" w:sz="0" w:space="0" w:color="auto"/>
      </w:divBdr>
    </w:div>
    <w:div w:id="2054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FA89-4317-4B2A-81C7-F41C2165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Georgette Vlahos</cp:lastModifiedBy>
  <cp:revision>7</cp:revision>
  <cp:lastPrinted>2014-12-11T15:20:00Z</cp:lastPrinted>
  <dcterms:created xsi:type="dcterms:W3CDTF">2014-12-10T20:37:00Z</dcterms:created>
  <dcterms:modified xsi:type="dcterms:W3CDTF">2014-12-12T18:42:00Z</dcterms:modified>
</cp:coreProperties>
</file>