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C4" w:rsidRPr="00B16AD9" w:rsidRDefault="00281FC4" w:rsidP="00C40361">
      <w:pPr>
        <w:pStyle w:val="Heading8"/>
        <w:ind w:left="6532" w:firstLine="668"/>
        <w:rPr>
          <w:rFonts w:cs="Arial"/>
          <w:sz w:val="26"/>
          <w:szCs w:val="26"/>
        </w:rPr>
      </w:pPr>
      <w:r w:rsidRPr="00B16AD9">
        <w:rPr>
          <w:rFonts w:cs="Arial"/>
          <w:sz w:val="26"/>
          <w:szCs w:val="26"/>
        </w:rPr>
        <w:t>EB-201</w:t>
      </w:r>
      <w:r w:rsidR="00082441" w:rsidRPr="00B16AD9">
        <w:rPr>
          <w:rFonts w:cs="Arial"/>
          <w:sz w:val="26"/>
          <w:szCs w:val="26"/>
        </w:rPr>
        <w:t>4</w:t>
      </w:r>
      <w:r w:rsidRPr="00B16AD9">
        <w:rPr>
          <w:rFonts w:cs="Arial"/>
          <w:sz w:val="26"/>
          <w:szCs w:val="26"/>
        </w:rPr>
        <w:t>-0</w:t>
      </w:r>
      <w:r w:rsidR="00082441" w:rsidRPr="00B16AD9">
        <w:rPr>
          <w:rFonts w:cs="Arial"/>
          <w:sz w:val="26"/>
          <w:szCs w:val="26"/>
        </w:rPr>
        <w:t>116</w:t>
      </w:r>
    </w:p>
    <w:p w:rsidR="00281FC4" w:rsidRDefault="00281FC4" w:rsidP="00281FC4">
      <w:pPr>
        <w:ind w:left="5812"/>
        <w:rPr>
          <w:rFonts w:ascii="Arial" w:hAnsi="Arial" w:cs="Arial"/>
          <w:b/>
          <w:sz w:val="32"/>
          <w:szCs w:val="32"/>
        </w:rPr>
      </w:pPr>
    </w:p>
    <w:p w:rsidR="00281FC4" w:rsidRDefault="00281FC4" w:rsidP="00281FC4">
      <w:pPr>
        <w:pStyle w:val="Heading8"/>
        <w:tabs>
          <w:tab w:val="left" w:pos="5760"/>
        </w:tabs>
        <w:ind w:left="5760"/>
        <w:rPr>
          <w:sz w:val="36"/>
        </w:rPr>
      </w:pPr>
      <w:r>
        <w:rPr>
          <w:sz w:val="36"/>
        </w:rPr>
        <w:tab/>
      </w:r>
    </w:p>
    <w:p w:rsidR="00281FC4" w:rsidRPr="00B16AD9" w:rsidRDefault="00281FC4" w:rsidP="00281FC4">
      <w:pPr>
        <w:jc w:val="center"/>
        <w:rPr>
          <w:rFonts w:ascii="Arial" w:hAnsi="Arial" w:cs="Arial"/>
          <w:b/>
          <w:sz w:val="32"/>
          <w:szCs w:val="32"/>
        </w:rPr>
      </w:pPr>
      <w:r w:rsidRPr="00B16AD9">
        <w:rPr>
          <w:rFonts w:ascii="Arial" w:hAnsi="Arial" w:cs="Arial"/>
          <w:b/>
          <w:sz w:val="32"/>
          <w:szCs w:val="32"/>
        </w:rPr>
        <w:t>Ontario Energy Board</w:t>
      </w:r>
    </w:p>
    <w:p w:rsidR="00281FC4" w:rsidRDefault="00281FC4" w:rsidP="00281FC4">
      <w:pPr>
        <w:pStyle w:val="Heading8"/>
        <w:jc w:val="center"/>
        <w:rPr>
          <w:rFonts w:cs="Arial"/>
          <w:sz w:val="24"/>
        </w:rPr>
      </w:pPr>
    </w:p>
    <w:p w:rsidR="00281FC4" w:rsidRDefault="00281FC4" w:rsidP="00281FC4">
      <w:pPr>
        <w:pStyle w:val="Default"/>
      </w:pPr>
    </w:p>
    <w:p w:rsidR="00281FC4" w:rsidRPr="00183751" w:rsidRDefault="00281FC4" w:rsidP="00281FC4">
      <w:pPr>
        <w:jc w:val="center"/>
        <w:rPr>
          <w:rFonts w:ascii="Arial" w:hAnsi="Arial" w:cs="Arial"/>
          <w:sz w:val="40"/>
          <w:szCs w:val="40"/>
        </w:rPr>
      </w:pPr>
    </w:p>
    <w:p w:rsidR="00247E6A" w:rsidRPr="00247E6A" w:rsidRDefault="00247E6A" w:rsidP="00247E6A">
      <w:pPr>
        <w:autoSpaceDE w:val="0"/>
        <w:autoSpaceDN w:val="0"/>
        <w:adjustRightInd w:val="0"/>
        <w:jc w:val="center"/>
        <w:rPr>
          <w:rFonts w:ascii="Arial" w:hAnsi="Arial" w:cs="Arial"/>
          <w:color w:val="000000"/>
        </w:rPr>
      </w:pPr>
    </w:p>
    <w:p w:rsidR="00247E6A" w:rsidRPr="00B16AD9" w:rsidRDefault="00247E6A" w:rsidP="00B16AD9">
      <w:pPr>
        <w:tabs>
          <w:tab w:val="left" w:pos="1418"/>
        </w:tabs>
        <w:autoSpaceDE w:val="0"/>
        <w:autoSpaceDN w:val="0"/>
        <w:adjustRightInd w:val="0"/>
        <w:ind w:left="1418" w:right="1422"/>
        <w:jc w:val="both"/>
        <w:rPr>
          <w:color w:val="000000"/>
        </w:rPr>
      </w:pPr>
      <w:r w:rsidRPr="00B16AD9">
        <w:rPr>
          <w:b/>
          <w:bCs/>
          <w:color w:val="000000"/>
        </w:rPr>
        <w:t xml:space="preserve">IN THE MATTER OF </w:t>
      </w:r>
      <w:r w:rsidRPr="00B16AD9">
        <w:rPr>
          <w:color w:val="000000"/>
        </w:rPr>
        <w:t xml:space="preserve">the </w:t>
      </w:r>
      <w:r w:rsidRPr="00B16AD9">
        <w:rPr>
          <w:i/>
          <w:iCs/>
          <w:color w:val="000000"/>
        </w:rPr>
        <w:t>Ontario Energy Board Act, 1998</w:t>
      </w:r>
      <w:r w:rsidR="00B16AD9">
        <w:rPr>
          <w:color w:val="000000"/>
        </w:rPr>
        <w:t xml:space="preserve">, S.O. </w:t>
      </w:r>
      <w:r w:rsidRPr="00B16AD9">
        <w:rPr>
          <w:color w:val="000000"/>
        </w:rPr>
        <w:t>1998, c. 15, (Schedule B);</w:t>
      </w:r>
    </w:p>
    <w:p w:rsidR="00247E6A" w:rsidRPr="00B16AD9" w:rsidRDefault="00247E6A" w:rsidP="00247E6A">
      <w:pPr>
        <w:autoSpaceDE w:val="0"/>
        <w:autoSpaceDN w:val="0"/>
        <w:adjustRightInd w:val="0"/>
        <w:jc w:val="center"/>
        <w:rPr>
          <w:b/>
          <w:bCs/>
          <w:color w:val="000000"/>
        </w:rPr>
      </w:pPr>
    </w:p>
    <w:p w:rsidR="00247E6A" w:rsidRPr="00B16AD9" w:rsidRDefault="00247E6A" w:rsidP="00247E6A">
      <w:pPr>
        <w:autoSpaceDE w:val="0"/>
        <w:autoSpaceDN w:val="0"/>
        <w:adjustRightInd w:val="0"/>
        <w:jc w:val="center"/>
        <w:rPr>
          <w:b/>
          <w:bCs/>
          <w:color w:val="000000"/>
        </w:rPr>
      </w:pPr>
    </w:p>
    <w:p w:rsidR="00247E6A" w:rsidRPr="00B16AD9" w:rsidRDefault="00247E6A" w:rsidP="00B16AD9">
      <w:pPr>
        <w:tabs>
          <w:tab w:val="left" w:pos="1418"/>
        </w:tabs>
        <w:autoSpaceDE w:val="0"/>
        <w:autoSpaceDN w:val="0"/>
        <w:adjustRightInd w:val="0"/>
        <w:ind w:left="1418" w:right="1422"/>
        <w:jc w:val="both"/>
        <w:rPr>
          <w:color w:val="000000"/>
        </w:rPr>
      </w:pPr>
      <w:r w:rsidRPr="00B16AD9">
        <w:rPr>
          <w:b/>
          <w:bCs/>
          <w:color w:val="000000"/>
        </w:rPr>
        <w:t xml:space="preserve">AND IN THE MATTER OF </w:t>
      </w:r>
      <w:r w:rsidRPr="00B16AD9">
        <w:rPr>
          <w:color w:val="000000"/>
        </w:rPr>
        <w:t>an application by Toronto Hydro-Electric System Limited for an order approving just and reasonable rates and other charges for electricity distribution to be effective May 1, 2015 and for each following year effective January 1 through to December 31, 2019.</w:t>
      </w:r>
    </w:p>
    <w:p w:rsidR="00281FC4" w:rsidRPr="00B16AD9" w:rsidRDefault="00281FC4" w:rsidP="00281FC4">
      <w:pPr>
        <w:pStyle w:val="Footer"/>
        <w:tabs>
          <w:tab w:val="clear" w:pos="4320"/>
          <w:tab w:val="clear" w:pos="8640"/>
        </w:tabs>
      </w:pPr>
    </w:p>
    <w:p w:rsidR="00C40361" w:rsidRDefault="00C40361" w:rsidP="00281FC4">
      <w:pPr>
        <w:pStyle w:val="Footer"/>
        <w:tabs>
          <w:tab w:val="clear" w:pos="4320"/>
          <w:tab w:val="clear" w:pos="8640"/>
        </w:tabs>
      </w:pPr>
    </w:p>
    <w:p w:rsidR="00C40361" w:rsidRDefault="00C40361" w:rsidP="00281FC4">
      <w:pPr>
        <w:pStyle w:val="Footer"/>
        <w:tabs>
          <w:tab w:val="clear" w:pos="4320"/>
          <w:tab w:val="clear" w:pos="8640"/>
        </w:tabs>
      </w:pPr>
    </w:p>
    <w:p w:rsidR="00C40361" w:rsidRDefault="00C40361" w:rsidP="00281FC4">
      <w:pPr>
        <w:pStyle w:val="Footer"/>
        <w:tabs>
          <w:tab w:val="clear" w:pos="4320"/>
          <w:tab w:val="clear" w:pos="8640"/>
        </w:tabs>
      </w:pPr>
    </w:p>
    <w:p w:rsidR="00281FC4" w:rsidRPr="00E5117B" w:rsidRDefault="00281FC4" w:rsidP="00281FC4">
      <w:pPr>
        <w:pStyle w:val="Heading1"/>
        <w:pBdr>
          <w:top w:val="single" w:sz="4" w:space="1" w:color="auto"/>
        </w:pBdr>
        <w:rPr>
          <w:rFonts w:ascii="Times New Roman" w:hAnsi="Times New Roman" w:cs="Times New Roman"/>
          <w:sz w:val="36"/>
          <w:szCs w:val="36"/>
        </w:rPr>
      </w:pPr>
    </w:p>
    <w:p w:rsidR="00281FC4" w:rsidRPr="00B16AD9" w:rsidRDefault="00082441" w:rsidP="00281FC4">
      <w:pPr>
        <w:pStyle w:val="Heading1"/>
        <w:pBdr>
          <w:top w:val="single" w:sz="4" w:space="1" w:color="auto"/>
        </w:pBdr>
        <w:rPr>
          <w:rFonts w:ascii="Times New Roman" w:hAnsi="Times New Roman" w:cs="Times New Roman"/>
          <w:sz w:val="32"/>
          <w:szCs w:val="32"/>
        </w:rPr>
      </w:pPr>
      <w:r w:rsidRPr="00B16AD9">
        <w:rPr>
          <w:rFonts w:ascii="Times New Roman" w:hAnsi="Times New Roman" w:cs="Times New Roman"/>
          <w:sz w:val="32"/>
          <w:szCs w:val="32"/>
        </w:rPr>
        <w:t>Interrogatories to Pacific Economics Group</w:t>
      </w:r>
    </w:p>
    <w:p w:rsidR="00281FC4" w:rsidRPr="00B16AD9" w:rsidRDefault="00281FC4" w:rsidP="00281FC4">
      <w:pPr>
        <w:pStyle w:val="Heading1"/>
        <w:pBdr>
          <w:top w:val="single" w:sz="4" w:space="1" w:color="auto"/>
        </w:pBdr>
        <w:rPr>
          <w:rFonts w:ascii="Times New Roman" w:hAnsi="Times New Roman" w:cs="Times New Roman"/>
          <w:sz w:val="32"/>
          <w:szCs w:val="32"/>
        </w:rPr>
      </w:pPr>
    </w:p>
    <w:p w:rsidR="00281FC4" w:rsidRPr="00B16AD9" w:rsidRDefault="00281FC4" w:rsidP="00281FC4">
      <w:pPr>
        <w:pStyle w:val="Heading1"/>
        <w:pBdr>
          <w:top w:val="single" w:sz="4" w:space="1" w:color="auto"/>
        </w:pBdr>
        <w:rPr>
          <w:rFonts w:ascii="Times New Roman" w:hAnsi="Times New Roman" w:cs="Times New Roman"/>
          <w:sz w:val="32"/>
          <w:szCs w:val="32"/>
        </w:rPr>
      </w:pPr>
      <w:r w:rsidRPr="00B16AD9">
        <w:rPr>
          <w:rFonts w:ascii="Times New Roman" w:hAnsi="Times New Roman" w:cs="Times New Roman"/>
          <w:sz w:val="32"/>
          <w:szCs w:val="32"/>
        </w:rPr>
        <w:t>Energy Probe Research Foundation</w:t>
      </w:r>
    </w:p>
    <w:p w:rsidR="00281FC4" w:rsidRPr="00E5117B" w:rsidRDefault="00281FC4" w:rsidP="00281FC4">
      <w:pPr>
        <w:pStyle w:val="Heading8"/>
        <w:pBdr>
          <w:bottom w:val="single" w:sz="4" w:space="1" w:color="auto"/>
        </w:pBdr>
        <w:jc w:val="center"/>
        <w:rPr>
          <w:rFonts w:cs="Arial"/>
          <w:sz w:val="36"/>
          <w:szCs w:val="36"/>
        </w:rPr>
      </w:pPr>
    </w:p>
    <w:p w:rsidR="00281FC4" w:rsidRDefault="00281FC4" w:rsidP="00281FC4">
      <w:pPr>
        <w:pStyle w:val="Heading8"/>
        <w:jc w:val="center"/>
        <w:rPr>
          <w:rFonts w:ascii="Times New Roman" w:hAnsi="Times New Roman"/>
          <w:sz w:val="40"/>
        </w:rPr>
      </w:pPr>
    </w:p>
    <w:p w:rsidR="00281FC4" w:rsidRDefault="00281FC4" w:rsidP="00281FC4">
      <w:pPr>
        <w:pStyle w:val="Heading8"/>
        <w:jc w:val="center"/>
        <w:rPr>
          <w:rFonts w:ascii="Times New Roman" w:hAnsi="Times New Roman"/>
          <w:sz w:val="40"/>
        </w:rPr>
      </w:pPr>
    </w:p>
    <w:p w:rsidR="00281FC4" w:rsidRDefault="00281FC4" w:rsidP="00281FC4"/>
    <w:p w:rsidR="00281FC4" w:rsidRPr="00725195" w:rsidRDefault="00281FC4" w:rsidP="00281FC4"/>
    <w:p w:rsidR="00281FC4" w:rsidRPr="00183751" w:rsidRDefault="00281FC4" w:rsidP="00281FC4"/>
    <w:p w:rsidR="00281FC4" w:rsidRPr="00B16AD9" w:rsidRDefault="00082441" w:rsidP="00281FC4">
      <w:pPr>
        <w:pStyle w:val="Heading8"/>
        <w:jc w:val="center"/>
        <w:rPr>
          <w:rFonts w:ascii="Times New Roman" w:hAnsi="Times New Roman"/>
          <w:sz w:val="28"/>
          <w:szCs w:val="28"/>
        </w:rPr>
      </w:pPr>
      <w:r w:rsidRPr="00B16AD9">
        <w:rPr>
          <w:rFonts w:ascii="Times New Roman" w:hAnsi="Times New Roman"/>
          <w:sz w:val="28"/>
          <w:szCs w:val="28"/>
        </w:rPr>
        <w:t>December 22</w:t>
      </w:r>
      <w:r w:rsidR="00281FC4" w:rsidRPr="00B16AD9">
        <w:rPr>
          <w:rFonts w:ascii="Times New Roman" w:hAnsi="Times New Roman"/>
          <w:sz w:val="28"/>
          <w:szCs w:val="28"/>
        </w:rPr>
        <w:t>, 201</w:t>
      </w:r>
      <w:r w:rsidRPr="00B16AD9">
        <w:rPr>
          <w:rFonts w:ascii="Times New Roman" w:hAnsi="Times New Roman"/>
          <w:sz w:val="28"/>
          <w:szCs w:val="28"/>
        </w:rPr>
        <w:t>4</w:t>
      </w:r>
    </w:p>
    <w:p w:rsidR="00281FC4" w:rsidRDefault="00281FC4" w:rsidP="00281FC4">
      <w:pPr>
        <w:pStyle w:val="Heading8"/>
        <w:jc w:val="center"/>
        <w:rPr>
          <w:rFonts w:ascii="Times New Roman" w:hAnsi="Times New Roman"/>
          <w:sz w:val="36"/>
          <w:szCs w:val="36"/>
        </w:rPr>
      </w:pPr>
    </w:p>
    <w:p w:rsidR="00281FC4" w:rsidRDefault="00281FC4" w:rsidP="00281FC4">
      <w:pPr>
        <w:pStyle w:val="Default"/>
      </w:pPr>
    </w:p>
    <w:p w:rsidR="00281FC4" w:rsidRDefault="00281FC4" w:rsidP="00281FC4">
      <w:pPr>
        <w:pStyle w:val="Heading8"/>
        <w:jc w:val="center"/>
        <w:rPr>
          <w:rFonts w:cs="Arial"/>
          <w:bCs w:val="0"/>
          <w:sz w:val="28"/>
          <w:szCs w:val="28"/>
          <w:lang w:eastAsia="en-CA"/>
        </w:rPr>
      </w:pPr>
      <w:r w:rsidRPr="00EF1B3B">
        <w:rPr>
          <w:rFonts w:ascii="Times New Roman" w:hAnsi="Times New Roman"/>
          <w:sz w:val="36"/>
          <w:szCs w:val="36"/>
        </w:rPr>
        <w:br w:type="page"/>
      </w:r>
    </w:p>
    <w:p w:rsidR="00226FE9" w:rsidRPr="00E55C06" w:rsidRDefault="00226FE9" w:rsidP="00226FE9">
      <w:pPr>
        <w:spacing w:after="200" w:line="276" w:lineRule="auto"/>
        <w:jc w:val="right"/>
        <w:rPr>
          <w:rFonts w:ascii="Arial" w:hAnsi="Arial" w:cs="Arial"/>
          <w:b/>
          <w:spacing w:val="-5"/>
          <w:lang w:eastAsia="en-CA"/>
        </w:rPr>
      </w:pPr>
      <w:r w:rsidRPr="00E55C06">
        <w:rPr>
          <w:rFonts w:ascii="Arial" w:hAnsi="Arial" w:cs="Arial"/>
          <w:b/>
          <w:spacing w:val="-5"/>
          <w:lang w:eastAsia="en-CA"/>
        </w:rPr>
        <w:lastRenderedPageBreak/>
        <w:t>EB-2013-0116</w:t>
      </w:r>
    </w:p>
    <w:p w:rsidR="00226FE9" w:rsidRPr="0047188A" w:rsidRDefault="00226FE9" w:rsidP="00226FE9">
      <w:pPr>
        <w:spacing w:after="200" w:line="276" w:lineRule="auto"/>
        <w:jc w:val="center"/>
        <w:rPr>
          <w:b/>
          <w:spacing w:val="-5"/>
          <w:sz w:val="26"/>
          <w:szCs w:val="26"/>
          <w:lang w:eastAsia="en-CA"/>
        </w:rPr>
      </w:pPr>
      <w:r w:rsidRPr="0047188A">
        <w:rPr>
          <w:b/>
          <w:spacing w:val="-5"/>
          <w:sz w:val="26"/>
          <w:szCs w:val="26"/>
          <w:lang w:eastAsia="en-CA"/>
        </w:rPr>
        <w:t>Toronto Hydro Electric System CIR Plan</w:t>
      </w:r>
    </w:p>
    <w:p w:rsidR="00226FE9" w:rsidRPr="0047188A" w:rsidRDefault="00226FE9" w:rsidP="00226FE9">
      <w:pPr>
        <w:spacing w:after="200" w:line="276" w:lineRule="auto"/>
        <w:jc w:val="center"/>
        <w:rPr>
          <w:b/>
          <w:spacing w:val="-5"/>
          <w:sz w:val="26"/>
          <w:szCs w:val="26"/>
          <w:lang w:eastAsia="en-CA"/>
        </w:rPr>
      </w:pPr>
      <w:r w:rsidRPr="0047188A">
        <w:rPr>
          <w:b/>
          <w:spacing w:val="-5"/>
          <w:sz w:val="26"/>
          <w:szCs w:val="26"/>
          <w:lang w:eastAsia="en-CA"/>
        </w:rPr>
        <w:t>Interrogatories of Energy Probe Research Foundation</w:t>
      </w:r>
    </w:p>
    <w:p w:rsidR="0047188A" w:rsidRDefault="00226FE9" w:rsidP="0047188A">
      <w:pPr>
        <w:spacing w:after="200" w:line="276" w:lineRule="auto"/>
        <w:jc w:val="center"/>
        <w:rPr>
          <w:b/>
          <w:sz w:val="26"/>
          <w:szCs w:val="26"/>
        </w:rPr>
      </w:pPr>
      <w:r w:rsidRPr="0047188A">
        <w:rPr>
          <w:b/>
          <w:sz w:val="26"/>
          <w:szCs w:val="26"/>
        </w:rPr>
        <w:t>To Pacific Economics Group Research</w:t>
      </w:r>
    </w:p>
    <w:p w:rsidR="0047188A" w:rsidRDefault="0047188A" w:rsidP="0047188A">
      <w:pPr>
        <w:spacing w:after="200" w:line="276" w:lineRule="auto"/>
        <w:rPr>
          <w:b/>
          <w:sz w:val="26"/>
          <w:szCs w:val="26"/>
        </w:rPr>
      </w:pPr>
    </w:p>
    <w:p w:rsidR="00E42AC6" w:rsidRPr="0047188A" w:rsidRDefault="0047188A" w:rsidP="0047188A">
      <w:pPr>
        <w:pStyle w:val="ListParagraph"/>
        <w:spacing w:after="200" w:line="276" w:lineRule="auto"/>
        <w:ind w:left="0"/>
        <w:rPr>
          <w:b/>
        </w:rPr>
      </w:pPr>
      <w:r w:rsidRPr="0047188A">
        <w:rPr>
          <w:b/>
        </w:rPr>
        <w:t xml:space="preserve">1 - </w:t>
      </w:r>
      <w:r w:rsidR="00E42AC6" w:rsidRPr="0047188A">
        <w:rPr>
          <w:b/>
        </w:rPr>
        <w:t>E</w:t>
      </w:r>
      <w:r w:rsidRPr="0047188A">
        <w:rPr>
          <w:b/>
        </w:rPr>
        <w:t>nergy Probe</w:t>
      </w:r>
      <w:r w:rsidR="00E42AC6" w:rsidRPr="0047188A">
        <w:rPr>
          <w:b/>
        </w:rPr>
        <w:t xml:space="preserve"> –</w:t>
      </w:r>
      <w:r w:rsidR="00AD3EBC">
        <w:rPr>
          <w:b/>
        </w:rPr>
        <w:t xml:space="preserve"> </w:t>
      </w:r>
      <w:r w:rsidRPr="0047188A">
        <w:rPr>
          <w:b/>
        </w:rPr>
        <w:t>1</w:t>
      </w:r>
    </w:p>
    <w:p w:rsidR="005A4513" w:rsidRPr="0047188A" w:rsidRDefault="00E42AC6" w:rsidP="0047188A">
      <w:pPr>
        <w:tabs>
          <w:tab w:val="left" w:pos="709"/>
        </w:tabs>
        <w:spacing w:after="200" w:line="276" w:lineRule="auto"/>
        <w:rPr>
          <w:b/>
        </w:rPr>
      </w:pPr>
      <w:r w:rsidRPr="0047188A">
        <w:rPr>
          <w:b/>
        </w:rPr>
        <w:t>R</w:t>
      </w:r>
      <w:r w:rsidR="0047188A" w:rsidRPr="0047188A">
        <w:rPr>
          <w:b/>
        </w:rPr>
        <w:t>ef:</w:t>
      </w:r>
      <w:r w:rsidR="0047188A" w:rsidRPr="0047188A">
        <w:rPr>
          <w:b/>
        </w:rPr>
        <w:tab/>
      </w:r>
      <w:r w:rsidR="005A4513" w:rsidRPr="0047188A">
        <w:rPr>
          <w:b/>
        </w:rPr>
        <w:t>PEG REPORT</w:t>
      </w:r>
      <w:r w:rsidR="00AD3EBC">
        <w:rPr>
          <w:b/>
        </w:rPr>
        <w:t>,</w:t>
      </w:r>
      <w:r w:rsidR="005A4513" w:rsidRPr="0047188A">
        <w:rPr>
          <w:b/>
        </w:rPr>
        <w:t xml:space="preserve"> Chapter 4</w:t>
      </w:r>
      <w:r w:rsidR="00AD3EBC">
        <w:rPr>
          <w:b/>
        </w:rPr>
        <w:t>,</w:t>
      </w:r>
      <w:r w:rsidR="005A4513" w:rsidRPr="0047188A">
        <w:rPr>
          <w:b/>
        </w:rPr>
        <w:t xml:space="preserve"> Page 39</w:t>
      </w:r>
    </w:p>
    <w:p w:rsidR="00C875CF" w:rsidRPr="0047188A" w:rsidRDefault="00C875CF">
      <w:pPr>
        <w:spacing w:after="200" w:line="276" w:lineRule="auto"/>
      </w:pPr>
      <w:r w:rsidRPr="0047188A">
        <w:t>Preamble:</w:t>
      </w:r>
    </w:p>
    <w:p w:rsidR="005A4513" w:rsidRPr="0047188A" w:rsidRDefault="005A4513" w:rsidP="0047188A">
      <w:pPr>
        <w:spacing w:after="200"/>
      </w:pPr>
      <w:r w:rsidRPr="0047188A">
        <w:t>Precipitation is correlated with vegetation</w:t>
      </w:r>
      <w:r w:rsidRPr="0047188A">
        <w:rPr>
          <w:b/>
        </w:rPr>
        <w:t xml:space="preserve"> </w:t>
      </w:r>
      <w:r w:rsidRPr="0047188A">
        <w:t>and wildlife, both of which are common causes of interruptions. For all three of these variables, the expected sign on the SAIDI and SAIFI coefficients are expected to be positive, because higher values for HDD, CDD, and precipitation are all expected to be associated with higher SAIDI and SAIFI values.</w:t>
      </w:r>
    </w:p>
    <w:p w:rsidR="0047188A" w:rsidRDefault="000B2909" w:rsidP="0047188A">
      <w:pPr>
        <w:pStyle w:val="ListParagraph"/>
        <w:numPr>
          <w:ilvl w:val="0"/>
          <w:numId w:val="4"/>
        </w:numPr>
        <w:tabs>
          <w:tab w:val="left" w:pos="709"/>
        </w:tabs>
        <w:spacing w:after="200" w:line="276" w:lineRule="auto"/>
        <w:ind w:left="709" w:hanging="425"/>
        <w:rPr>
          <w:sz w:val="23"/>
          <w:szCs w:val="23"/>
        </w:rPr>
      </w:pPr>
      <w:r w:rsidRPr="0047188A">
        <w:rPr>
          <w:sz w:val="23"/>
          <w:szCs w:val="23"/>
        </w:rPr>
        <w:t xml:space="preserve">Why is PEG using Precipitation rather than </w:t>
      </w:r>
      <w:r w:rsidR="009D0322">
        <w:rPr>
          <w:sz w:val="23"/>
          <w:szCs w:val="23"/>
        </w:rPr>
        <w:t xml:space="preserve">a </w:t>
      </w:r>
      <w:r w:rsidRPr="0047188A">
        <w:rPr>
          <w:sz w:val="23"/>
          <w:szCs w:val="23"/>
        </w:rPr>
        <w:t>Percent Forestation variable (PSE) in its model?</w:t>
      </w:r>
    </w:p>
    <w:p w:rsidR="0047188A" w:rsidRDefault="0047188A" w:rsidP="0047188A">
      <w:pPr>
        <w:pStyle w:val="ListParagraph"/>
        <w:tabs>
          <w:tab w:val="left" w:pos="709"/>
        </w:tabs>
        <w:spacing w:after="200" w:line="276" w:lineRule="auto"/>
        <w:ind w:left="644"/>
        <w:rPr>
          <w:sz w:val="23"/>
          <w:szCs w:val="23"/>
        </w:rPr>
      </w:pPr>
    </w:p>
    <w:p w:rsidR="0047188A" w:rsidRDefault="005A4513" w:rsidP="0047188A">
      <w:pPr>
        <w:pStyle w:val="ListParagraph"/>
        <w:numPr>
          <w:ilvl w:val="0"/>
          <w:numId w:val="4"/>
        </w:numPr>
        <w:tabs>
          <w:tab w:val="left" w:pos="709"/>
        </w:tabs>
        <w:spacing w:after="200" w:line="276" w:lineRule="auto"/>
        <w:ind w:left="709" w:hanging="425"/>
        <w:rPr>
          <w:sz w:val="23"/>
          <w:szCs w:val="23"/>
        </w:rPr>
      </w:pPr>
      <w:r w:rsidRPr="0047188A">
        <w:rPr>
          <w:sz w:val="23"/>
          <w:szCs w:val="23"/>
        </w:rPr>
        <w:t xml:space="preserve">What </w:t>
      </w:r>
      <w:r w:rsidR="00C875CF" w:rsidRPr="0047188A">
        <w:rPr>
          <w:sz w:val="23"/>
          <w:szCs w:val="23"/>
        </w:rPr>
        <w:t>c</w:t>
      </w:r>
      <w:r w:rsidRPr="0047188A">
        <w:rPr>
          <w:sz w:val="23"/>
          <w:szCs w:val="23"/>
        </w:rPr>
        <w:t xml:space="preserve">an the PEG Model tell us about </w:t>
      </w:r>
      <w:r w:rsidR="00C875CF" w:rsidRPr="0047188A">
        <w:rPr>
          <w:sz w:val="23"/>
          <w:szCs w:val="23"/>
        </w:rPr>
        <w:t xml:space="preserve">the relationship between Precipitation and Tree </w:t>
      </w:r>
      <w:r w:rsidR="009D0322">
        <w:rPr>
          <w:sz w:val="23"/>
          <w:szCs w:val="23"/>
        </w:rPr>
        <w:t>Contact</w:t>
      </w:r>
      <w:r w:rsidR="00C875CF" w:rsidRPr="0047188A">
        <w:rPr>
          <w:sz w:val="23"/>
          <w:szCs w:val="23"/>
        </w:rPr>
        <w:t xml:space="preserve"> and Vegetation </w:t>
      </w:r>
      <w:r w:rsidRPr="0047188A">
        <w:rPr>
          <w:sz w:val="23"/>
          <w:szCs w:val="23"/>
        </w:rPr>
        <w:t>Management and Outages?</w:t>
      </w:r>
    </w:p>
    <w:p w:rsidR="0047188A" w:rsidRPr="0047188A" w:rsidRDefault="0047188A" w:rsidP="0047188A">
      <w:pPr>
        <w:pStyle w:val="ListParagraph"/>
        <w:rPr>
          <w:sz w:val="23"/>
          <w:szCs w:val="23"/>
        </w:rPr>
      </w:pPr>
    </w:p>
    <w:p w:rsidR="0047188A" w:rsidRDefault="005A4513" w:rsidP="0047188A">
      <w:pPr>
        <w:pStyle w:val="ListParagraph"/>
        <w:numPr>
          <w:ilvl w:val="0"/>
          <w:numId w:val="4"/>
        </w:numPr>
        <w:tabs>
          <w:tab w:val="left" w:pos="709"/>
        </w:tabs>
        <w:spacing w:after="200" w:line="276" w:lineRule="auto"/>
        <w:ind w:left="709" w:hanging="425"/>
        <w:rPr>
          <w:sz w:val="23"/>
          <w:szCs w:val="23"/>
        </w:rPr>
      </w:pPr>
      <w:r w:rsidRPr="0047188A">
        <w:rPr>
          <w:sz w:val="23"/>
          <w:szCs w:val="23"/>
        </w:rPr>
        <w:t>Give</w:t>
      </w:r>
      <w:r w:rsidR="00E94E28" w:rsidRPr="0047188A">
        <w:rPr>
          <w:sz w:val="23"/>
          <w:szCs w:val="23"/>
        </w:rPr>
        <w:t>n THESLs high T</w:t>
      </w:r>
      <w:r w:rsidRPr="0047188A">
        <w:rPr>
          <w:sz w:val="23"/>
          <w:szCs w:val="23"/>
        </w:rPr>
        <w:t xml:space="preserve">ree </w:t>
      </w:r>
      <w:r w:rsidR="00E94E28" w:rsidRPr="0047188A">
        <w:rPr>
          <w:sz w:val="23"/>
          <w:szCs w:val="23"/>
        </w:rPr>
        <w:t>C</w:t>
      </w:r>
      <w:r w:rsidRPr="0047188A">
        <w:rPr>
          <w:sz w:val="23"/>
          <w:szCs w:val="23"/>
        </w:rPr>
        <w:t>ontact outage history</w:t>
      </w:r>
      <w:r w:rsidR="00C875CF" w:rsidRPr="0047188A">
        <w:rPr>
          <w:sz w:val="23"/>
          <w:szCs w:val="23"/>
        </w:rPr>
        <w:t>,</w:t>
      </w:r>
      <w:r w:rsidRPr="0047188A">
        <w:rPr>
          <w:sz w:val="23"/>
          <w:szCs w:val="23"/>
        </w:rPr>
        <w:t xml:space="preserve"> </w:t>
      </w:r>
      <w:r w:rsidR="00C875CF" w:rsidRPr="0047188A">
        <w:rPr>
          <w:sz w:val="23"/>
          <w:szCs w:val="23"/>
        </w:rPr>
        <w:t xml:space="preserve">can </w:t>
      </w:r>
      <w:r w:rsidRPr="0047188A">
        <w:rPr>
          <w:sz w:val="23"/>
          <w:szCs w:val="23"/>
        </w:rPr>
        <w:t xml:space="preserve">the </w:t>
      </w:r>
      <w:r w:rsidR="00E94E28" w:rsidRPr="0047188A">
        <w:rPr>
          <w:sz w:val="23"/>
          <w:szCs w:val="23"/>
        </w:rPr>
        <w:t xml:space="preserve">PEG </w:t>
      </w:r>
      <w:r w:rsidRPr="0047188A">
        <w:rPr>
          <w:sz w:val="23"/>
          <w:szCs w:val="23"/>
        </w:rPr>
        <w:t>m</w:t>
      </w:r>
      <w:r w:rsidR="00C875CF" w:rsidRPr="0047188A">
        <w:rPr>
          <w:sz w:val="23"/>
          <w:szCs w:val="23"/>
        </w:rPr>
        <w:t>o</w:t>
      </w:r>
      <w:r w:rsidRPr="0047188A">
        <w:rPr>
          <w:sz w:val="23"/>
          <w:szCs w:val="23"/>
        </w:rPr>
        <w:t xml:space="preserve">del </w:t>
      </w:r>
      <w:r w:rsidR="00C875CF" w:rsidRPr="0047188A">
        <w:rPr>
          <w:sz w:val="23"/>
          <w:szCs w:val="23"/>
        </w:rPr>
        <w:t xml:space="preserve">be used to inform decisions on increasing/decreasing the </w:t>
      </w:r>
      <w:r w:rsidR="00E94E28" w:rsidRPr="0047188A">
        <w:rPr>
          <w:sz w:val="23"/>
          <w:szCs w:val="23"/>
        </w:rPr>
        <w:t xml:space="preserve">investment in THESL’s </w:t>
      </w:r>
      <w:r w:rsidR="00C875CF" w:rsidRPr="0047188A">
        <w:rPr>
          <w:sz w:val="23"/>
          <w:szCs w:val="23"/>
        </w:rPr>
        <w:t>Vegetation Management Program</w:t>
      </w:r>
      <w:r w:rsidR="004B0E14" w:rsidRPr="0047188A">
        <w:rPr>
          <w:sz w:val="23"/>
          <w:szCs w:val="23"/>
        </w:rPr>
        <w:t>?</w:t>
      </w:r>
      <w:r w:rsidR="00C875CF" w:rsidRPr="0047188A">
        <w:rPr>
          <w:sz w:val="23"/>
          <w:szCs w:val="23"/>
        </w:rPr>
        <w:t xml:space="preserve"> Please Discuss.</w:t>
      </w:r>
    </w:p>
    <w:p w:rsidR="0047188A" w:rsidRPr="0047188A" w:rsidRDefault="0047188A" w:rsidP="0047188A">
      <w:pPr>
        <w:pStyle w:val="ListParagraph"/>
        <w:rPr>
          <w:sz w:val="23"/>
          <w:szCs w:val="23"/>
        </w:rPr>
      </w:pPr>
    </w:p>
    <w:p w:rsidR="00C875CF" w:rsidRPr="0047188A" w:rsidRDefault="00C875CF" w:rsidP="0047188A">
      <w:pPr>
        <w:pStyle w:val="ListParagraph"/>
        <w:numPr>
          <w:ilvl w:val="0"/>
          <w:numId w:val="4"/>
        </w:numPr>
        <w:tabs>
          <w:tab w:val="left" w:pos="709"/>
        </w:tabs>
        <w:spacing w:after="200" w:line="276" w:lineRule="auto"/>
        <w:ind w:left="709" w:hanging="425"/>
        <w:rPr>
          <w:sz w:val="23"/>
          <w:szCs w:val="23"/>
        </w:rPr>
      </w:pPr>
      <w:r w:rsidRPr="0047188A">
        <w:rPr>
          <w:sz w:val="23"/>
          <w:szCs w:val="23"/>
        </w:rPr>
        <w:t>Can simultaneous benchmarking of cost and reliability be applied to individual Reliabi</w:t>
      </w:r>
      <w:r w:rsidR="004C3D31" w:rsidRPr="0047188A">
        <w:rPr>
          <w:sz w:val="23"/>
          <w:szCs w:val="23"/>
        </w:rPr>
        <w:t>l</w:t>
      </w:r>
      <w:r w:rsidRPr="0047188A">
        <w:rPr>
          <w:sz w:val="23"/>
          <w:szCs w:val="23"/>
        </w:rPr>
        <w:t>ity subsets such as Tree Contact, Defective Equipment etc.</w:t>
      </w:r>
      <w:r w:rsidR="009D0322">
        <w:rPr>
          <w:sz w:val="23"/>
          <w:szCs w:val="23"/>
        </w:rPr>
        <w:t>?</w:t>
      </w:r>
      <w:r w:rsidRPr="0047188A">
        <w:rPr>
          <w:sz w:val="23"/>
          <w:szCs w:val="23"/>
        </w:rPr>
        <w:t xml:space="preserve"> Please discuss how this would be done for both SAIDI and SAIFI</w:t>
      </w:r>
      <w:r w:rsidR="009D0322">
        <w:rPr>
          <w:sz w:val="23"/>
          <w:szCs w:val="23"/>
        </w:rPr>
        <w:t>.</w:t>
      </w:r>
      <w:bookmarkStart w:id="0" w:name="_GoBack"/>
      <w:bookmarkEnd w:id="0"/>
    </w:p>
    <w:p w:rsidR="0047188A" w:rsidRDefault="0047188A" w:rsidP="00E42AC6">
      <w:pPr>
        <w:spacing w:after="200" w:line="276" w:lineRule="auto"/>
        <w:rPr>
          <w:b/>
        </w:rPr>
      </w:pPr>
    </w:p>
    <w:p w:rsidR="00E42AC6" w:rsidRPr="0047188A" w:rsidRDefault="0047188A" w:rsidP="00E42AC6">
      <w:pPr>
        <w:spacing w:after="200" w:line="276" w:lineRule="auto"/>
        <w:rPr>
          <w:b/>
        </w:rPr>
      </w:pPr>
      <w:r w:rsidRPr="0047188A">
        <w:rPr>
          <w:b/>
        </w:rPr>
        <w:t>1 - Energy Probe –</w:t>
      </w:r>
      <w:r w:rsidR="00AD3EBC">
        <w:rPr>
          <w:b/>
        </w:rPr>
        <w:t xml:space="preserve"> </w:t>
      </w:r>
      <w:r w:rsidRPr="0047188A">
        <w:rPr>
          <w:b/>
        </w:rPr>
        <w:t>2</w:t>
      </w:r>
    </w:p>
    <w:p w:rsidR="004C3D31" w:rsidRPr="0047188A" w:rsidRDefault="0047188A" w:rsidP="0047188A">
      <w:pPr>
        <w:tabs>
          <w:tab w:val="left" w:pos="709"/>
        </w:tabs>
        <w:spacing w:after="200" w:line="276" w:lineRule="auto"/>
        <w:rPr>
          <w:b/>
        </w:rPr>
      </w:pPr>
      <w:r w:rsidRPr="0047188A">
        <w:rPr>
          <w:b/>
        </w:rPr>
        <w:t>Ref</w:t>
      </w:r>
      <w:r w:rsidR="00E42AC6" w:rsidRPr="0047188A">
        <w:rPr>
          <w:b/>
        </w:rPr>
        <w:t xml:space="preserve">: </w:t>
      </w:r>
      <w:r w:rsidRPr="0047188A">
        <w:rPr>
          <w:b/>
        </w:rPr>
        <w:tab/>
      </w:r>
      <w:r w:rsidR="004C3D31" w:rsidRPr="0047188A">
        <w:rPr>
          <w:b/>
        </w:rPr>
        <w:t>PEG REPORT</w:t>
      </w:r>
      <w:r w:rsidR="00AD3EBC">
        <w:rPr>
          <w:b/>
        </w:rPr>
        <w:t>,</w:t>
      </w:r>
      <w:r w:rsidR="004C3D31" w:rsidRPr="0047188A">
        <w:rPr>
          <w:b/>
        </w:rPr>
        <w:t xml:space="preserve"> Chapter 5</w:t>
      </w:r>
      <w:r w:rsidR="00AD3EBC">
        <w:rPr>
          <w:b/>
        </w:rPr>
        <w:t>,</w:t>
      </w:r>
      <w:r w:rsidR="004C3D31" w:rsidRPr="0047188A">
        <w:rPr>
          <w:b/>
        </w:rPr>
        <w:t xml:space="preserve"> Page 45</w:t>
      </w:r>
    </w:p>
    <w:p w:rsidR="00CB28F0" w:rsidRDefault="00CB28F0" w:rsidP="00CB28F0">
      <w:pPr>
        <w:tabs>
          <w:tab w:val="left" w:pos="709"/>
        </w:tabs>
        <w:spacing w:after="200" w:line="276" w:lineRule="auto"/>
        <w:rPr>
          <w:sz w:val="23"/>
          <w:szCs w:val="23"/>
        </w:rPr>
      </w:pPr>
      <w:r>
        <w:rPr>
          <w:sz w:val="23"/>
          <w:szCs w:val="23"/>
        </w:rPr>
        <w:t>Preamble:</w:t>
      </w:r>
    </w:p>
    <w:p w:rsidR="0047188A" w:rsidRPr="00CB28F0" w:rsidRDefault="004C3D31" w:rsidP="00CB28F0">
      <w:pPr>
        <w:tabs>
          <w:tab w:val="left" w:pos="709"/>
        </w:tabs>
        <w:spacing w:after="200" w:line="276" w:lineRule="auto"/>
        <w:rPr>
          <w:sz w:val="23"/>
          <w:szCs w:val="23"/>
        </w:rPr>
      </w:pPr>
      <w:r w:rsidRPr="00CB28F0">
        <w:rPr>
          <w:sz w:val="23"/>
          <w:szCs w:val="23"/>
        </w:rPr>
        <w:t>If the Board is asked in the future to assess the statistical relationship between cost and reliability in regulatory applications, effort should be directed towards developing appropriate simultaneous benchmarking models rather than relying on statistical tools that are not fit for this purpose.</w:t>
      </w:r>
    </w:p>
    <w:p w:rsidR="0047188A" w:rsidRDefault="0047188A" w:rsidP="0047188A">
      <w:pPr>
        <w:pStyle w:val="ListParagraph"/>
        <w:tabs>
          <w:tab w:val="left" w:pos="709"/>
        </w:tabs>
        <w:spacing w:after="200" w:line="276" w:lineRule="auto"/>
        <w:ind w:left="709"/>
        <w:rPr>
          <w:sz w:val="23"/>
          <w:szCs w:val="23"/>
        </w:rPr>
      </w:pPr>
    </w:p>
    <w:p w:rsidR="0047188A" w:rsidRDefault="00D46BE2" w:rsidP="0047188A">
      <w:pPr>
        <w:pStyle w:val="ListParagraph"/>
        <w:numPr>
          <w:ilvl w:val="0"/>
          <w:numId w:val="5"/>
        </w:numPr>
        <w:tabs>
          <w:tab w:val="left" w:pos="709"/>
        </w:tabs>
        <w:spacing w:after="200" w:line="276" w:lineRule="auto"/>
        <w:ind w:left="709" w:hanging="425"/>
        <w:rPr>
          <w:sz w:val="23"/>
          <w:szCs w:val="23"/>
        </w:rPr>
      </w:pPr>
      <w:r w:rsidRPr="0047188A">
        <w:rPr>
          <w:sz w:val="23"/>
          <w:szCs w:val="23"/>
        </w:rPr>
        <w:lastRenderedPageBreak/>
        <w:t>If customers want improved reliability what tools are available to inform the link between Cost (CAPEX and OM</w:t>
      </w:r>
      <w:r w:rsidR="0047188A" w:rsidRPr="0047188A">
        <w:rPr>
          <w:sz w:val="23"/>
          <w:szCs w:val="23"/>
        </w:rPr>
        <w:t>&amp;A) and Reliability SAIFI/SAIDI?</w:t>
      </w:r>
    </w:p>
    <w:p w:rsidR="0047188A" w:rsidRPr="0047188A" w:rsidRDefault="0047188A" w:rsidP="0047188A">
      <w:pPr>
        <w:pStyle w:val="ListParagraph"/>
        <w:rPr>
          <w:sz w:val="23"/>
          <w:szCs w:val="23"/>
        </w:rPr>
      </w:pPr>
    </w:p>
    <w:p w:rsidR="008E79D0" w:rsidRPr="0047188A" w:rsidRDefault="00165B32" w:rsidP="0047188A">
      <w:pPr>
        <w:pStyle w:val="ListParagraph"/>
        <w:numPr>
          <w:ilvl w:val="0"/>
          <w:numId w:val="5"/>
        </w:numPr>
        <w:tabs>
          <w:tab w:val="left" w:pos="709"/>
        </w:tabs>
        <w:spacing w:after="200" w:line="276" w:lineRule="auto"/>
        <w:ind w:left="709" w:hanging="425"/>
        <w:rPr>
          <w:sz w:val="23"/>
          <w:szCs w:val="23"/>
        </w:rPr>
      </w:pPr>
      <w:r w:rsidRPr="0047188A">
        <w:rPr>
          <w:sz w:val="23"/>
          <w:szCs w:val="23"/>
        </w:rPr>
        <w:t>THESL</w:t>
      </w:r>
      <w:r w:rsidR="008E79D0" w:rsidRPr="0047188A">
        <w:rPr>
          <w:sz w:val="23"/>
          <w:szCs w:val="23"/>
        </w:rPr>
        <w:t xml:space="preserve"> has provided</w:t>
      </w:r>
      <w:r w:rsidRPr="0047188A">
        <w:rPr>
          <w:sz w:val="23"/>
          <w:szCs w:val="23"/>
        </w:rPr>
        <w:t xml:space="preserve"> Projections for Improved Reliab</w:t>
      </w:r>
      <w:r w:rsidR="002A2D4E" w:rsidRPr="0047188A">
        <w:rPr>
          <w:sz w:val="23"/>
          <w:szCs w:val="23"/>
        </w:rPr>
        <w:t xml:space="preserve">ility. </w:t>
      </w:r>
    </w:p>
    <w:p w:rsidR="008E79D0" w:rsidRDefault="008E79D0">
      <w:pPr>
        <w:spacing w:after="200" w:line="276" w:lineRule="auto"/>
        <w:rPr>
          <w:sz w:val="23"/>
          <w:szCs w:val="23"/>
        </w:rPr>
      </w:pPr>
      <w:r>
        <w:rPr>
          <w:noProof/>
          <w:sz w:val="23"/>
          <w:szCs w:val="23"/>
          <w:lang w:eastAsia="en-CA"/>
        </w:rPr>
        <w:drawing>
          <wp:inline distT="0" distB="0" distL="0" distR="0">
            <wp:extent cx="5943600" cy="268056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80568"/>
                    </a:xfrm>
                    <a:prstGeom prst="rect">
                      <a:avLst/>
                    </a:prstGeom>
                    <a:noFill/>
                    <a:ln>
                      <a:noFill/>
                    </a:ln>
                  </pic:spPr>
                </pic:pic>
              </a:graphicData>
            </a:graphic>
          </wp:inline>
        </w:drawing>
      </w:r>
    </w:p>
    <w:p w:rsidR="008E79D0" w:rsidRDefault="008E79D0">
      <w:pPr>
        <w:spacing w:after="200" w:line="276" w:lineRule="auto"/>
        <w:rPr>
          <w:sz w:val="23"/>
          <w:szCs w:val="23"/>
        </w:rPr>
      </w:pPr>
    </w:p>
    <w:p w:rsidR="00D46BE2" w:rsidRDefault="002A2D4E">
      <w:pPr>
        <w:spacing w:after="200" w:line="276" w:lineRule="auto"/>
        <w:rPr>
          <w:sz w:val="23"/>
          <w:szCs w:val="23"/>
        </w:rPr>
      </w:pPr>
      <w:r>
        <w:rPr>
          <w:sz w:val="23"/>
          <w:szCs w:val="23"/>
        </w:rPr>
        <w:t>What weight should be pl</w:t>
      </w:r>
      <w:r w:rsidR="00165B32">
        <w:rPr>
          <w:sz w:val="23"/>
          <w:szCs w:val="23"/>
        </w:rPr>
        <w:t>aced on these</w:t>
      </w:r>
      <w:r>
        <w:rPr>
          <w:sz w:val="23"/>
          <w:szCs w:val="23"/>
        </w:rPr>
        <w:t xml:space="preserve"> metrics and projections</w:t>
      </w:r>
      <w:r w:rsidR="00165B32">
        <w:rPr>
          <w:sz w:val="23"/>
          <w:szCs w:val="23"/>
        </w:rPr>
        <w:t xml:space="preserve"> and the</w:t>
      </w:r>
      <w:r>
        <w:rPr>
          <w:sz w:val="23"/>
          <w:szCs w:val="23"/>
        </w:rPr>
        <w:t xml:space="preserve"> relationship to the increased CAPEX (and to a lesser degree) OM&amp;A Program</w:t>
      </w:r>
      <w:r w:rsidR="0003022A">
        <w:rPr>
          <w:sz w:val="23"/>
          <w:szCs w:val="23"/>
        </w:rPr>
        <w:t xml:space="preserve"> under the CIR Plan</w:t>
      </w:r>
      <w:r w:rsidR="0047188A">
        <w:rPr>
          <w:sz w:val="23"/>
          <w:szCs w:val="23"/>
        </w:rPr>
        <w:t xml:space="preserve">.? </w:t>
      </w:r>
      <w:r>
        <w:rPr>
          <w:sz w:val="23"/>
          <w:szCs w:val="23"/>
        </w:rPr>
        <w:t>Please provide PEG</w:t>
      </w:r>
      <w:r w:rsidR="00247E6A">
        <w:rPr>
          <w:sz w:val="23"/>
          <w:szCs w:val="23"/>
        </w:rPr>
        <w:t>’s</w:t>
      </w:r>
      <w:r>
        <w:rPr>
          <w:sz w:val="23"/>
          <w:szCs w:val="23"/>
        </w:rPr>
        <w:t xml:space="preserve"> opinion</w:t>
      </w:r>
      <w:r w:rsidR="00EF4287">
        <w:rPr>
          <w:sz w:val="23"/>
          <w:szCs w:val="23"/>
        </w:rPr>
        <w:t>(s)</w:t>
      </w:r>
      <w:r>
        <w:rPr>
          <w:sz w:val="23"/>
          <w:szCs w:val="23"/>
        </w:rPr>
        <w:t>.</w:t>
      </w:r>
    </w:p>
    <w:p w:rsidR="00E42AC6" w:rsidRDefault="00E42AC6" w:rsidP="00E42AC6">
      <w:pPr>
        <w:spacing w:after="200" w:line="276" w:lineRule="auto"/>
        <w:rPr>
          <w:b/>
          <w:sz w:val="23"/>
          <w:szCs w:val="23"/>
        </w:rPr>
      </w:pPr>
    </w:p>
    <w:p w:rsidR="00AD3EBC" w:rsidRDefault="0047188A">
      <w:pPr>
        <w:spacing w:after="200" w:line="276" w:lineRule="auto"/>
        <w:rPr>
          <w:b/>
        </w:rPr>
      </w:pPr>
      <w:r w:rsidRPr="0047188A">
        <w:rPr>
          <w:b/>
        </w:rPr>
        <w:t>1 - Energy Probe –</w:t>
      </w:r>
      <w:r w:rsidR="00AD3EBC">
        <w:rPr>
          <w:b/>
        </w:rPr>
        <w:t xml:space="preserve"> 3</w:t>
      </w:r>
    </w:p>
    <w:p w:rsidR="00082441" w:rsidRPr="00A615E3" w:rsidRDefault="00AD3EBC" w:rsidP="00AD3EBC">
      <w:pPr>
        <w:tabs>
          <w:tab w:val="left" w:pos="709"/>
        </w:tabs>
        <w:spacing w:after="200" w:line="276" w:lineRule="auto"/>
        <w:rPr>
          <w:b/>
          <w:sz w:val="23"/>
          <w:szCs w:val="23"/>
        </w:rPr>
      </w:pPr>
      <w:r>
        <w:rPr>
          <w:b/>
          <w:sz w:val="23"/>
          <w:szCs w:val="23"/>
        </w:rPr>
        <w:t xml:space="preserve">Ref: </w:t>
      </w:r>
      <w:r>
        <w:rPr>
          <w:b/>
          <w:sz w:val="23"/>
          <w:szCs w:val="23"/>
        </w:rPr>
        <w:tab/>
      </w:r>
      <w:r w:rsidR="00082441" w:rsidRPr="00A615E3">
        <w:rPr>
          <w:b/>
          <w:sz w:val="23"/>
          <w:szCs w:val="23"/>
        </w:rPr>
        <w:t>PEG REPORT</w:t>
      </w:r>
      <w:r>
        <w:rPr>
          <w:b/>
          <w:sz w:val="23"/>
          <w:szCs w:val="23"/>
        </w:rPr>
        <w:t>,</w:t>
      </w:r>
      <w:r w:rsidR="00082441" w:rsidRPr="00A615E3">
        <w:rPr>
          <w:b/>
          <w:sz w:val="23"/>
          <w:szCs w:val="23"/>
        </w:rPr>
        <w:t xml:space="preserve"> Chapter 7</w:t>
      </w:r>
      <w:r>
        <w:rPr>
          <w:b/>
          <w:sz w:val="23"/>
          <w:szCs w:val="23"/>
        </w:rPr>
        <w:t>,</w:t>
      </w:r>
      <w:r w:rsidR="00082441" w:rsidRPr="00A615E3">
        <w:rPr>
          <w:b/>
          <w:sz w:val="23"/>
          <w:szCs w:val="23"/>
        </w:rPr>
        <w:t xml:space="preserve"> Page 55</w:t>
      </w:r>
    </w:p>
    <w:p w:rsidR="00C875CF" w:rsidRPr="00AD3EBC" w:rsidRDefault="00C875CF">
      <w:pPr>
        <w:spacing w:after="200" w:line="276" w:lineRule="auto"/>
      </w:pPr>
      <w:r w:rsidRPr="00AD3EBC">
        <w:t>Preamble:</w:t>
      </w:r>
    </w:p>
    <w:p w:rsidR="00281FC4" w:rsidRPr="00AD3EBC" w:rsidRDefault="00082441" w:rsidP="00AD3EBC">
      <w:pPr>
        <w:spacing w:after="200"/>
      </w:pPr>
      <w:r w:rsidRPr="00AD3EBC">
        <w:t>PEG’s review identified a number of areas in which the costs of THESL and the US were not comparably defined or measured. After correcting and/or controlling for these differences, and eliminating an unwarranted “</w:t>
      </w:r>
      <w:r w:rsidRPr="00AD3EBC">
        <w:rPr>
          <w:b/>
        </w:rPr>
        <w:t>urban core dummy”</w:t>
      </w:r>
      <w:r w:rsidRPr="00AD3EBC">
        <w:t xml:space="preserve"> variable from PSE’s econometric cost model, PEG found THESL’s costs were 9.7% above its expected costs. The Company’s total costs are projected to be 34.7% above its expected costs in 2019, the final year of its Custom IR plan.</w:t>
      </w:r>
    </w:p>
    <w:p w:rsidR="00AD3EBC" w:rsidRDefault="002A2D4E" w:rsidP="00AD3EBC">
      <w:pPr>
        <w:pStyle w:val="ListParagraph"/>
        <w:numPr>
          <w:ilvl w:val="0"/>
          <w:numId w:val="6"/>
        </w:numPr>
        <w:tabs>
          <w:tab w:val="left" w:pos="709"/>
        </w:tabs>
        <w:spacing w:after="200" w:line="276" w:lineRule="auto"/>
        <w:ind w:left="709" w:hanging="425"/>
      </w:pPr>
      <w:r w:rsidRPr="00AD3EBC">
        <w:t>Please clarify the relationship between percentage of Distribution Underground and Urban Density.</w:t>
      </w:r>
    </w:p>
    <w:p w:rsidR="00AD3EBC" w:rsidRPr="00AD3EBC" w:rsidRDefault="00AD3EBC" w:rsidP="00AD3EBC">
      <w:pPr>
        <w:pStyle w:val="ListParagraph"/>
        <w:tabs>
          <w:tab w:val="left" w:pos="709"/>
        </w:tabs>
        <w:spacing w:after="200" w:line="276" w:lineRule="auto"/>
        <w:ind w:left="709"/>
      </w:pPr>
    </w:p>
    <w:p w:rsidR="002A2D4E" w:rsidRPr="00AD3EBC" w:rsidRDefault="0003022A" w:rsidP="00AD3EBC">
      <w:pPr>
        <w:pStyle w:val="ListParagraph"/>
        <w:numPr>
          <w:ilvl w:val="0"/>
          <w:numId w:val="6"/>
        </w:numPr>
        <w:tabs>
          <w:tab w:val="left" w:pos="709"/>
        </w:tabs>
        <w:spacing w:after="200" w:line="276" w:lineRule="auto"/>
        <w:ind w:left="709" w:hanging="425"/>
      </w:pPr>
      <w:r w:rsidRPr="00AD3EBC">
        <w:t xml:space="preserve">Please discuss if </w:t>
      </w:r>
      <w:r w:rsidR="002A2D4E" w:rsidRPr="00AD3EBC">
        <w:t>the higher costs of underground transformers and other assets are only justified in high density Urban Cores.</w:t>
      </w:r>
    </w:p>
    <w:p w:rsidR="00E42AC6" w:rsidRDefault="00E42AC6" w:rsidP="00E42AC6">
      <w:pPr>
        <w:spacing w:after="200" w:line="276" w:lineRule="auto"/>
        <w:rPr>
          <w:b/>
          <w:sz w:val="23"/>
          <w:szCs w:val="23"/>
        </w:rPr>
      </w:pPr>
    </w:p>
    <w:p w:rsidR="00E42AC6" w:rsidRDefault="00AD3EBC" w:rsidP="00E42AC6">
      <w:pPr>
        <w:spacing w:after="200" w:line="276" w:lineRule="auto"/>
        <w:rPr>
          <w:b/>
          <w:sz w:val="23"/>
          <w:szCs w:val="23"/>
        </w:rPr>
      </w:pPr>
      <w:r w:rsidRPr="0047188A">
        <w:rPr>
          <w:b/>
        </w:rPr>
        <w:t>1 - Energy Probe –</w:t>
      </w:r>
      <w:r>
        <w:rPr>
          <w:b/>
        </w:rPr>
        <w:t xml:space="preserve"> 4</w:t>
      </w:r>
    </w:p>
    <w:p w:rsidR="00082441" w:rsidRPr="00A615E3" w:rsidRDefault="00AD3EBC" w:rsidP="00AD3EBC">
      <w:pPr>
        <w:tabs>
          <w:tab w:val="left" w:pos="709"/>
        </w:tabs>
        <w:spacing w:after="200" w:line="276" w:lineRule="auto"/>
        <w:rPr>
          <w:b/>
          <w:sz w:val="23"/>
          <w:szCs w:val="23"/>
        </w:rPr>
      </w:pPr>
      <w:r>
        <w:rPr>
          <w:b/>
          <w:sz w:val="23"/>
          <w:szCs w:val="23"/>
        </w:rPr>
        <w:t xml:space="preserve">Ref: </w:t>
      </w:r>
      <w:r>
        <w:rPr>
          <w:b/>
          <w:sz w:val="23"/>
          <w:szCs w:val="23"/>
        </w:rPr>
        <w:tab/>
      </w:r>
      <w:r w:rsidR="00082441" w:rsidRPr="00A615E3">
        <w:rPr>
          <w:b/>
          <w:sz w:val="23"/>
          <w:szCs w:val="23"/>
        </w:rPr>
        <w:t>PEG REPORT</w:t>
      </w:r>
      <w:r>
        <w:rPr>
          <w:b/>
          <w:sz w:val="23"/>
          <w:szCs w:val="23"/>
        </w:rPr>
        <w:t>,</w:t>
      </w:r>
      <w:r w:rsidR="00082441" w:rsidRPr="00A615E3">
        <w:rPr>
          <w:b/>
          <w:sz w:val="23"/>
          <w:szCs w:val="23"/>
        </w:rPr>
        <w:t xml:space="preserve"> Chapter 7</w:t>
      </w:r>
      <w:r>
        <w:rPr>
          <w:b/>
          <w:sz w:val="23"/>
          <w:szCs w:val="23"/>
        </w:rPr>
        <w:t>,</w:t>
      </w:r>
      <w:r w:rsidR="00082441" w:rsidRPr="00A615E3">
        <w:rPr>
          <w:b/>
          <w:sz w:val="23"/>
          <w:szCs w:val="23"/>
        </w:rPr>
        <w:t xml:space="preserve"> Page 55</w:t>
      </w:r>
    </w:p>
    <w:p w:rsidR="00C875CF" w:rsidRPr="00AD3EBC" w:rsidRDefault="00C875CF">
      <w:pPr>
        <w:spacing w:after="200" w:line="276" w:lineRule="auto"/>
      </w:pPr>
      <w:r w:rsidRPr="00AD3EBC">
        <w:t>Preamble:</w:t>
      </w:r>
    </w:p>
    <w:p w:rsidR="00082441" w:rsidRPr="00AD3EBC" w:rsidRDefault="00082441" w:rsidP="00AD3EBC">
      <w:pPr>
        <w:spacing w:after="200"/>
      </w:pPr>
      <w:r w:rsidRPr="00AD3EBC">
        <w:t>PSE found the Company’s SAIFI performance was 73% above its expected value but found THESL’s SAIDI was 50% below its expected SAIDI. PEG believes the data PSE used for its reliability benchmarking are not suitable for regulatory application, so we compiled an alternative SAIFI and SAIDI dataset and used it to estimate alternate SAIFI and SAIDI benchmarking models. Using these data and models, PEG confirms PSE’s finding that THESL’s SAIFI is far above its expected level, but we find the Company’s SAIDI is not statistically different from its expected level.</w:t>
      </w:r>
    </w:p>
    <w:p w:rsidR="00AD3EBC" w:rsidRPr="00AD3EBC" w:rsidRDefault="00055DBD" w:rsidP="00AD3EBC">
      <w:pPr>
        <w:pStyle w:val="ListParagraph"/>
        <w:numPr>
          <w:ilvl w:val="0"/>
          <w:numId w:val="7"/>
        </w:numPr>
        <w:tabs>
          <w:tab w:val="left" w:pos="709"/>
        </w:tabs>
        <w:spacing w:after="200"/>
        <w:ind w:left="709" w:hanging="425"/>
      </w:pPr>
      <w:r w:rsidRPr="00AD3EBC">
        <w:t>In PEG’s view</w:t>
      </w:r>
      <w:r w:rsidR="00EF4287">
        <w:t>,</w:t>
      </w:r>
      <w:r w:rsidRPr="00AD3EBC">
        <w:t xml:space="preserve"> is SAIDI or SAIFI most important? Or alternatively are both appro</w:t>
      </w:r>
      <w:r w:rsidR="004B0E14" w:rsidRPr="00AD3EBC">
        <w:t>p</w:t>
      </w:r>
      <w:r w:rsidRPr="00AD3EBC">
        <w:t>riate performance measures. Please discuss.</w:t>
      </w:r>
    </w:p>
    <w:p w:rsidR="00AD3EBC" w:rsidRPr="00AD3EBC" w:rsidRDefault="00AD3EBC" w:rsidP="00AD3EBC">
      <w:pPr>
        <w:pStyle w:val="ListParagraph"/>
        <w:tabs>
          <w:tab w:val="left" w:pos="709"/>
        </w:tabs>
        <w:spacing w:after="200"/>
        <w:ind w:left="644"/>
      </w:pPr>
    </w:p>
    <w:p w:rsidR="00055DBD" w:rsidRPr="00AD3EBC" w:rsidRDefault="00055DBD" w:rsidP="00AD3EBC">
      <w:pPr>
        <w:pStyle w:val="ListParagraph"/>
        <w:numPr>
          <w:ilvl w:val="0"/>
          <w:numId w:val="7"/>
        </w:numPr>
        <w:tabs>
          <w:tab w:val="left" w:pos="709"/>
        </w:tabs>
        <w:spacing w:after="200"/>
        <w:ind w:left="709" w:hanging="425"/>
      </w:pPr>
      <w:r w:rsidRPr="00AD3EBC">
        <w:t>Is benchmarking SAIDI or SAIFI to CAPEX valid for both measures</w:t>
      </w:r>
      <w:r w:rsidR="0003022A" w:rsidRPr="00AD3EBC">
        <w:t>? Please discuss.</w:t>
      </w:r>
    </w:p>
    <w:p w:rsidR="00A615E3" w:rsidRDefault="00A615E3">
      <w:pPr>
        <w:spacing w:after="200" w:line="276" w:lineRule="auto"/>
        <w:rPr>
          <w:sz w:val="23"/>
          <w:szCs w:val="23"/>
        </w:rPr>
      </w:pPr>
    </w:p>
    <w:p w:rsidR="00E42AC6" w:rsidRDefault="00AD3EBC" w:rsidP="00E42AC6">
      <w:pPr>
        <w:spacing w:after="200" w:line="276" w:lineRule="auto"/>
        <w:rPr>
          <w:b/>
          <w:sz w:val="23"/>
          <w:szCs w:val="23"/>
        </w:rPr>
      </w:pPr>
      <w:r w:rsidRPr="0047188A">
        <w:rPr>
          <w:b/>
        </w:rPr>
        <w:t>1 - Energy Probe –</w:t>
      </w:r>
      <w:r>
        <w:rPr>
          <w:b/>
        </w:rPr>
        <w:t xml:space="preserve"> 5</w:t>
      </w:r>
    </w:p>
    <w:p w:rsidR="00082441" w:rsidRPr="00A615E3" w:rsidRDefault="00AD3EBC" w:rsidP="00AD3EBC">
      <w:pPr>
        <w:tabs>
          <w:tab w:val="left" w:pos="709"/>
        </w:tabs>
        <w:autoSpaceDE w:val="0"/>
        <w:autoSpaceDN w:val="0"/>
        <w:adjustRightInd w:val="0"/>
        <w:rPr>
          <w:b/>
          <w:sz w:val="23"/>
          <w:szCs w:val="23"/>
        </w:rPr>
      </w:pPr>
      <w:r>
        <w:rPr>
          <w:b/>
          <w:sz w:val="23"/>
          <w:szCs w:val="23"/>
        </w:rPr>
        <w:t xml:space="preserve">Ref: </w:t>
      </w:r>
      <w:r>
        <w:rPr>
          <w:b/>
          <w:sz w:val="23"/>
          <w:szCs w:val="23"/>
        </w:rPr>
        <w:tab/>
      </w:r>
      <w:r w:rsidR="00082441" w:rsidRPr="00A615E3">
        <w:rPr>
          <w:b/>
          <w:sz w:val="23"/>
          <w:szCs w:val="23"/>
        </w:rPr>
        <w:t>PEG REPORT</w:t>
      </w:r>
      <w:r>
        <w:rPr>
          <w:b/>
          <w:sz w:val="23"/>
          <w:szCs w:val="23"/>
        </w:rPr>
        <w:t>,</w:t>
      </w:r>
      <w:r w:rsidR="00082441" w:rsidRPr="00A615E3">
        <w:rPr>
          <w:b/>
          <w:sz w:val="23"/>
          <w:szCs w:val="23"/>
        </w:rPr>
        <w:t xml:space="preserve"> Chapter 7</w:t>
      </w:r>
      <w:r>
        <w:rPr>
          <w:b/>
          <w:sz w:val="23"/>
          <w:szCs w:val="23"/>
        </w:rPr>
        <w:t xml:space="preserve">, </w:t>
      </w:r>
      <w:r w:rsidR="00082441" w:rsidRPr="00A615E3">
        <w:rPr>
          <w:b/>
          <w:sz w:val="23"/>
          <w:szCs w:val="23"/>
        </w:rPr>
        <w:t>Page</w:t>
      </w:r>
      <w:r w:rsidR="00A615E3" w:rsidRPr="00A615E3">
        <w:rPr>
          <w:b/>
          <w:sz w:val="23"/>
          <w:szCs w:val="23"/>
        </w:rPr>
        <w:t xml:space="preserve"> 56</w:t>
      </w:r>
    </w:p>
    <w:p w:rsidR="00082441" w:rsidRPr="00082441" w:rsidRDefault="00082441" w:rsidP="00082441">
      <w:pPr>
        <w:autoSpaceDE w:val="0"/>
        <w:autoSpaceDN w:val="0"/>
        <w:adjustRightInd w:val="0"/>
      </w:pPr>
    </w:p>
    <w:p w:rsidR="00A615E3" w:rsidRPr="00AD3EBC" w:rsidRDefault="00A615E3" w:rsidP="00AD3EBC">
      <w:pPr>
        <w:spacing w:after="200"/>
      </w:pPr>
      <w:r w:rsidRPr="00AD3EBC">
        <w:t>Preamble</w:t>
      </w:r>
      <w:r w:rsidR="00AD3EBC" w:rsidRPr="00AD3EBC">
        <w:t>:</w:t>
      </w:r>
    </w:p>
    <w:p w:rsidR="00082441" w:rsidRPr="00AD3EBC" w:rsidRDefault="00082441" w:rsidP="00AD3EBC">
      <w:pPr>
        <w:spacing w:after="200"/>
      </w:pPr>
      <w:r w:rsidRPr="00AD3EBC">
        <w:t>PEG believes there may be value to ratepayers in extending the period of THESL’s capital spending program. Doing so is consistent with the RRFE principles of pacing and prioritization of capital spending, while at the same time managing the pace of rate increases for customers. PEG therefore recommends that the capital expenditures in THESL’s Custom IR plan be spread out over eight years (2015-2022) rather than concentrated in five years (2015-2019).</w:t>
      </w:r>
    </w:p>
    <w:p w:rsidR="00AD3EBC" w:rsidRDefault="00F01CC0" w:rsidP="00082441">
      <w:pPr>
        <w:pStyle w:val="ListParagraph"/>
        <w:numPr>
          <w:ilvl w:val="0"/>
          <w:numId w:val="8"/>
        </w:numPr>
        <w:tabs>
          <w:tab w:val="left" w:pos="709"/>
        </w:tabs>
        <w:spacing w:after="200" w:line="276" w:lineRule="auto"/>
        <w:ind w:left="709" w:hanging="425"/>
      </w:pPr>
      <w:r w:rsidRPr="00AD3EBC">
        <w:t>Is PEG recommending extending the CIR Plan Period from 2014-2019</w:t>
      </w:r>
      <w:r w:rsidR="00A81250" w:rsidRPr="00AD3EBC">
        <w:t xml:space="preserve"> to 2022</w:t>
      </w:r>
      <w:r w:rsidRPr="00AD3EBC">
        <w:t>?</w:t>
      </w:r>
    </w:p>
    <w:p w:rsidR="00AD3EBC" w:rsidRDefault="00AD3EBC" w:rsidP="00AD3EBC">
      <w:pPr>
        <w:pStyle w:val="ListParagraph"/>
        <w:tabs>
          <w:tab w:val="left" w:pos="709"/>
        </w:tabs>
        <w:spacing w:after="200" w:line="276" w:lineRule="auto"/>
        <w:ind w:left="709"/>
      </w:pPr>
    </w:p>
    <w:p w:rsidR="00AD3EBC" w:rsidRDefault="00F01CC0" w:rsidP="00082441">
      <w:pPr>
        <w:pStyle w:val="ListParagraph"/>
        <w:numPr>
          <w:ilvl w:val="0"/>
          <w:numId w:val="8"/>
        </w:numPr>
        <w:tabs>
          <w:tab w:val="left" w:pos="709"/>
        </w:tabs>
        <w:spacing w:after="200" w:line="276" w:lineRule="auto"/>
        <w:ind w:left="709" w:hanging="425"/>
      </w:pPr>
      <w:r w:rsidRPr="00AD3EBC">
        <w:t>If NO, provide a revised analysis of the CAPEX 2014-2019 and associated PCI Price index in the format of Table 8.</w:t>
      </w:r>
    </w:p>
    <w:p w:rsidR="00AD3EBC" w:rsidRDefault="00AD3EBC" w:rsidP="00AD3EBC">
      <w:pPr>
        <w:pStyle w:val="ListParagraph"/>
      </w:pPr>
    </w:p>
    <w:p w:rsidR="00AD3EBC" w:rsidRDefault="00F01CC0" w:rsidP="00082441">
      <w:pPr>
        <w:pStyle w:val="ListParagraph"/>
        <w:numPr>
          <w:ilvl w:val="0"/>
          <w:numId w:val="8"/>
        </w:numPr>
        <w:tabs>
          <w:tab w:val="left" w:pos="709"/>
        </w:tabs>
        <w:spacing w:after="200" w:line="276" w:lineRule="auto"/>
        <w:ind w:left="709" w:hanging="425"/>
      </w:pPr>
      <w:r w:rsidRPr="00AD3EBC">
        <w:t xml:space="preserve">If YES please explain the </w:t>
      </w:r>
      <w:r w:rsidR="00A81250" w:rsidRPr="00AD3EBC">
        <w:t>rationale for departing from t</w:t>
      </w:r>
      <w:r w:rsidRPr="00AD3EBC">
        <w:t>he RRFE Framework</w:t>
      </w:r>
      <w:r w:rsidR="00AD3EBC">
        <w:t>.</w:t>
      </w:r>
    </w:p>
    <w:p w:rsidR="00AD3EBC" w:rsidRDefault="00AD3EBC" w:rsidP="00AD3EBC">
      <w:pPr>
        <w:pStyle w:val="ListParagraph"/>
      </w:pPr>
    </w:p>
    <w:p w:rsidR="00F01CC0" w:rsidRPr="00AD3EBC" w:rsidRDefault="00F01CC0" w:rsidP="00082441">
      <w:pPr>
        <w:pStyle w:val="ListParagraph"/>
        <w:numPr>
          <w:ilvl w:val="0"/>
          <w:numId w:val="8"/>
        </w:numPr>
        <w:tabs>
          <w:tab w:val="left" w:pos="709"/>
        </w:tabs>
        <w:spacing w:after="200" w:line="276" w:lineRule="auto"/>
        <w:ind w:left="709" w:hanging="425"/>
      </w:pPr>
      <w:r w:rsidRPr="00AD3EBC">
        <w:t>Please provide a revised analysis 2014-2022 in the format of Table 8</w:t>
      </w:r>
      <w:r w:rsidR="00C65E00" w:rsidRPr="00AD3EBC">
        <w:t>.</w:t>
      </w:r>
    </w:p>
    <w:p w:rsidR="0002020D" w:rsidRDefault="0002020D" w:rsidP="00082441">
      <w:pPr>
        <w:spacing w:after="200" w:line="276" w:lineRule="auto"/>
        <w:rPr>
          <w:rFonts w:ascii="Arial" w:hAnsi="Arial" w:cs="Arial"/>
          <w:b/>
          <w:spacing w:val="-5"/>
          <w:sz w:val="28"/>
          <w:szCs w:val="28"/>
          <w:lang w:eastAsia="en-CA"/>
        </w:rPr>
      </w:pPr>
      <w:r>
        <w:rPr>
          <w:rFonts w:ascii="Arial" w:hAnsi="Arial" w:cs="Arial"/>
          <w:b/>
          <w:noProof/>
          <w:spacing w:val="-5"/>
          <w:sz w:val="28"/>
          <w:szCs w:val="28"/>
          <w:lang w:eastAsia="en-CA"/>
        </w:rPr>
        <w:lastRenderedPageBreak/>
        <w:drawing>
          <wp:inline distT="0" distB="0" distL="0" distR="0">
            <wp:extent cx="5943600" cy="305901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059016"/>
                    </a:xfrm>
                    <a:prstGeom prst="rect">
                      <a:avLst/>
                    </a:prstGeom>
                    <a:noFill/>
                    <a:ln>
                      <a:noFill/>
                    </a:ln>
                  </pic:spPr>
                </pic:pic>
              </a:graphicData>
            </a:graphic>
          </wp:inline>
        </w:drawing>
      </w:r>
    </w:p>
    <w:p w:rsidR="00E94E28" w:rsidRPr="00082441" w:rsidRDefault="00E94E28" w:rsidP="00E94E28">
      <w:pPr>
        <w:autoSpaceDE w:val="0"/>
        <w:autoSpaceDN w:val="0"/>
        <w:adjustRightInd w:val="0"/>
        <w:rPr>
          <w:color w:val="000000"/>
          <w:sz w:val="23"/>
          <w:szCs w:val="23"/>
        </w:rPr>
      </w:pPr>
    </w:p>
    <w:p w:rsidR="00E94E28" w:rsidRDefault="00E94E28" w:rsidP="00082441">
      <w:pPr>
        <w:spacing w:after="200" w:line="276" w:lineRule="auto"/>
        <w:rPr>
          <w:rFonts w:ascii="Arial" w:hAnsi="Arial" w:cs="Arial"/>
          <w:b/>
          <w:spacing w:val="-5"/>
          <w:sz w:val="28"/>
          <w:szCs w:val="28"/>
          <w:lang w:eastAsia="en-CA"/>
        </w:rPr>
      </w:pPr>
    </w:p>
    <w:sectPr w:rsidR="00E94E28" w:rsidSect="00226FE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379" w:rsidRDefault="00B01379" w:rsidP="00226FE9">
      <w:r>
        <w:separator/>
      </w:r>
    </w:p>
  </w:endnote>
  <w:endnote w:type="continuationSeparator" w:id="0">
    <w:p w:rsidR="00B01379" w:rsidRDefault="00B01379" w:rsidP="0022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E9" w:rsidRDefault="00226FE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Energy Probe Interrogatories to Pacific Economics Group Research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D0322" w:rsidRPr="009D032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226FE9" w:rsidRDefault="00226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379" w:rsidRDefault="00B01379" w:rsidP="00226FE9">
      <w:r>
        <w:separator/>
      </w:r>
    </w:p>
  </w:footnote>
  <w:footnote w:type="continuationSeparator" w:id="0">
    <w:p w:rsidR="00B01379" w:rsidRDefault="00B01379" w:rsidP="00226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6883"/>
    <w:multiLevelType w:val="hybridMultilevel"/>
    <w:tmpl w:val="EA66FDC6"/>
    <w:lvl w:ilvl="0" w:tplc="D2CA207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7876E9A"/>
    <w:multiLevelType w:val="hybridMultilevel"/>
    <w:tmpl w:val="3070C6B4"/>
    <w:lvl w:ilvl="0" w:tplc="B89EF3A2">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
    <w:nsid w:val="0AF17C7F"/>
    <w:multiLevelType w:val="hybridMultilevel"/>
    <w:tmpl w:val="BE8A2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8DC7736"/>
    <w:multiLevelType w:val="hybridMultilevel"/>
    <w:tmpl w:val="1C76337C"/>
    <w:lvl w:ilvl="0" w:tplc="03D699CE">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4">
    <w:nsid w:val="4EBE1FD2"/>
    <w:multiLevelType w:val="hybridMultilevel"/>
    <w:tmpl w:val="F7C61FC0"/>
    <w:lvl w:ilvl="0" w:tplc="354E8298">
      <w:start w:val="1"/>
      <w:numFmt w:val="lowerLetter"/>
      <w:pStyle w:val="Heading2a"/>
      <w:lvlText w:val="(%1)"/>
      <w:lvlJc w:val="left"/>
      <w:pPr>
        <w:ind w:left="1636"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64803BAF"/>
    <w:multiLevelType w:val="hybridMultilevel"/>
    <w:tmpl w:val="E0888428"/>
    <w:lvl w:ilvl="0" w:tplc="BFD4C41C">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6">
    <w:nsid w:val="717A3058"/>
    <w:multiLevelType w:val="hybridMultilevel"/>
    <w:tmpl w:val="2FBA4548"/>
    <w:lvl w:ilvl="0" w:tplc="B37663DA">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7">
    <w:nsid w:val="728B7E8E"/>
    <w:multiLevelType w:val="hybridMultilevel"/>
    <w:tmpl w:val="3662A88A"/>
    <w:lvl w:ilvl="0" w:tplc="A6FCAA84">
      <w:start w:val="1"/>
      <w:numFmt w:val="low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41"/>
    <w:rsid w:val="000157A5"/>
    <w:rsid w:val="0002020D"/>
    <w:rsid w:val="0003022A"/>
    <w:rsid w:val="00055DBD"/>
    <w:rsid w:val="00082441"/>
    <w:rsid w:val="000B2909"/>
    <w:rsid w:val="000F3F21"/>
    <w:rsid w:val="00165B32"/>
    <w:rsid w:val="00221269"/>
    <w:rsid w:val="00226FE9"/>
    <w:rsid w:val="00247E6A"/>
    <w:rsid w:val="00281FC4"/>
    <w:rsid w:val="002A2D4E"/>
    <w:rsid w:val="00332CCE"/>
    <w:rsid w:val="0047188A"/>
    <w:rsid w:val="004A2271"/>
    <w:rsid w:val="004B0E14"/>
    <w:rsid w:val="004C3D31"/>
    <w:rsid w:val="004E34D9"/>
    <w:rsid w:val="005A4513"/>
    <w:rsid w:val="00607F13"/>
    <w:rsid w:val="00653BC8"/>
    <w:rsid w:val="00742E9F"/>
    <w:rsid w:val="007C3F55"/>
    <w:rsid w:val="007F509C"/>
    <w:rsid w:val="00871712"/>
    <w:rsid w:val="008E79D0"/>
    <w:rsid w:val="008F5664"/>
    <w:rsid w:val="00965865"/>
    <w:rsid w:val="009D0322"/>
    <w:rsid w:val="00A318EB"/>
    <w:rsid w:val="00A615E3"/>
    <w:rsid w:val="00A81250"/>
    <w:rsid w:val="00AD3EBC"/>
    <w:rsid w:val="00B01379"/>
    <w:rsid w:val="00B16AD9"/>
    <w:rsid w:val="00C40361"/>
    <w:rsid w:val="00C65E00"/>
    <w:rsid w:val="00C875CF"/>
    <w:rsid w:val="00CB28F0"/>
    <w:rsid w:val="00CE7DE9"/>
    <w:rsid w:val="00CF497F"/>
    <w:rsid w:val="00D46BE2"/>
    <w:rsid w:val="00D80406"/>
    <w:rsid w:val="00D81470"/>
    <w:rsid w:val="00E42AC6"/>
    <w:rsid w:val="00E94E28"/>
    <w:rsid w:val="00EB5DD8"/>
    <w:rsid w:val="00EE3A98"/>
    <w:rsid w:val="00EF4287"/>
    <w:rsid w:val="00F01CC0"/>
    <w:rsid w:val="00F41B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pPr>
      <w:spacing w:after="0" w:line="240" w:lineRule="auto"/>
    </w:pPr>
  </w:style>
  <w:style w:type="paragraph" w:styleId="Heading1">
    <w:name w:val="heading 1"/>
    <w:basedOn w:val="Normal"/>
    <w:next w:val="Normal"/>
    <w:link w:val="Heading1Char"/>
    <w:qFormat/>
    <w:rsid w:val="00281FC4"/>
    <w:pPr>
      <w:keepNext/>
      <w:jc w:val="center"/>
      <w:outlineLvl w:val="0"/>
    </w:pPr>
    <w:rPr>
      <w:rFonts w:ascii="Arial" w:hAnsi="Arial" w:cs="Arial"/>
      <w:b/>
      <w:bCs/>
      <w:sz w:val="48"/>
    </w:rPr>
  </w:style>
  <w:style w:type="paragraph" w:styleId="Heading8">
    <w:name w:val="heading 8"/>
    <w:basedOn w:val="Normal"/>
    <w:next w:val="Normal"/>
    <w:link w:val="Heading8Char"/>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C4"/>
    <w:rPr>
      <w:rFonts w:ascii="Arial" w:eastAsia="Times New Roman" w:hAnsi="Arial" w:cs="Arial"/>
      <w:b/>
      <w:bCs/>
      <w:sz w:val="48"/>
      <w:szCs w:val="24"/>
      <w:lang w:val="en-US"/>
    </w:rPr>
  </w:style>
  <w:style w:type="character" w:customStyle="1" w:styleId="Heading8Char">
    <w:name w:val="Heading 8 Char"/>
    <w:basedOn w:val="DefaultParagraphFont"/>
    <w:link w:val="Heading8"/>
    <w:rsid w:val="00281FC4"/>
    <w:rPr>
      <w:rFonts w:ascii="Arial" w:eastAsia="Times New Roman" w:hAnsi="Arial" w:cs="Times New Roman"/>
      <w:b/>
      <w:bCs/>
      <w:spacing w:val="-5"/>
      <w:sz w:val="20"/>
      <w:szCs w:val="20"/>
      <w:lang w:val="en-US"/>
    </w:rPr>
  </w:style>
  <w:style w:type="paragraph" w:styleId="Header">
    <w:name w:val="header"/>
    <w:basedOn w:val="Normal"/>
    <w:link w:val="HeaderChar"/>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basedOn w:val="DefaultParagraphFont"/>
    <w:link w:val="Header"/>
    <w:semiHidden/>
    <w:rsid w:val="00281FC4"/>
    <w:rPr>
      <w:rFonts w:ascii="Arial" w:eastAsia="Times New Roman"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basedOn w:val="DefaultParagraphFont"/>
    <w:link w:val="Footer"/>
    <w:uiPriority w:val="99"/>
    <w:rsid w:val="00281FC4"/>
    <w:rPr>
      <w:rFonts w:ascii="Times New Roman" w:eastAsia="Times New Roman" w:hAnsi="Times New Roman" w:cs="Times New Roman"/>
      <w:sz w:val="24"/>
      <w:szCs w:val="24"/>
      <w:lang w:val="en-US"/>
    </w:rPr>
  </w:style>
  <w:style w:type="paragraph" w:customStyle="1" w:styleId="Default">
    <w:name w:val="Default"/>
    <w:rsid w:val="00281FC4"/>
    <w:pPr>
      <w:autoSpaceDE w:val="0"/>
      <w:autoSpaceDN w:val="0"/>
      <w:adjustRightInd w:val="0"/>
      <w:spacing w:after="0" w:line="240" w:lineRule="auto"/>
    </w:pPr>
    <w:rPr>
      <w:rFonts w:ascii="Arial" w:eastAsia="SimSun" w:hAnsi="Arial" w:cs="Arial"/>
      <w:color w:val="000000"/>
      <w:lang w:val="en-US" w:eastAsia="zh-CN"/>
    </w:rPr>
  </w:style>
  <w:style w:type="paragraph" w:customStyle="1" w:styleId="BLGLetterText">
    <w:name w:val="BLGLetterText"/>
    <w:basedOn w:val="Normal"/>
    <w:rsid w:val="008F5664"/>
    <w:pPr>
      <w:spacing w:before="240"/>
    </w:pPr>
    <w:rPr>
      <w:rFonts w:eastAsia="Calibri"/>
      <w:szCs w:val="22"/>
    </w:rPr>
  </w:style>
  <w:style w:type="paragraph" w:styleId="ListParagraph">
    <w:name w:val="List Paragraph"/>
    <w:basedOn w:val="Normal"/>
    <w:uiPriority w:val="34"/>
    <w:qFormat/>
    <w:rsid w:val="008F5664"/>
    <w:pPr>
      <w:ind w:left="720"/>
      <w:contextualSpacing/>
    </w:pPr>
  </w:style>
  <w:style w:type="paragraph" w:customStyle="1" w:styleId="Heading2a">
    <w:name w:val="Heading 2 (a)"/>
    <w:basedOn w:val="BLGLetterText"/>
    <w:qFormat/>
    <w:rsid w:val="00EE3A98"/>
    <w:pPr>
      <w:numPr>
        <w:numId w:val="2"/>
      </w:numPr>
      <w:tabs>
        <w:tab w:val="left" w:pos="1440"/>
      </w:tabs>
      <w:ind w:left="1440" w:hanging="720"/>
      <w:jc w:val="both"/>
    </w:pPr>
  </w:style>
  <w:style w:type="paragraph" w:styleId="BodyText">
    <w:name w:val="Body Text"/>
    <w:basedOn w:val="Normal"/>
    <w:link w:val="BodyTextChar"/>
    <w:semiHidden/>
    <w:rsid w:val="00742E9F"/>
    <w:pPr>
      <w:jc w:val="both"/>
    </w:pPr>
    <w:rPr>
      <w:sz w:val="22"/>
    </w:rPr>
  </w:style>
  <w:style w:type="character" w:customStyle="1" w:styleId="BodyTextChar">
    <w:name w:val="Body Text Char"/>
    <w:basedOn w:val="DefaultParagraphFont"/>
    <w:link w:val="BodyText"/>
    <w:semiHidden/>
    <w:rsid w:val="00742E9F"/>
    <w:rPr>
      <w:rFonts w:ascii="Times New Roman" w:hAnsi="Times New Roman" w:cs="Times New Roman"/>
      <w:szCs w:val="24"/>
    </w:rPr>
  </w:style>
  <w:style w:type="paragraph" w:customStyle="1" w:styleId="DoubleIndent">
    <w:name w:val="Double Indent"/>
    <w:aliases w:val="di"/>
    <w:basedOn w:val="BodyText"/>
    <w:next w:val="BodyText"/>
    <w:rsid w:val="00742E9F"/>
    <w:pPr>
      <w:spacing w:after="240"/>
      <w:ind w:left="1440" w:right="1440"/>
    </w:pPr>
    <w:rPr>
      <w:rFonts w:eastAsia="Calibri"/>
      <w:sz w:val="24"/>
      <w:szCs w:val="22"/>
    </w:rPr>
  </w:style>
  <w:style w:type="paragraph" w:styleId="BalloonText">
    <w:name w:val="Balloon Text"/>
    <w:basedOn w:val="Normal"/>
    <w:link w:val="BalloonTextChar"/>
    <w:uiPriority w:val="99"/>
    <w:semiHidden/>
    <w:unhideWhenUsed/>
    <w:rsid w:val="0002020D"/>
    <w:rPr>
      <w:rFonts w:ascii="Tahoma" w:hAnsi="Tahoma" w:cs="Tahoma"/>
      <w:sz w:val="16"/>
      <w:szCs w:val="16"/>
    </w:rPr>
  </w:style>
  <w:style w:type="character" w:customStyle="1" w:styleId="BalloonTextChar">
    <w:name w:val="Balloon Text Char"/>
    <w:basedOn w:val="DefaultParagraphFont"/>
    <w:link w:val="BalloonText"/>
    <w:uiPriority w:val="99"/>
    <w:semiHidden/>
    <w:rsid w:val="000202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pPr>
      <w:spacing w:after="0" w:line="240" w:lineRule="auto"/>
    </w:pPr>
  </w:style>
  <w:style w:type="paragraph" w:styleId="Heading1">
    <w:name w:val="heading 1"/>
    <w:basedOn w:val="Normal"/>
    <w:next w:val="Normal"/>
    <w:link w:val="Heading1Char"/>
    <w:qFormat/>
    <w:rsid w:val="00281FC4"/>
    <w:pPr>
      <w:keepNext/>
      <w:jc w:val="center"/>
      <w:outlineLvl w:val="0"/>
    </w:pPr>
    <w:rPr>
      <w:rFonts w:ascii="Arial" w:hAnsi="Arial" w:cs="Arial"/>
      <w:b/>
      <w:bCs/>
      <w:sz w:val="48"/>
    </w:rPr>
  </w:style>
  <w:style w:type="paragraph" w:styleId="Heading8">
    <w:name w:val="heading 8"/>
    <w:basedOn w:val="Normal"/>
    <w:next w:val="Normal"/>
    <w:link w:val="Heading8Char"/>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C4"/>
    <w:rPr>
      <w:rFonts w:ascii="Arial" w:eastAsia="Times New Roman" w:hAnsi="Arial" w:cs="Arial"/>
      <w:b/>
      <w:bCs/>
      <w:sz w:val="48"/>
      <w:szCs w:val="24"/>
      <w:lang w:val="en-US"/>
    </w:rPr>
  </w:style>
  <w:style w:type="character" w:customStyle="1" w:styleId="Heading8Char">
    <w:name w:val="Heading 8 Char"/>
    <w:basedOn w:val="DefaultParagraphFont"/>
    <w:link w:val="Heading8"/>
    <w:rsid w:val="00281FC4"/>
    <w:rPr>
      <w:rFonts w:ascii="Arial" w:eastAsia="Times New Roman" w:hAnsi="Arial" w:cs="Times New Roman"/>
      <w:b/>
      <w:bCs/>
      <w:spacing w:val="-5"/>
      <w:sz w:val="20"/>
      <w:szCs w:val="20"/>
      <w:lang w:val="en-US"/>
    </w:rPr>
  </w:style>
  <w:style w:type="paragraph" w:styleId="Header">
    <w:name w:val="header"/>
    <w:basedOn w:val="Normal"/>
    <w:link w:val="HeaderChar"/>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basedOn w:val="DefaultParagraphFont"/>
    <w:link w:val="Header"/>
    <w:semiHidden/>
    <w:rsid w:val="00281FC4"/>
    <w:rPr>
      <w:rFonts w:ascii="Arial" w:eastAsia="Times New Roman"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basedOn w:val="DefaultParagraphFont"/>
    <w:link w:val="Footer"/>
    <w:uiPriority w:val="99"/>
    <w:rsid w:val="00281FC4"/>
    <w:rPr>
      <w:rFonts w:ascii="Times New Roman" w:eastAsia="Times New Roman" w:hAnsi="Times New Roman" w:cs="Times New Roman"/>
      <w:sz w:val="24"/>
      <w:szCs w:val="24"/>
      <w:lang w:val="en-US"/>
    </w:rPr>
  </w:style>
  <w:style w:type="paragraph" w:customStyle="1" w:styleId="Default">
    <w:name w:val="Default"/>
    <w:rsid w:val="00281FC4"/>
    <w:pPr>
      <w:autoSpaceDE w:val="0"/>
      <w:autoSpaceDN w:val="0"/>
      <w:adjustRightInd w:val="0"/>
      <w:spacing w:after="0" w:line="240" w:lineRule="auto"/>
    </w:pPr>
    <w:rPr>
      <w:rFonts w:ascii="Arial" w:eastAsia="SimSun" w:hAnsi="Arial" w:cs="Arial"/>
      <w:color w:val="000000"/>
      <w:lang w:val="en-US" w:eastAsia="zh-CN"/>
    </w:rPr>
  </w:style>
  <w:style w:type="paragraph" w:customStyle="1" w:styleId="BLGLetterText">
    <w:name w:val="BLGLetterText"/>
    <w:basedOn w:val="Normal"/>
    <w:rsid w:val="008F5664"/>
    <w:pPr>
      <w:spacing w:before="240"/>
    </w:pPr>
    <w:rPr>
      <w:rFonts w:eastAsia="Calibri"/>
      <w:szCs w:val="22"/>
    </w:rPr>
  </w:style>
  <w:style w:type="paragraph" w:styleId="ListParagraph">
    <w:name w:val="List Paragraph"/>
    <w:basedOn w:val="Normal"/>
    <w:uiPriority w:val="34"/>
    <w:qFormat/>
    <w:rsid w:val="008F5664"/>
    <w:pPr>
      <w:ind w:left="720"/>
      <w:contextualSpacing/>
    </w:pPr>
  </w:style>
  <w:style w:type="paragraph" w:customStyle="1" w:styleId="Heading2a">
    <w:name w:val="Heading 2 (a)"/>
    <w:basedOn w:val="BLGLetterText"/>
    <w:qFormat/>
    <w:rsid w:val="00EE3A98"/>
    <w:pPr>
      <w:numPr>
        <w:numId w:val="2"/>
      </w:numPr>
      <w:tabs>
        <w:tab w:val="left" w:pos="1440"/>
      </w:tabs>
      <w:ind w:left="1440" w:hanging="720"/>
      <w:jc w:val="both"/>
    </w:pPr>
  </w:style>
  <w:style w:type="paragraph" w:styleId="BodyText">
    <w:name w:val="Body Text"/>
    <w:basedOn w:val="Normal"/>
    <w:link w:val="BodyTextChar"/>
    <w:semiHidden/>
    <w:rsid w:val="00742E9F"/>
    <w:pPr>
      <w:jc w:val="both"/>
    </w:pPr>
    <w:rPr>
      <w:sz w:val="22"/>
    </w:rPr>
  </w:style>
  <w:style w:type="character" w:customStyle="1" w:styleId="BodyTextChar">
    <w:name w:val="Body Text Char"/>
    <w:basedOn w:val="DefaultParagraphFont"/>
    <w:link w:val="BodyText"/>
    <w:semiHidden/>
    <w:rsid w:val="00742E9F"/>
    <w:rPr>
      <w:rFonts w:ascii="Times New Roman" w:hAnsi="Times New Roman" w:cs="Times New Roman"/>
      <w:szCs w:val="24"/>
    </w:rPr>
  </w:style>
  <w:style w:type="paragraph" w:customStyle="1" w:styleId="DoubleIndent">
    <w:name w:val="Double Indent"/>
    <w:aliases w:val="di"/>
    <w:basedOn w:val="BodyText"/>
    <w:next w:val="BodyText"/>
    <w:rsid w:val="00742E9F"/>
    <w:pPr>
      <w:spacing w:after="240"/>
      <w:ind w:left="1440" w:right="1440"/>
    </w:pPr>
    <w:rPr>
      <w:rFonts w:eastAsia="Calibri"/>
      <w:sz w:val="24"/>
      <w:szCs w:val="22"/>
    </w:rPr>
  </w:style>
  <w:style w:type="paragraph" w:styleId="BalloonText">
    <w:name w:val="Balloon Text"/>
    <w:basedOn w:val="Normal"/>
    <w:link w:val="BalloonTextChar"/>
    <w:uiPriority w:val="99"/>
    <w:semiHidden/>
    <w:unhideWhenUsed/>
    <w:rsid w:val="0002020D"/>
    <w:rPr>
      <w:rFonts w:ascii="Tahoma" w:hAnsi="Tahoma" w:cs="Tahoma"/>
      <w:sz w:val="16"/>
      <w:szCs w:val="16"/>
    </w:rPr>
  </w:style>
  <w:style w:type="character" w:customStyle="1" w:styleId="BalloonTextChar">
    <w:name w:val="Balloon Text Char"/>
    <w:basedOn w:val="DefaultParagraphFont"/>
    <w:link w:val="BalloonText"/>
    <w:uiPriority w:val="99"/>
    <w:semiHidden/>
    <w:rsid w:val="00020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2014-12-24T03:20:00Z</dcterms:created>
  <dcterms:modified xsi:type="dcterms:W3CDTF">2014-12-24T03:25:00Z</dcterms:modified>
</cp:coreProperties>
</file>