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16" w:rsidRDefault="004D5216" w:rsidP="004D52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D5109" w:rsidRDefault="00D97F1F" w:rsidP="004D521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Essex Powerlines Corporation</w:t>
      </w:r>
      <w:r w:rsidR="004D5216">
        <w:rPr>
          <w:rFonts w:ascii="Arial" w:hAnsi="Arial" w:cs="Arial"/>
          <w:b/>
          <w:sz w:val="24"/>
          <w:szCs w:val="24"/>
        </w:rPr>
        <w:t xml:space="preserve"> </w:t>
      </w:r>
    </w:p>
    <w:p w:rsidR="004D5216" w:rsidRDefault="00D97F1F" w:rsidP="004D521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EB-2014-0072</w:t>
      </w:r>
      <w:r w:rsidR="00CD5109">
        <w:rPr>
          <w:rFonts w:ascii="Arial" w:hAnsi="Arial" w:cs="Arial"/>
          <w:b/>
          <w:sz w:val="24"/>
          <w:szCs w:val="24"/>
        </w:rPr>
        <w:t xml:space="preserve"> Price Cap IR Application &amp; EB-2014-0301 Smart Meter Application</w:t>
      </w:r>
    </w:p>
    <w:p w:rsidR="004D5216" w:rsidRDefault="00E542E4" w:rsidP="004D5216">
      <w:pPr>
        <w:tabs>
          <w:tab w:val="left" w:pos="924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Response to </w:t>
      </w:r>
      <w:r w:rsidR="002018E1">
        <w:rPr>
          <w:rFonts w:ascii="Arial" w:hAnsi="Arial" w:cs="Arial"/>
          <w:b/>
          <w:sz w:val="24"/>
          <w:szCs w:val="24"/>
        </w:rPr>
        <w:t>Procedural Order #2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018E1">
        <w:rPr>
          <w:rFonts w:ascii="Arial" w:hAnsi="Arial" w:cs="Arial"/>
          <w:b/>
          <w:sz w:val="24"/>
          <w:szCs w:val="24"/>
        </w:rPr>
        <w:t>February 6</w:t>
      </w:r>
      <w:r>
        <w:rPr>
          <w:rFonts w:ascii="Arial" w:hAnsi="Arial" w:cs="Arial"/>
          <w:b/>
          <w:sz w:val="24"/>
          <w:szCs w:val="24"/>
        </w:rPr>
        <w:t>, 201</w:t>
      </w:r>
      <w:r w:rsidR="002018E1">
        <w:rPr>
          <w:rFonts w:ascii="Arial" w:hAnsi="Arial" w:cs="Arial"/>
          <w:b/>
          <w:sz w:val="24"/>
          <w:szCs w:val="24"/>
        </w:rPr>
        <w:t>5, Submission of New Evidence</w:t>
      </w:r>
    </w:p>
    <w:p w:rsidR="004D5216" w:rsidRDefault="004D5216" w:rsidP="004D5216">
      <w:pPr>
        <w:tabs>
          <w:tab w:val="left" w:pos="924"/>
        </w:tabs>
        <w:spacing w:after="0"/>
        <w:rPr>
          <w:rFonts w:ascii="Arial" w:hAnsi="Arial" w:cs="Arial"/>
          <w:b/>
          <w:sz w:val="24"/>
          <w:szCs w:val="24"/>
        </w:rPr>
      </w:pPr>
    </w:p>
    <w:p w:rsidR="00E1239C" w:rsidRPr="00CD5109" w:rsidRDefault="005351BB" w:rsidP="004D5216">
      <w:pPr>
        <w:tabs>
          <w:tab w:val="left" w:pos="924"/>
        </w:tabs>
        <w:spacing w:after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Price Cap</w:t>
      </w:r>
      <w:r w:rsidR="00CD5109" w:rsidRPr="00CD5109">
        <w:rPr>
          <w:rFonts w:ascii="Arial" w:hAnsi="Arial" w:cs="Arial"/>
          <w:b/>
          <w:szCs w:val="24"/>
          <w:u w:val="single"/>
        </w:rPr>
        <w:t xml:space="preserve"> IR Application</w:t>
      </w:r>
    </w:p>
    <w:p w:rsidR="00CD5109" w:rsidRDefault="00CD5109" w:rsidP="004D5216">
      <w:pPr>
        <w:tabs>
          <w:tab w:val="left" w:pos="924"/>
        </w:tabs>
        <w:spacing w:after="0"/>
        <w:rPr>
          <w:rFonts w:ascii="Arial" w:hAnsi="Arial" w:cs="Arial"/>
          <w:b/>
          <w:szCs w:val="24"/>
        </w:rPr>
      </w:pPr>
    </w:p>
    <w:p w:rsidR="005B2BE2" w:rsidRDefault="002018E1" w:rsidP="009E2715">
      <w:pPr>
        <w:tabs>
          <w:tab w:val="left" w:pos="924"/>
        </w:tabs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Pursuant to Procedural Order #2 issued on February 6, 2015, Essex Powerlines Corporation is submitting the following additional evidence as requested</w:t>
      </w:r>
      <w:r w:rsidR="006E3EA3">
        <w:rPr>
          <w:rFonts w:ascii="Arial" w:hAnsi="Arial" w:cs="Arial"/>
          <w:szCs w:val="24"/>
        </w:rPr>
        <w:t xml:space="preserve"> and in order as follows:</w:t>
      </w:r>
      <w:r>
        <w:rPr>
          <w:rFonts w:ascii="Arial" w:hAnsi="Arial" w:cs="Arial"/>
          <w:szCs w:val="24"/>
        </w:rPr>
        <w:t xml:space="preserve">  </w:t>
      </w:r>
    </w:p>
    <w:p w:rsidR="005B2BE2" w:rsidRDefault="005B2BE2" w:rsidP="009E2715">
      <w:pPr>
        <w:tabs>
          <w:tab w:val="left" w:pos="924"/>
        </w:tabs>
        <w:spacing w:after="0"/>
        <w:rPr>
          <w:rFonts w:ascii="Arial" w:hAnsi="Arial" w:cs="Arial"/>
          <w:szCs w:val="24"/>
        </w:rPr>
      </w:pPr>
    </w:p>
    <w:p w:rsidR="005B2BE2" w:rsidRDefault="005B2BE2" w:rsidP="005B2BE2">
      <w:pPr>
        <w:pStyle w:val="ListParagraph"/>
        <w:numPr>
          <w:ilvl w:val="0"/>
          <w:numId w:val="40"/>
        </w:numPr>
        <w:tabs>
          <w:tab w:val="left" w:pos="924"/>
        </w:tabs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Any relevant material from prior Board proceedings</w:t>
      </w:r>
    </w:p>
    <w:p w:rsidR="005B2BE2" w:rsidRDefault="005B2BE2" w:rsidP="005B2BE2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RESPONSE: There is no relevant material from prior Board proceedings as the error was just recently determined. </w:t>
      </w:r>
    </w:p>
    <w:p w:rsidR="005B2BE2" w:rsidRDefault="005B2BE2" w:rsidP="005B2BE2">
      <w:pPr>
        <w:pStyle w:val="ListParagraph"/>
        <w:numPr>
          <w:ilvl w:val="0"/>
          <w:numId w:val="40"/>
        </w:numPr>
        <w:tabs>
          <w:tab w:val="left" w:pos="924"/>
        </w:tabs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Details regarding the source of the error:</w:t>
      </w:r>
    </w:p>
    <w:p w:rsidR="00E542E4" w:rsidRDefault="005B2BE2" w:rsidP="005B2BE2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RESPONSE: The source of the RPP and non RPP split </w:t>
      </w:r>
      <w:r w:rsidR="00342219">
        <w:rPr>
          <w:rFonts w:ascii="Arial" w:hAnsi="Arial" w:cs="Arial"/>
          <w:szCs w:val="24"/>
        </w:rPr>
        <w:t xml:space="preserve">occurred due to the use of an incorrect split percentage which was obtained </w:t>
      </w:r>
      <w:r>
        <w:rPr>
          <w:rFonts w:ascii="Arial" w:hAnsi="Arial" w:cs="Arial"/>
          <w:szCs w:val="24"/>
        </w:rPr>
        <w:t xml:space="preserve">from the data submitted with the Form 1598 to the IESO.  The </w:t>
      </w:r>
      <w:r w:rsidR="008A68C9">
        <w:rPr>
          <w:rFonts w:ascii="Arial" w:hAnsi="Arial" w:cs="Arial"/>
          <w:szCs w:val="24"/>
        </w:rPr>
        <w:t xml:space="preserve">spreadsheet used for the 1598 was changed in late 2011, resulting in </w:t>
      </w:r>
      <w:r w:rsidR="00DB54C9">
        <w:rPr>
          <w:rFonts w:ascii="Arial" w:hAnsi="Arial" w:cs="Arial"/>
          <w:szCs w:val="24"/>
        </w:rPr>
        <w:t>an incorrect calculation of the</w:t>
      </w:r>
      <w:r w:rsidR="00342219">
        <w:rPr>
          <w:rFonts w:ascii="Arial" w:hAnsi="Arial" w:cs="Arial"/>
          <w:szCs w:val="24"/>
        </w:rPr>
        <w:t xml:space="preserve"> percentage</w:t>
      </w:r>
      <w:r w:rsidR="00DB54C9">
        <w:rPr>
          <w:rFonts w:ascii="Arial" w:hAnsi="Arial" w:cs="Arial"/>
          <w:szCs w:val="24"/>
        </w:rPr>
        <w:t xml:space="preserve"> used</w:t>
      </w:r>
      <w:r w:rsidR="008A68C9">
        <w:rPr>
          <w:rFonts w:ascii="Arial" w:hAnsi="Arial" w:cs="Arial"/>
          <w:szCs w:val="24"/>
        </w:rPr>
        <w:t xml:space="preserve"> for non RPP </w:t>
      </w:r>
      <w:proofErr w:type="gramStart"/>
      <w:r w:rsidR="008A68C9">
        <w:rPr>
          <w:rFonts w:ascii="Arial" w:hAnsi="Arial" w:cs="Arial"/>
          <w:szCs w:val="24"/>
        </w:rPr>
        <w:t>kwh’s</w:t>
      </w:r>
      <w:proofErr w:type="gramEnd"/>
      <w:r w:rsidR="008A68C9">
        <w:rPr>
          <w:rFonts w:ascii="Arial" w:hAnsi="Arial" w:cs="Arial"/>
          <w:szCs w:val="24"/>
        </w:rPr>
        <w:t xml:space="preserve">.  Also, at the same time new </w:t>
      </w:r>
      <w:r w:rsidR="00DB54C9">
        <w:rPr>
          <w:rFonts w:ascii="Arial" w:hAnsi="Arial" w:cs="Arial"/>
          <w:szCs w:val="24"/>
        </w:rPr>
        <w:t>global adjustment charges from</w:t>
      </w:r>
      <w:r w:rsidR="008A68C9">
        <w:rPr>
          <w:rFonts w:ascii="Arial" w:hAnsi="Arial" w:cs="Arial"/>
          <w:szCs w:val="24"/>
        </w:rPr>
        <w:t xml:space="preserve"> Hydro One </w:t>
      </w:r>
      <w:r w:rsidR="006E3EA3">
        <w:rPr>
          <w:rFonts w:ascii="Arial" w:hAnsi="Arial" w:cs="Arial"/>
          <w:szCs w:val="24"/>
        </w:rPr>
        <w:t>was</w:t>
      </w:r>
      <w:r w:rsidR="008A68C9">
        <w:rPr>
          <w:rFonts w:ascii="Arial" w:hAnsi="Arial" w:cs="Arial"/>
          <w:szCs w:val="24"/>
        </w:rPr>
        <w:t xml:space="preserve"> </w:t>
      </w:r>
      <w:r w:rsidR="00DB54C9">
        <w:rPr>
          <w:rFonts w:ascii="Arial" w:hAnsi="Arial" w:cs="Arial"/>
          <w:szCs w:val="24"/>
        </w:rPr>
        <w:t xml:space="preserve">being charged 100% to the global adjustment account and was not split between RPP and </w:t>
      </w:r>
      <w:proofErr w:type="spellStart"/>
      <w:proofErr w:type="gramStart"/>
      <w:r w:rsidR="00DB54C9">
        <w:rPr>
          <w:rFonts w:ascii="Arial" w:hAnsi="Arial" w:cs="Arial"/>
          <w:szCs w:val="24"/>
        </w:rPr>
        <w:t>nonRPP</w:t>
      </w:r>
      <w:proofErr w:type="spellEnd"/>
      <w:r w:rsidR="008A68C9">
        <w:rPr>
          <w:rFonts w:ascii="Arial" w:hAnsi="Arial" w:cs="Arial"/>
          <w:szCs w:val="24"/>
        </w:rPr>
        <w:t>.</w:t>
      </w:r>
      <w:bookmarkStart w:id="0" w:name="_GoBack"/>
      <w:bookmarkEnd w:id="0"/>
      <w:proofErr w:type="gramEnd"/>
      <w:r w:rsidR="008A68C9">
        <w:rPr>
          <w:rFonts w:ascii="Arial" w:hAnsi="Arial" w:cs="Arial"/>
          <w:szCs w:val="24"/>
        </w:rPr>
        <w:t xml:space="preserve">  </w:t>
      </w:r>
    </w:p>
    <w:p w:rsidR="008A68C9" w:rsidRDefault="008A68C9" w:rsidP="008A68C9">
      <w:pPr>
        <w:pStyle w:val="ListParagraph"/>
        <w:numPr>
          <w:ilvl w:val="0"/>
          <w:numId w:val="40"/>
        </w:numPr>
        <w:tabs>
          <w:tab w:val="left" w:pos="924"/>
        </w:tabs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process followed to determine the correcting accounting entries:</w:t>
      </w:r>
    </w:p>
    <w:p w:rsidR="008A68C9" w:rsidRDefault="008A68C9" w:rsidP="008A68C9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RESPONSE: The 1598 forms were reviewed and the correct amounts for non RPP and RPP were included in a spreadsheet and the </w:t>
      </w:r>
      <w:r w:rsidR="00DB54C9">
        <w:rPr>
          <w:rFonts w:ascii="Arial" w:hAnsi="Arial" w:cs="Arial"/>
          <w:szCs w:val="24"/>
        </w:rPr>
        <w:t>Hy</w:t>
      </w:r>
      <w:r>
        <w:rPr>
          <w:rFonts w:ascii="Arial" w:hAnsi="Arial" w:cs="Arial"/>
          <w:szCs w:val="24"/>
        </w:rPr>
        <w:t>dro One</w:t>
      </w:r>
      <w:r w:rsidR="00DB54C9">
        <w:rPr>
          <w:rFonts w:ascii="Arial" w:hAnsi="Arial" w:cs="Arial"/>
          <w:szCs w:val="24"/>
        </w:rPr>
        <w:t xml:space="preserve"> global adjustment</w:t>
      </w:r>
      <w:r>
        <w:rPr>
          <w:rFonts w:ascii="Arial" w:hAnsi="Arial" w:cs="Arial"/>
          <w:szCs w:val="24"/>
        </w:rPr>
        <w:t xml:space="preserve"> amounts were </w:t>
      </w:r>
      <w:r w:rsidR="00DB54C9">
        <w:rPr>
          <w:rFonts w:ascii="Arial" w:hAnsi="Arial" w:cs="Arial"/>
          <w:szCs w:val="24"/>
        </w:rPr>
        <w:t>reallocated and included</w:t>
      </w:r>
      <w:r>
        <w:rPr>
          <w:rFonts w:ascii="Arial" w:hAnsi="Arial" w:cs="Arial"/>
          <w:szCs w:val="24"/>
        </w:rPr>
        <w:t xml:space="preserve">.  This process was performed by one person and reviewed by a supervisor to ensure the revised numbers were correct. </w:t>
      </w:r>
      <w:r w:rsidR="00DD2A66">
        <w:rPr>
          <w:rFonts w:ascii="Arial" w:hAnsi="Arial" w:cs="Arial"/>
          <w:szCs w:val="24"/>
        </w:rPr>
        <w:t xml:space="preserve">This spreadsheet is submitted as outlined in 4). </w:t>
      </w:r>
    </w:p>
    <w:p w:rsidR="008A68C9" w:rsidRDefault="008A68C9" w:rsidP="008A68C9">
      <w:pPr>
        <w:pStyle w:val="ListParagraph"/>
        <w:numPr>
          <w:ilvl w:val="0"/>
          <w:numId w:val="40"/>
        </w:numPr>
        <w:tabs>
          <w:tab w:val="left" w:pos="924"/>
        </w:tabs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Calculations supporting the correcting accounting entries for each year separately (2011,2012,and 2013):</w:t>
      </w:r>
    </w:p>
    <w:p w:rsidR="008A68C9" w:rsidRDefault="008A68C9" w:rsidP="008A68C9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  <w:r w:rsidRPr="008A68C9">
        <w:rPr>
          <w:rFonts w:ascii="Arial" w:hAnsi="Arial" w:cs="Arial"/>
          <w:szCs w:val="24"/>
        </w:rPr>
        <w:t>RESPONSE:</w:t>
      </w:r>
      <w:r w:rsidR="00AE06CE">
        <w:rPr>
          <w:rFonts w:ascii="Arial" w:hAnsi="Arial" w:cs="Arial"/>
          <w:szCs w:val="24"/>
        </w:rPr>
        <w:t xml:space="preserve"> see files submitted: </w:t>
      </w:r>
      <w:proofErr w:type="spellStart"/>
      <w:r w:rsidR="00DB54C9">
        <w:rPr>
          <w:rFonts w:ascii="Arial" w:hAnsi="Arial" w:cs="Arial"/>
          <w:szCs w:val="24"/>
        </w:rPr>
        <w:t>Essex_</w:t>
      </w:r>
      <w:r w:rsidR="00AE06CE">
        <w:rPr>
          <w:rFonts w:ascii="Arial" w:hAnsi="Arial" w:cs="Arial"/>
          <w:szCs w:val="24"/>
        </w:rPr>
        <w:t>GA</w:t>
      </w:r>
      <w:proofErr w:type="spellEnd"/>
      <w:r w:rsidR="00AE06CE">
        <w:rPr>
          <w:rFonts w:ascii="Arial" w:hAnsi="Arial" w:cs="Arial"/>
          <w:szCs w:val="24"/>
        </w:rPr>
        <w:t xml:space="preserve"> Analysis Error Correction 2011-2013</w:t>
      </w:r>
    </w:p>
    <w:p w:rsidR="00AE06CE" w:rsidRDefault="00AE06CE" w:rsidP="00AE06CE">
      <w:pPr>
        <w:pStyle w:val="ListParagraph"/>
        <w:numPr>
          <w:ilvl w:val="0"/>
          <w:numId w:val="40"/>
        </w:numPr>
        <w:tabs>
          <w:tab w:val="left" w:pos="924"/>
        </w:tabs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Any required changes to the Rate Generator Model</w:t>
      </w:r>
    </w:p>
    <w:p w:rsidR="00AE06CE" w:rsidRDefault="00AE06CE" w:rsidP="00AE06CE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RESPONSE: The revised Rate Generator Models are included as:</w:t>
      </w:r>
    </w:p>
    <w:p w:rsidR="006E6342" w:rsidRDefault="006E6342" w:rsidP="00AE06CE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Essex_IRM_Rate_Gen_2011-2013 GA </w:t>
      </w:r>
      <w:proofErr w:type="spellStart"/>
      <w:r>
        <w:rPr>
          <w:rFonts w:ascii="Arial" w:hAnsi="Arial" w:cs="Arial"/>
          <w:szCs w:val="24"/>
        </w:rPr>
        <w:t>adj</w:t>
      </w:r>
      <w:proofErr w:type="spellEnd"/>
      <w:r>
        <w:rPr>
          <w:rFonts w:ascii="Arial" w:hAnsi="Arial" w:cs="Arial"/>
          <w:szCs w:val="24"/>
        </w:rPr>
        <w:t xml:space="preserve"> </w:t>
      </w:r>
      <w:r w:rsidR="00DB54C9">
        <w:rPr>
          <w:rFonts w:ascii="Arial" w:hAnsi="Arial" w:cs="Arial"/>
          <w:szCs w:val="24"/>
        </w:rPr>
        <w:t>over 1 year</w:t>
      </w:r>
    </w:p>
    <w:p w:rsidR="006E6342" w:rsidRDefault="006E6342" w:rsidP="00AE06CE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Essex_IRM_Rate_Gen_20</w:t>
      </w:r>
      <w:r w:rsidR="00DB54C9">
        <w:rPr>
          <w:rFonts w:ascii="Arial" w:hAnsi="Arial" w:cs="Arial"/>
          <w:szCs w:val="24"/>
        </w:rPr>
        <w:t xml:space="preserve">11-2013 GA </w:t>
      </w:r>
      <w:proofErr w:type="spellStart"/>
      <w:r w:rsidR="00DB54C9">
        <w:rPr>
          <w:rFonts w:ascii="Arial" w:hAnsi="Arial" w:cs="Arial"/>
          <w:szCs w:val="24"/>
        </w:rPr>
        <w:t>adj</w:t>
      </w:r>
      <w:proofErr w:type="spellEnd"/>
      <w:r w:rsidR="00DB54C9">
        <w:rPr>
          <w:rFonts w:ascii="Arial" w:hAnsi="Arial" w:cs="Arial"/>
          <w:szCs w:val="24"/>
        </w:rPr>
        <w:t xml:space="preserve"> over 4 years</w:t>
      </w:r>
    </w:p>
    <w:p w:rsidR="006E6342" w:rsidRDefault="006E6342" w:rsidP="00AE06CE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Essex_IRM_Rate_Gen_2</w:t>
      </w:r>
      <w:r w:rsidR="00DB54C9">
        <w:rPr>
          <w:rFonts w:ascii="Arial" w:hAnsi="Arial" w:cs="Arial"/>
          <w:szCs w:val="24"/>
        </w:rPr>
        <w:t xml:space="preserve">013 GA </w:t>
      </w:r>
      <w:proofErr w:type="spellStart"/>
      <w:r w:rsidR="00DB54C9">
        <w:rPr>
          <w:rFonts w:ascii="Arial" w:hAnsi="Arial" w:cs="Arial"/>
          <w:szCs w:val="24"/>
        </w:rPr>
        <w:t>adj</w:t>
      </w:r>
      <w:proofErr w:type="spellEnd"/>
      <w:r w:rsidR="00DB54C9">
        <w:rPr>
          <w:rFonts w:ascii="Arial" w:hAnsi="Arial" w:cs="Arial"/>
          <w:szCs w:val="24"/>
        </w:rPr>
        <w:t xml:space="preserve"> only over 1 year</w:t>
      </w:r>
    </w:p>
    <w:p w:rsidR="006E6342" w:rsidRDefault="006E6342" w:rsidP="00AE06CE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Essex_IRM_Rate_Gen_20</w:t>
      </w:r>
      <w:r w:rsidR="00DB54C9">
        <w:rPr>
          <w:rFonts w:ascii="Arial" w:hAnsi="Arial" w:cs="Arial"/>
          <w:szCs w:val="24"/>
        </w:rPr>
        <w:t xml:space="preserve">13 GA </w:t>
      </w:r>
      <w:proofErr w:type="spellStart"/>
      <w:r w:rsidR="00DB54C9">
        <w:rPr>
          <w:rFonts w:ascii="Arial" w:hAnsi="Arial" w:cs="Arial"/>
          <w:szCs w:val="24"/>
        </w:rPr>
        <w:t>adj</w:t>
      </w:r>
      <w:proofErr w:type="spellEnd"/>
      <w:r w:rsidR="00DB54C9">
        <w:rPr>
          <w:rFonts w:ascii="Arial" w:hAnsi="Arial" w:cs="Arial"/>
          <w:szCs w:val="24"/>
        </w:rPr>
        <w:t xml:space="preserve"> only over 4 years</w:t>
      </w:r>
    </w:p>
    <w:p w:rsidR="006E6342" w:rsidRDefault="006E6342" w:rsidP="00AE06CE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Essex_IRM_Rat</w:t>
      </w:r>
      <w:r w:rsidR="00DB54C9">
        <w:rPr>
          <w:rFonts w:ascii="Arial" w:hAnsi="Arial" w:cs="Arial"/>
          <w:szCs w:val="24"/>
        </w:rPr>
        <w:t>e_Gen_with</w:t>
      </w:r>
      <w:proofErr w:type="spellEnd"/>
      <w:r w:rsidR="00DB54C9">
        <w:rPr>
          <w:rFonts w:ascii="Arial" w:hAnsi="Arial" w:cs="Arial"/>
          <w:szCs w:val="24"/>
        </w:rPr>
        <w:t xml:space="preserve"> no GA adjustment</w:t>
      </w:r>
    </w:p>
    <w:p w:rsidR="006E6342" w:rsidRDefault="006E6342" w:rsidP="00AE06CE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E</w:t>
      </w:r>
      <w:r w:rsidR="00DB54C9">
        <w:rPr>
          <w:rFonts w:ascii="Arial" w:hAnsi="Arial" w:cs="Arial"/>
          <w:szCs w:val="24"/>
        </w:rPr>
        <w:t>ssex_IRM_GA</w:t>
      </w:r>
      <w:proofErr w:type="spellEnd"/>
      <w:r w:rsidR="00DB54C9">
        <w:rPr>
          <w:rFonts w:ascii="Arial" w:hAnsi="Arial" w:cs="Arial"/>
          <w:szCs w:val="24"/>
        </w:rPr>
        <w:t xml:space="preserve"> adjustment only</w:t>
      </w:r>
    </w:p>
    <w:p w:rsidR="00AE06CE" w:rsidRDefault="00AE06CE" w:rsidP="00AE06CE">
      <w:pPr>
        <w:pStyle w:val="ListParagraph"/>
        <w:numPr>
          <w:ilvl w:val="0"/>
          <w:numId w:val="40"/>
        </w:numPr>
        <w:tabs>
          <w:tab w:val="left" w:pos="924"/>
        </w:tabs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proposed bill impacts and rate mitigation strategy if the errors from all 3 years are corrected collectively (2011-2013)</w:t>
      </w:r>
    </w:p>
    <w:p w:rsidR="00AE06CE" w:rsidRDefault="00AE06CE" w:rsidP="00AE06CE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RESPONSE: The bill impacts were submitted in our reply dated January 20, 2015.  They are included again as </w:t>
      </w:r>
      <w:r w:rsidR="009A1965">
        <w:rPr>
          <w:rFonts w:ascii="Arial" w:hAnsi="Arial" w:cs="Arial"/>
          <w:szCs w:val="24"/>
        </w:rPr>
        <w:t xml:space="preserve">well as:  </w:t>
      </w:r>
      <w:proofErr w:type="spellStart"/>
      <w:r w:rsidR="009A1965">
        <w:rPr>
          <w:rFonts w:ascii="Arial" w:hAnsi="Arial" w:cs="Arial"/>
          <w:szCs w:val="24"/>
        </w:rPr>
        <w:t>Essex_Bill</w:t>
      </w:r>
      <w:proofErr w:type="spellEnd"/>
      <w:r w:rsidR="009A1965">
        <w:rPr>
          <w:rFonts w:ascii="Arial" w:hAnsi="Arial" w:cs="Arial"/>
          <w:szCs w:val="24"/>
        </w:rPr>
        <w:t xml:space="preserve"> Impact w 2011-2013</w:t>
      </w:r>
      <w:r w:rsidR="00DB54C9">
        <w:rPr>
          <w:rFonts w:ascii="Arial" w:hAnsi="Arial" w:cs="Arial"/>
          <w:szCs w:val="24"/>
        </w:rPr>
        <w:t xml:space="preserve"> GA </w:t>
      </w:r>
      <w:proofErr w:type="spellStart"/>
      <w:r w:rsidR="00DB54C9">
        <w:rPr>
          <w:rFonts w:ascii="Arial" w:hAnsi="Arial" w:cs="Arial"/>
          <w:szCs w:val="24"/>
        </w:rPr>
        <w:t>adj</w:t>
      </w:r>
      <w:proofErr w:type="spellEnd"/>
      <w:r w:rsidR="00DB54C9">
        <w:rPr>
          <w:rFonts w:ascii="Arial" w:hAnsi="Arial" w:cs="Arial"/>
          <w:szCs w:val="24"/>
        </w:rPr>
        <w:t xml:space="preserve"> over 1 year</w:t>
      </w:r>
    </w:p>
    <w:p w:rsidR="009A1965" w:rsidRDefault="009A1965" w:rsidP="00AE06CE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proofErr w:type="spellStart"/>
      <w:r>
        <w:rPr>
          <w:rFonts w:ascii="Arial" w:hAnsi="Arial" w:cs="Arial"/>
          <w:szCs w:val="24"/>
        </w:rPr>
        <w:t>Essex_Bill</w:t>
      </w:r>
      <w:proofErr w:type="spellEnd"/>
      <w:r>
        <w:rPr>
          <w:rFonts w:ascii="Arial" w:hAnsi="Arial" w:cs="Arial"/>
          <w:szCs w:val="24"/>
        </w:rPr>
        <w:t xml:space="preserve"> Impact w 2011-2013 GA </w:t>
      </w:r>
      <w:proofErr w:type="spellStart"/>
      <w:r>
        <w:rPr>
          <w:rFonts w:ascii="Arial" w:hAnsi="Arial" w:cs="Arial"/>
          <w:szCs w:val="24"/>
        </w:rPr>
        <w:t>adj</w:t>
      </w:r>
      <w:proofErr w:type="spellEnd"/>
      <w:r>
        <w:rPr>
          <w:rFonts w:ascii="Arial" w:hAnsi="Arial" w:cs="Arial"/>
          <w:szCs w:val="24"/>
        </w:rPr>
        <w:t xml:space="preserve"> over </w:t>
      </w:r>
      <w:r w:rsidR="00DB54C9">
        <w:rPr>
          <w:rFonts w:ascii="Arial" w:hAnsi="Arial" w:cs="Arial"/>
          <w:szCs w:val="24"/>
        </w:rPr>
        <w:t>4 years</w:t>
      </w:r>
    </w:p>
    <w:p w:rsidR="00DB54C9" w:rsidRDefault="00DB54C9" w:rsidP="00AE06CE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proofErr w:type="spellStart"/>
      <w:r>
        <w:rPr>
          <w:rFonts w:ascii="Arial" w:hAnsi="Arial" w:cs="Arial"/>
          <w:szCs w:val="24"/>
        </w:rPr>
        <w:t>Essex_Bill</w:t>
      </w:r>
      <w:proofErr w:type="spellEnd"/>
      <w:r>
        <w:rPr>
          <w:rFonts w:ascii="Arial" w:hAnsi="Arial" w:cs="Arial"/>
          <w:szCs w:val="24"/>
        </w:rPr>
        <w:t xml:space="preserve"> Impact w GA </w:t>
      </w:r>
      <w:proofErr w:type="spellStart"/>
      <w:r>
        <w:rPr>
          <w:rFonts w:ascii="Arial" w:hAnsi="Arial" w:cs="Arial"/>
          <w:szCs w:val="24"/>
        </w:rPr>
        <w:t>adj</w:t>
      </w:r>
      <w:proofErr w:type="spellEnd"/>
      <w:r>
        <w:rPr>
          <w:rFonts w:ascii="Arial" w:hAnsi="Arial" w:cs="Arial"/>
          <w:szCs w:val="24"/>
        </w:rPr>
        <w:t xml:space="preserve"> as a separate rate rider over 4 years</w:t>
      </w:r>
    </w:p>
    <w:p w:rsidR="00AE06CE" w:rsidRDefault="00AE06CE" w:rsidP="00AE06CE">
      <w:pPr>
        <w:pStyle w:val="ListParagraph"/>
        <w:numPr>
          <w:ilvl w:val="0"/>
          <w:numId w:val="40"/>
        </w:numPr>
        <w:tabs>
          <w:tab w:val="left" w:pos="924"/>
        </w:tabs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proposed bill impacts and rate mitigation strategy if only the errors from 2013 were corrected.</w:t>
      </w:r>
    </w:p>
    <w:p w:rsidR="006E6342" w:rsidRDefault="00AE06CE" w:rsidP="00AE06CE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RESPONSE: The bill impacts showing the error correction for 2013 only are included as well as a rate mitigation strategy to spread this over 4 years.  This still results in bill impacts that are over 10%</w:t>
      </w:r>
      <w:r w:rsidR="006E6342">
        <w:rPr>
          <w:rFonts w:ascii="Arial" w:hAnsi="Arial" w:cs="Arial"/>
          <w:szCs w:val="24"/>
        </w:rPr>
        <w:t xml:space="preserve"> as seen in the bill impacts provided:  </w:t>
      </w:r>
      <w:proofErr w:type="spellStart"/>
      <w:r w:rsidR="006E6342">
        <w:rPr>
          <w:rFonts w:ascii="Arial" w:hAnsi="Arial" w:cs="Arial"/>
          <w:szCs w:val="24"/>
        </w:rPr>
        <w:t>Essex_Bill</w:t>
      </w:r>
      <w:proofErr w:type="spellEnd"/>
      <w:r w:rsidR="006E6342">
        <w:rPr>
          <w:rFonts w:ascii="Arial" w:hAnsi="Arial" w:cs="Arial"/>
          <w:szCs w:val="24"/>
        </w:rPr>
        <w:t xml:space="preserve"> Impact w 2</w:t>
      </w:r>
      <w:r w:rsidR="00DB54C9">
        <w:rPr>
          <w:rFonts w:ascii="Arial" w:hAnsi="Arial" w:cs="Arial"/>
          <w:szCs w:val="24"/>
        </w:rPr>
        <w:t xml:space="preserve">013 GA </w:t>
      </w:r>
      <w:proofErr w:type="spellStart"/>
      <w:r w:rsidR="00DB54C9">
        <w:rPr>
          <w:rFonts w:ascii="Arial" w:hAnsi="Arial" w:cs="Arial"/>
          <w:szCs w:val="24"/>
        </w:rPr>
        <w:t>adj</w:t>
      </w:r>
      <w:proofErr w:type="spellEnd"/>
      <w:r w:rsidR="00DB54C9">
        <w:rPr>
          <w:rFonts w:ascii="Arial" w:hAnsi="Arial" w:cs="Arial"/>
          <w:szCs w:val="24"/>
        </w:rPr>
        <w:t xml:space="preserve"> only over 1 year</w:t>
      </w:r>
    </w:p>
    <w:p w:rsidR="006E6342" w:rsidRDefault="006E6342" w:rsidP="00AE06CE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</w:t>
      </w:r>
      <w:proofErr w:type="spellStart"/>
      <w:r>
        <w:rPr>
          <w:rFonts w:ascii="Arial" w:hAnsi="Arial" w:cs="Arial"/>
          <w:szCs w:val="24"/>
        </w:rPr>
        <w:t>Essex_Bill</w:t>
      </w:r>
      <w:proofErr w:type="spellEnd"/>
      <w:r>
        <w:rPr>
          <w:rFonts w:ascii="Arial" w:hAnsi="Arial" w:cs="Arial"/>
          <w:szCs w:val="24"/>
        </w:rPr>
        <w:t xml:space="preserve"> Impact w 20</w:t>
      </w:r>
      <w:r w:rsidR="00DB54C9">
        <w:rPr>
          <w:rFonts w:ascii="Arial" w:hAnsi="Arial" w:cs="Arial"/>
          <w:szCs w:val="24"/>
        </w:rPr>
        <w:t xml:space="preserve">13 GA </w:t>
      </w:r>
      <w:proofErr w:type="spellStart"/>
      <w:r w:rsidR="00DB54C9">
        <w:rPr>
          <w:rFonts w:ascii="Arial" w:hAnsi="Arial" w:cs="Arial"/>
          <w:szCs w:val="24"/>
        </w:rPr>
        <w:t>adj</w:t>
      </w:r>
      <w:proofErr w:type="spellEnd"/>
      <w:r w:rsidR="00DB54C9">
        <w:rPr>
          <w:rFonts w:ascii="Arial" w:hAnsi="Arial" w:cs="Arial"/>
          <w:szCs w:val="24"/>
        </w:rPr>
        <w:t xml:space="preserve"> only over 4 years</w:t>
      </w:r>
    </w:p>
    <w:p w:rsidR="006E6342" w:rsidRDefault="006E6342" w:rsidP="00AE06CE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</w:p>
    <w:p w:rsidR="006E6342" w:rsidRDefault="006E6342" w:rsidP="00AE06CE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</w:p>
    <w:p w:rsidR="006E6342" w:rsidRDefault="006E6342" w:rsidP="00AE06CE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</w:p>
    <w:p w:rsidR="00AE06CE" w:rsidRDefault="00AE06CE" w:rsidP="00AE06CE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62351A" w:rsidRDefault="0062351A" w:rsidP="00AE06CE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Board also asked EPL to provide </w:t>
      </w:r>
      <w:r w:rsidR="008D14C3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>written submission on the following question:</w:t>
      </w:r>
    </w:p>
    <w:p w:rsidR="008D14C3" w:rsidRDefault="008D14C3" w:rsidP="00AE06CE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</w:p>
    <w:p w:rsidR="0062351A" w:rsidRDefault="0062351A" w:rsidP="00AE06CE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Should the Board consider an adjustment to the 2011 and 2012 DVA balances which were disposed of on a final basis as part of Essex Powerlines Corporation’s 2014 IRM proceeding (EB-2013-0128)? Would any such adjustment violate the legal requirements concerning retroactive ratemaking?</w:t>
      </w:r>
    </w:p>
    <w:p w:rsidR="0062351A" w:rsidRDefault="0062351A" w:rsidP="00AE06CE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i/>
          <w:szCs w:val="24"/>
        </w:rPr>
      </w:pPr>
    </w:p>
    <w:p w:rsidR="0062351A" w:rsidRPr="0062351A" w:rsidRDefault="0062351A" w:rsidP="00AE06CE">
      <w:pPr>
        <w:pStyle w:val="ListParagraph"/>
        <w:tabs>
          <w:tab w:val="left" w:pos="924"/>
        </w:tabs>
        <w:spacing w:after="0"/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RESPONSE:  EPL has proposed a prospective correction of </w:t>
      </w:r>
      <w:r w:rsidR="008D14C3">
        <w:rPr>
          <w:rFonts w:ascii="Arial" w:hAnsi="Arial" w:cs="Arial"/>
          <w:szCs w:val="24"/>
        </w:rPr>
        <w:t>these errors</w:t>
      </w:r>
      <w:r>
        <w:rPr>
          <w:rFonts w:ascii="Arial" w:hAnsi="Arial" w:cs="Arial"/>
          <w:szCs w:val="24"/>
        </w:rPr>
        <w:t xml:space="preserve">.  EPL did not request that past rates be adjusted and retro bills be sent to customers.  EPL has suggested that the error be </w:t>
      </w:r>
      <w:r w:rsidR="008D14C3">
        <w:rPr>
          <w:rFonts w:ascii="Arial" w:hAnsi="Arial" w:cs="Arial"/>
          <w:szCs w:val="24"/>
        </w:rPr>
        <w:t>corrected in the 2015 IRM model</w:t>
      </w:r>
      <w:r>
        <w:rPr>
          <w:rFonts w:ascii="Arial" w:hAnsi="Arial" w:cs="Arial"/>
          <w:szCs w:val="24"/>
        </w:rPr>
        <w:t xml:space="preserve"> and rates going forward be adjusted to correct the error.  We therefore do not see this as violating the legal requirements concerning retroactive ratemaking. </w:t>
      </w:r>
      <w:r w:rsidR="00305545">
        <w:rPr>
          <w:rFonts w:ascii="Arial" w:hAnsi="Arial" w:cs="Arial"/>
          <w:szCs w:val="24"/>
        </w:rPr>
        <w:t>If the error is not corrected</w:t>
      </w:r>
      <w:r w:rsidR="000E1F8B">
        <w:rPr>
          <w:rFonts w:ascii="Arial" w:hAnsi="Arial" w:cs="Arial"/>
          <w:szCs w:val="24"/>
        </w:rPr>
        <w:t>,</w:t>
      </w:r>
      <w:r w:rsidR="00305545">
        <w:rPr>
          <w:rFonts w:ascii="Arial" w:hAnsi="Arial" w:cs="Arial"/>
          <w:szCs w:val="24"/>
        </w:rPr>
        <w:t xml:space="preserve"> the balances in the current accounts </w:t>
      </w:r>
      <w:r w:rsidR="00AF6A10">
        <w:rPr>
          <w:rFonts w:ascii="Arial" w:hAnsi="Arial" w:cs="Arial"/>
          <w:szCs w:val="24"/>
        </w:rPr>
        <w:t xml:space="preserve">would be </w:t>
      </w:r>
      <w:r w:rsidR="00305545">
        <w:rPr>
          <w:rFonts w:ascii="Arial" w:hAnsi="Arial" w:cs="Arial"/>
          <w:szCs w:val="24"/>
        </w:rPr>
        <w:t>settled in the future</w:t>
      </w:r>
      <w:r w:rsidR="00AF6A10">
        <w:rPr>
          <w:rFonts w:ascii="Arial" w:hAnsi="Arial" w:cs="Arial"/>
          <w:szCs w:val="24"/>
        </w:rPr>
        <w:t xml:space="preserve"> when</w:t>
      </w:r>
      <w:r w:rsidR="00305545">
        <w:rPr>
          <w:rFonts w:ascii="Arial" w:hAnsi="Arial" w:cs="Arial"/>
          <w:szCs w:val="24"/>
        </w:rPr>
        <w:t xml:space="preserve"> there may </w:t>
      </w:r>
      <w:r w:rsidR="008D14C3">
        <w:rPr>
          <w:rFonts w:ascii="Arial" w:hAnsi="Arial" w:cs="Arial"/>
          <w:szCs w:val="24"/>
        </w:rPr>
        <w:t xml:space="preserve">a greater adjustment required in future rates </w:t>
      </w:r>
      <w:r w:rsidR="00342219">
        <w:rPr>
          <w:rFonts w:ascii="Arial" w:hAnsi="Arial" w:cs="Arial"/>
          <w:szCs w:val="24"/>
        </w:rPr>
        <w:t xml:space="preserve">if </w:t>
      </w:r>
      <w:r w:rsidR="008D14C3">
        <w:rPr>
          <w:rFonts w:ascii="Arial" w:hAnsi="Arial" w:cs="Arial"/>
          <w:szCs w:val="24"/>
        </w:rPr>
        <w:t xml:space="preserve">the global adjustment </w:t>
      </w:r>
      <w:r w:rsidR="00342219">
        <w:rPr>
          <w:rFonts w:ascii="Arial" w:hAnsi="Arial" w:cs="Arial"/>
          <w:szCs w:val="24"/>
        </w:rPr>
        <w:t>continues</w:t>
      </w:r>
      <w:r w:rsidR="008D14C3">
        <w:rPr>
          <w:rFonts w:ascii="Arial" w:hAnsi="Arial" w:cs="Arial"/>
          <w:szCs w:val="24"/>
        </w:rPr>
        <w:t xml:space="preserve"> to increase. </w:t>
      </w:r>
    </w:p>
    <w:p w:rsidR="00E542E4" w:rsidRDefault="00E542E4" w:rsidP="009E2715">
      <w:pPr>
        <w:tabs>
          <w:tab w:val="left" w:pos="924"/>
        </w:tabs>
        <w:spacing w:after="0"/>
        <w:rPr>
          <w:rFonts w:ascii="Arial" w:hAnsi="Arial" w:cs="Arial"/>
          <w:szCs w:val="24"/>
        </w:rPr>
      </w:pPr>
    </w:p>
    <w:p w:rsidR="0015788A" w:rsidRDefault="0015788A" w:rsidP="009E2715">
      <w:pPr>
        <w:tabs>
          <w:tab w:val="left" w:pos="924"/>
        </w:tabs>
        <w:spacing w:after="0"/>
        <w:rPr>
          <w:rFonts w:ascii="Arial" w:hAnsi="Arial" w:cs="Arial"/>
          <w:szCs w:val="24"/>
        </w:rPr>
      </w:pPr>
    </w:p>
    <w:p w:rsidR="006D72FB" w:rsidRDefault="006D72FB" w:rsidP="009E2715">
      <w:pPr>
        <w:tabs>
          <w:tab w:val="left" w:pos="924"/>
        </w:tabs>
        <w:spacing w:after="0"/>
        <w:rPr>
          <w:rFonts w:ascii="Arial" w:hAnsi="Arial" w:cs="Arial"/>
          <w:szCs w:val="24"/>
        </w:rPr>
      </w:pPr>
    </w:p>
    <w:p w:rsidR="006D72FB" w:rsidRDefault="006D72FB" w:rsidP="009E2715">
      <w:pPr>
        <w:tabs>
          <w:tab w:val="left" w:pos="924"/>
        </w:tabs>
        <w:spacing w:after="0"/>
        <w:rPr>
          <w:rFonts w:ascii="Arial" w:hAnsi="Arial" w:cs="Arial"/>
          <w:szCs w:val="24"/>
        </w:rPr>
      </w:pPr>
    </w:p>
    <w:p w:rsidR="00F37A23" w:rsidRDefault="00F37A23" w:rsidP="009E2715">
      <w:pPr>
        <w:tabs>
          <w:tab w:val="left" w:pos="924"/>
        </w:tabs>
        <w:spacing w:after="0"/>
        <w:rPr>
          <w:rFonts w:ascii="Arial" w:hAnsi="Arial" w:cs="Arial"/>
          <w:szCs w:val="24"/>
        </w:rPr>
      </w:pPr>
    </w:p>
    <w:p w:rsidR="00F410F7" w:rsidRDefault="00F410F7" w:rsidP="00F410F7">
      <w:pPr>
        <w:rPr>
          <w:rFonts w:ascii="Arial" w:hAnsi="Arial" w:cs="Arial"/>
          <w:color w:val="FF0000"/>
        </w:rPr>
      </w:pPr>
    </w:p>
    <w:p w:rsidR="002112EF" w:rsidRDefault="002112EF" w:rsidP="00552B49">
      <w:pPr>
        <w:tabs>
          <w:tab w:val="left" w:pos="924"/>
        </w:tabs>
        <w:spacing w:after="0"/>
        <w:rPr>
          <w:rFonts w:ascii="Arial" w:hAnsi="Arial" w:cs="Arial"/>
          <w:color w:val="FF0000"/>
        </w:rPr>
      </w:pPr>
    </w:p>
    <w:p w:rsidR="002112EF" w:rsidRDefault="002112EF" w:rsidP="00552B49">
      <w:pPr>
        <w:tabs>
          <w:tab w:val="left" w:pos="924"/>
        </w:tabs>
        <w:spacing w:after="0"/>
        <w:rPr>
          <w:rFonts w:ascii="Arial" w:hAnsi="Arial" w:cs="Arial"/>
          <w:color w:val="FF0000"/>
        </w:rPr>
      </w:pPr>
    </w:p>
    <w:p w:rsidR="002112EF" w:rsidRDefault="002112EF" w:rsidP="00552B49">
      <w:pPr>
        <w:tabs>
          <w:tab w:val="left" w:pos="924"/>
        </w:tabs>
        <w:spacing w:after="0"/>
      </w:pPr>
    </w:p>
    <w:p w:rsidR="00552B49" w:rsidRPr="00552B49" w:rsidRDefault="00552B49" w:rsidP="00552B49">
      <w:pPr>
        <w:tabs>
          <w:tab w:val="left" w:pos="924"/>
        </w:tabs>
        <w:spacing w:after="0"/>
        <w:rPr>
          <w:rFonts w:ascii="Arial" w:hAnsi="Arial" w:cs="Arial"/>
          <w:color w:val="FF0000"/>
        </w:rPr>
      </w:pPr>
    </w:p>
    <w:sectPr w:rsidR="00552B49" w:rsidRPr="00552B49" w:rsidSect="0015788A">
      <w:headerReference w:type="default" r:id="rId8"/>
      <w:pgSz w:w="15840" w:h="12240" w:orient="landscape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DAB" w:rsidRDefault="00445DAB" w:rsidP="004D5216">
      <w:pPr>
        <w:spacing w:after="0" w:line="240" w:lineRule="auto"/>
      </w:pPr>
      <w:r>
        <w:separator/>
      </w:r>
    </w:p>
  </w:endnote>
  <w:endnote w:type="continuationSeparator" w:id="0">
    <w:p w:rsidR="00445DAB" w:rsidRDefault="00445DAB" w:rsidP="004D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DAB" w:rsidRDefault="00445DAB" w:rsidP="004D5216">
      <w:pPr>
        <w:spacing w:after="0" w:line="240" w:lineRule="auto"/>
      </w:pPr>
      <w:r>
        <w:separator/>
      </w:r>
    </w:p>
  </w:footnote>
  <w:footnote w:type="continuationSeparator" w:id="0">
    <w:p w:rsidR="00445DAB" w:rsidRDefault="00445DAB" w:rsidP="004D5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8E1" w:rsidRDefault="002018E1" w:rsidP="00881F65">
    <w:pPr>
      <w:pStyle w:val="Header"/>
      <w:jc w:val="right"/>
    </w:pPr>
    <w:r>
      <w:t>Essex Powerlines Corporation</w:t>
    </w:r>
  </w:p>
  <w:p w:rsidR="002018E1" w:rsidRDefault="002018E1" w:rsidP="00881F65">
    <w:pPr>
      <w:pStyle w:val="Header"/>
      <w:jc w:val="right"/>
    </w:pPr>
    <w:r>
      <w:t>EB-2014-0072</w:t>
    </w:r>
  </w:p>
  <w:p w:rsidR="002018E1" w:rsidRDefault="002018E1" w:rsidP="00881F65">
    <w:pPr>
      <w:pStyle w:val="Header"/>
      <w:jc w:val="right"/>
    </w:pPr>
    <w:r>
      <w:t>EB-2014-0301</w:t>
    </w:r>
  </w:p>
  <w:p w:rsidR="002018E1" w:rsidRDefault="002018E1" w:rsidP="00881F65">
    <w:pPr>
      <w:pStyle w:val="Header"/>
      <w:jc w:val="right"/>
    </w:pPr>
    <w:r>
      <w:t>Board staff Interrogatories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28E1"/>
    <w:multiLevelType w:val="hybridMultilevel"/>
    <w:tmpl w:val="5022A4E8"/>
    <w:lvl w:ilvl="0" w:tplc="EED64A9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57237"/>
    <w:multiLevelType w:val="hybridMultilevel"/>
    <w:tmpl w:val="CEA2C292"/>
    <w:lvl w:ilvl="0" w:tplc="6AC0D4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7189"/>
    <w:multiLevelType w:val="hybridMultilevel"/>
    <w:tmpl w:val="83582A3A"/>
    <w:lvl w:ilvl="0" w:tplc="4D52AA1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21F4C"/>
    <w:multiLevelType w:val="hybridMultilevel"/>
    <w:tmpl w:val="704C8576"/>
    <w:lvl w:ilvl="0" w:tplc="89366D5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312B9"/>
    <w:multiLevelType w:val="hybridMultilevel"/>
    <w:tmpl w:val="C28ADE6E"/>
    <w:lvl w:ilvl="0" w:tplc="4FB6783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2387F"/>
    <w:multiLevelType w:val="hybridMultilevel"/>
    <w:tmpl w:val="5532DF1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170D2"/>
    <w:multiLevelType w:val="hybridMultilevel"/>
    <w:tmpl w:val="3508F454"/>
    <w:lvl w:ilvl="0" w:tplc="D5BC3CEA">
      <w:start w:val="1"/>
      <w:numFmt w:val="upperLetter"/>
      <w:lvlText w:val="(%1)"/>
      <w:lvlJc w:val="left"/>
      <w:pPr>
        <w:ind w:left="1080" w:hanging="72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D68E0"/>
    <w:multiLevelType w:val="hybridMultilevel"/>
    <w:tmpl w:val="413040E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12E3F"/>
    <w:multiLevelType w:val="hybridMultilevel"/>
    <w:tmpl w:val="68085596"/>
    <w:lvl w:ilvl="0" w:tplc="5BB218B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7150A"/>
    <w:multiLevelType w:val="hybridMultilevel"/>
    <w:tmpl w:val="2A7E78C8"/>
    <w:lvl w:ilvl="0" w:tplc="4910766A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10" w:hanging="360"/>
      </w:pPr>
    </w:lvl>
    <w:lvl w:ilvl="2" w:tplc="1009001B" w:tentative="1">
      <w:start w:val="1"/>
      <w:numFmt w:val="lowerRoman"/>
      <w:lvlText w:val="%3."/>
      <w:lvlJc w:val="right"/>
      <w:pPr>
        <w:ind w:left="2730" w:hanging="180"/>
      </w:pPr>
    </w:lvl>
    <w:lvl w:ilvl="3" w:tplc="1009000F" w:tentative="1">
      <w:start w:val="1"/>
      <w:numFmt w:val="decimal"/>
      <w:lvlText w:val="%4."/>
      <w:lvlJc w:val="left"/>
      <w:pPr>
        <w:ind w:left="3450" w:hanging="360"/>
      </w:pPr>
    </w:lvl>
    <w:lvl w:ilvl="4" w:tplc="10090019" w:tentative="1">
      <w:start w:val="1"/>
      <w:numFmt w:val="lowerLetter"/>
      <w:lvlText w:val="%5."/>
      <w:lvlJc w:val="left"/>
      <w:pPr>
        <w:ind w:left="4170" w:hanging="360"/>
      </w:pPr>
    </w:lvl>
    <w:lvl w:ilvl="5" w:tplc="1009001B" w:tentative="1">
      <w:start w:val="1"/>
      <w:numFmt w:val="lowerRoman"/>
      <w:lvlText w:val="%6."/>
      <w:lvlJc w:val="right"/>
      <w:pPr>
        <w:ind w:left="4890" w:hanging="180"/>
      </w:pPr>
    </w:lvl>
    <w:lvl w:ilvl="6" w:tplc="1009000F" w:tentative="1">
      <w:start w:val="1"/>
      <w:numFmt w:val="decimal"/>
      <w:lvlText w:val="%7."/>
      <w:lvlJc w:val="left"/>
      <w:pPr>
        <w:ind w:left="5610" w:hanging="360"/>
      </w:pPr>
    </w:lvl>
    <w:lvl w:ilvl="7" w:tplc="10090019" w:tentative="1">
      <w:start w:val="1"/>
      <w:numFmt w:val="lowerLetter"/>
      <w:lvlText w:val="%8."/>
      <w:lvlJc w:val="left"/>
      <w:pPr>
        <w:ind w:left="6330" w:hanging="360"/>
      </w:pPr>
    </w:lvl>
    <w:lvl w:ilvl="8" w:tplc="10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>
    <w:nsid w:val="312E7DA4"/>
    <w:multiLevelType w:val="hybridMultilevel"/>
    <w:tmpl w:val="3C18BFF4"/>
    <w:lvl w:ilvl="0" w:tplc="6C08F8B0">
      <w:start w:val="1"/>
      <w:numFmt w:val="upp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27AA0"/>
    <w:multiLevelType w:val="hybridMultilevel"/>
    <w:tmpl w:val="A794652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A5424"/>
    <w:multiLevelType w:val="hybridMultilevel"/>
    <w:tmpl w:val="92BCCF4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42C3E"/>
    <w:multiLevelType w:val="hybridMultilevel"/>
    <w:tmpl w:val="28525AD6"/>
    <w:lvl w:ilvl="0" w:tplc="0A06D0C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F6983"/>
    <w:multiLevelType w:val="hybridMultilevel"/>
    <w:tmpl w:val="8D78CCC2"/>
    <w:lvl w:ilvl="0" w:tplc="EB0A9C80">
      <w:start w:val="1"/>
      <w:numFmt w:val="upp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0505F"/>
    <w:multiLevelType w:val="hybridMultilevel"/>
    <w:tmpl w:val="BD982906"/>
    <w:lvl w:ilvl="0" w:tplc="4FB6783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80552"/>
    <w:multiLevelType w:val="hybridMultilevel"/>
    <w:tmpl w:val="23F265EC"/>
    <w:lvl w:ilvl="0" w:tplc="AD4607B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A2139"/>
    <w:multiLevelType w:val="hybridMultilevel"/>
    <w:tmpl w:val="E39A4464"/>
    <w:lvl w:ilvl="0" w:tplc="3EF00E7E">
      <w:start w:val="1"/>
      <w:numFmt w:val="upp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81AE2"/>
    <w:multiLevelType w:val="hybridMultilevel"/>
    <w:tmpl w:val="5A0E23A6"/>
    <w:lvl w:ilvl="0" w:tplc="81C4A34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068F4"/>
    <w:multiLevelType w:val="hybridMultilevel"/>
    <w:tmpl w:val="768EA796"/>
    <w:lvl w:ilvl="0" w:tplc="848EDA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0A45EA"/>
    <w:multiLevelType w:val="hybridMultilevel"/>
    <w:tmpl w:val="14C05F5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B6B0D"/>
    <w:multiLevelType w:val="hybridMultilevel"/>
    <w:tmpl w:val="413040E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9170F9"/>
    <w:multiLevelType w:val="hybridMultilevel"/>
    <w:tmpl w:val="96D03F58"/>
    <w:lvl w:ilvl="0" w:tplc="76680632">
      <w:start w:val="1"/>
      <w:numFmt w:val="upp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024D8D"/>
    <w:multiLevelType w:val="hybridMultilevel"/>
    <w:tmpl w:val="800CE094"/>
    <w:lvl w:ilvl="0" w:tplc="794CF696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10" w:hanging="360"/>
      </w:pPr>
    </w:lvl>
    <w:lvl w:ilvl="2" w:tplc="1009001B" w:tentative="1">
      <w:start w:val="1"/>
      <w:numFmt w:val="lowerRoman"/>
      <w:lvlText w:val="%3."/>
      <w:lvlJc w:val="right"/>
      <w:pPr>
        <w:ind w:left="2730" w:hanging="180"/>
      </w:pPr>
    </w:lvl>
    <w:lvl w:ilvl="3" w:tplc="1009000F" w:tentative="1">
      <w:start w:val="1"/>
      <w:numFmt w:val="decimal"/>
      <w:lvlText w:val="%4."/>
      <w:lvlJc w:val="left"/>
      <w:pPr>
        <w:ind w:left="3450" w:hanging="360"/>
      </w:pPr>
    </w:lvl>
    <w:lvl w:ilvl="4" w:tplc="10090019" w:tentative="1">
      <w:start w:val="1"/>
      <w:numFmt w:val="lowerLetter"/>
      <w:lvlText w:val="%5."/>
      <w:lvlJc w:val="left"/>
      <w:pPr>
        <w:ind w:left="4170" w:hanging="360"/>
      </w:pPr>
    </w:lvl>
    <w:lvl w:ilvl="5" w:tplc="1009001B" w:tentative="1">
      <w:start w:val="1"/>
      <w:numFmt w:val="lowerRoman"/>
      <w:lvlText w:val="%6."/>
      <w:lvlJc w:val="right"/>
      <w:pPr>
        <w:ind w:left="4890" w:hanging="180"/>
      </w:pPr>
    </w:lvl>
    <w:lvl w:ilvl="6" w:tplc="1009000F" w:tentative="1">
      <w:start w:val="1"/>
      <w:numFmt w:val="decimal"/>
      <w:lvlText w:val="%7."/>
      <w:lvlJc w:val="left"/>
      <w:pPr>
        <w:ind w:left="5610" w:hanging="360"/>
      </w:pPr>
    </w:lvl>
    <w:lvl w:ilvl="7" w:tplc="10090019" w:tentative="1">
      <w:start w:val="1"/>
      <w:numFmt w:val="lowerLetter"/>
      <w:lvlText w:val="%8."/>
      <w:lvlJc w:val="left"/>
      <w:pPr>
        <w:ind w:left="6330" w:hanging="360"/>
      </w:pPr>
    </w:lvl>
    <w:lvl w:ilvl="8" w:tplc="10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4">
    <w:nsid w:val="40A40E05"/>
    <w:multiLevelType w:val="hybridMultilevel"/>
    <w:tmpl w:val="E0F81B28"/>
    <w:lvl w:ilvl="0" w:tplc="E8E678B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E2334"/>
    <w:multiLevelType w:val="hybridMultilevel"/>
    <w:tmpl w:val="8F762A42"/>
    <w:lvl w:ilvl="0" w:tplc="101C3EC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F07E0A"/>
    <w:multiLevelType w:val="hybridMultilevel"/>
    <w:tmpl w:val="4B7E8D1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A05B0F"/>
    <w:multiLevelType w:val="hybridMultilevel"/>
    <w:tmpl w:val="952AFBC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D35F00"/>
    <w:multiLevelType w:val="hybridMultilevel"/>
    <w:tmpl w:val="7728C754"/>
    <w:lvl w:ilvl="0" w:tplc="E32E1B8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>
    <w:nsid w:val="4E9A23D0"/>
    <w:multiLevelType w:val="hybridMultilevel"/>
    <w:tmpl w:val="3122686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F40D2"/>
    <w:multiLevelType w:val="hybridMultilevel"/>
    <w:tmpl w:val="8D4AD3CA"/>
    <w:lvl w:ilvl="0" w:tplc="A582F6F0">
      <w:start w:val="1"/>
      <w:numFmt w:val="upp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F44551"/>
    <w:multiLevelType w:val="hybridMultilevel"/>
    <w:tmpl w:val="768EA796"/>
    <w:lvl w:ilvl="0" w:tplc="848EDA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5B15A5"/>
    <w:multiLevelType w:val="hybridMultilevel"/>
    <w:tmpl w:val="74AC894E"/>
    <w:lvl w:ilvl="0" w:tplc="C9EE56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50AA5"/>
    <w:multiLevelType w:val="hybridMultilevel"/>
    <w:tmpl w:val="9BFED6D8"/>
    <w:lvl w:ilvl="0" w:tplc="C0C02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2546D5"/>
    <w:multiLevelType w:val="hybridMultilevel"/>
    <w:tmpl w:val="61546A32"/>
    <w:lvl w:ilvl="0" w:tplc="5DE6C0D8">
      <w:start w:val="1"/>
      <w:numFmt w:val="upp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44E89"/>
    <w:multiLevelType w:val="hybridMultilevel"/>
    <w:tmpl w:val="D1728E44"/>
    <w:lvl w:ilvl="0" w:tplc="BA361F3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C77C45"/>
    <w:multiLevelType w:val="hybridMultilevel"/>
    <w:tmpl w:val="0B78559E"/>
    <w:lvl w:ilvl="0" w:tplc="207EDF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E7F03"/>
    <w:multiLevelType w:val="hybridMultilevel"/>
    <w:tmpl w:val="D960CDD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5B23FC"/>
    <w:multiLevelType w:val="hybridMultilevel"/>
    <w:tmpl w:val="9702B4C0"/>
    <w:lvl w:ilvl="0" w:tplc="F738E7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AB0634"/>
    <w:multiLevelType w:val="hybridMultilevel"/>
    <w:tmpl w:val="270692DE"/>
    <w:lvl w:ilvl="0" w:tplc="3BBAD94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38"/>
  </w:num>
  <w:num w:numId="4">
    <w:abstractNumId w:val="2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9"/>
  </w:num>
  <w:num w:numId="11">
    <w:abstractNumId w:val="25"/>
  </w:num>
  <w:num w:numId="12">
    <w:abstractNumId w:val="15"/>
  </w:num>
  <w:num w:numId="13">
    <w:abstractNumId w:val="36"/>
  </w:num>
  <w:num w:numId="14">
    <w:abstractNumId w:val="1"/>
  </w:num>
  <w:num w:numId="15">
    <w:abstractNumId w:val="18"/>
  </w:num>
  <w:num w:numId="16">
    <w:abstractNumId w:val="32"/>
  </w:num>
  <w:num w:numId="17">
    <w:abstractNumId w:val="35"/>
  </w:num>
  <w:num w:numId="18">
    <w:abstractNumId w:val="0"/>
  </w:num>
  <w:num w:numId="19">
    <w:abstractNumId w:val="27"/>
  </w:num>
  <w:num w:numId="20">
    <w:abstractNumId w:val="2"/>
  </w:num>
  <w:num w:numId="21">
    <w:abstractNumId w:val="10"/>
  </w:num>
  <w:num w:numId="22">
    <w:abstractNumId w:val="17"/>
  </w:num>
  <w:num w:numId="23">
    <w:abstractNumId w:val="34"/>
  </w:num>
  <w:num w:numId="24">
    <w:abstractNumId w:val="14"/>
  </w:num>
  <w:num w:numId="25">
    <w:abstractNumId w:val="23"/>
  </w:num>
  <w:num w:numId="26">
    <w:abstractNumId w:val="9"/>
  </w:num>
  <w:num w:numId="27">
    <w:abstractNumId w:val="26"/>
  </w:num>
  <w:num w:numId="28">
    <w:abstractNumId w:val="33"/>
  </w:num>
  <w:num w:numId="29">
    <w:abstractNumId w:val="37"/>
  </w:num>
  <w:num w:numId="30">
    <w:abstractNumId w:val="19"/>
  </w:num>
  <w:num w:numId="31">
    <w:abstractNumId w:val="4"/>
  </w:num>
  <w:num w:numId="32">
    <w:abstractNumId w:val="31"/>
  </w:num>
  <w:num w:numId="33">
    <w:abstractNumId w:val="21"/>
  </w:num>
  <w:num w:numId="34">
    <w:abstractNumId w:val="7"/>
  </w:num>
  <w:num w:numId="35">
    <w:abstractNumId w:val="20"/>
  </w:num>
  <w:num w:numId="36">
    <w:abstractNumId w:val="28"/>
  </w:num>
  <w:num w:numId="37">
    <w:abstractNumId w:val="29"/>
  </w:num>
  <w:num w:numId="38">
    <w:abstractNumId w:val="5"/>
  </w:num>
  <w:num w:numId="39">
    <w:abstractNumId w:val="11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16"/>
    <w:rsid w:val="000033D2"/>
    <w:rsid w:val="000164C1"/>
    <w:rsid w:val="00041D49"/>
    <w:rsid w:val="00043A39"/>
    <w:rsid w:val="000E1F8B"/>
    <w:rsid w:val="000E7BD3"/>
    <w:rsid w:val="000F128A"/>
    <w:rsid w:val="00127005"/>
    <w:rsid w:val="00140E13"/>
    <w:rsid w:val="0015788A"/>
    <w:rsid w:val="001804EA"/>
    <w:rsid w:val="00186694"/>
    <w:rsid w:val="00187C52"/>
    <w:rsid w:val="001E3048"/>
    <w:rsid w:val="002018E1"/>
    <w:rsid w:val="002112EF"/>
    <w:rsid w:val="00215CAA"/>
    <w:rsid w:val="0022420B"/>
    <w:rsid w:val="0025469B"/>
    <w:rsid w:val="002561CA"/>
    <w:rsid w:val="002564AD"/>
    <w:rsid w:val="002733CD"/>
    <w:rsid w:val="00293F93"/>
    <w:rsid w:val="002B74B6"/>
    <w:rsid w:val="002C64D0"/>
    <w:rsid w:val="002E24A5"/>
    <w:rsid w:val="002F1A33"/>
    <w:rsid w:val="00305545"/>
    <w:rsid w:val="00310573"/>
    <w:rsid w:val="003351A6"/>
    <w:rsid w:val="00337503"/>
    <w:rsid w:val="00342219"/>
    <w:rsid w:val="00391C57"/>
    <w:rsid w:val="003B2D04"/>
    <w:rsid w:val="003C3765"/>
    <w:rsid w:val="003C66A6"/>
    <w:rsid w:val="00412DC6"/>
    <w:rsid w:val="00445DAB"/>
    <w:rsid w:val="004655FA"/>
    <w:rsid w:val="004A536B"/>
    <w:rsid w:val="004D5216"/>
    <w:rsid w:val="004D6FE0"/>
    <w:rsid w:val="00502C19"/>
    <w:rsid w:val="005351BB"/>
    <w:rsid w:val="00552B49"/>
    <w:rsid w:val="00571063"/>
    <w:rsid w:val="00596C93"/>
    <w:rsid w:val="005A5381"/>
    <w:rsid w:val="005A61E8"/>
    <w:rsid w:val="005B2BE2"/>
    <w:rsid w:val="005C37B8"/>
    <w:rsid w:val="005E4B32"/>
    <w:rsid w:val="005F0C43"/>
    <w:rsid w:val="005F6604"/>
    <w:rsid w:val="0062351A"/>
    <w:rsid w:val="00641D8F"/>
    <w:rsid w:val="00670A0B"/>
    <w:rsid w:val="00671C64"/>
    <w:rsid w:val="006909F7"/>
    <w:rsid w:val="006D0CDF"/>
    <w:rsid w:val="006D72FB"/>
    <w:rsid w:val="006E3EA3"/>
    <w:rsid w:val="006E6342"/>
    <w:rsid w:val="006F7D23"/>
    <w:rsid w:val="007065C8"/>
    <w:rsid w:val="00721289"/>
    <w:rsid w:val="00721CC3"/>
    <w:rsid w:val="00745898"/>
    <w:rsid w:val="00746080"/>
    <w:rsid w:val="00756F39"/>
    <w:rsid w:val="00776F23"/>
    <w:rsid w:val="00793EC0"/>
    <w:rsid w:val="007C7F95"/>
    <w:rsid w:val="007D27C3"/>
    <w:rsid w:val="008021C4"/>
    <w:rsid w:val="00855535"/>
    <w:rsid w:val="008561FC"/>
    <w:rsid w:val="00873707"/>
    <w:rsid w:val="00873AD2"/>
    <w:rsid w:val="0088138B"/>
    <w:rsid w:val="00881F65"/>
    <w:rsid w:val="008A68C9"/>
    <w:rsid w:val="008D14C3"/>
    <w:rsid w:val="008F7196"/>
    <w:rsid w:val="00911ED5"/>
    <w:rsid w:val="00920311"/>
    <w:rsid w:val="00921827"/>
    <w:rsid w:val="0092231C"/>
    <w:rsid w:val="009373D8"/>
    <w:rsid w:val="009572E7"/>
    <w:rsid w:val="009A1965"/>
    <w:rsid w:val="009B174D"/>
    <w:rsid w:val="009D1640"/>
    <w:rsid w:val="009E2715"/>
    <w:rsid w:val="009E40F8"/>
    <w:rsid w:val="009F53CD"/>
    <w:rsid w:val="00A01263"/>
    <w:rsid w:val="00A021C9"/>
    <w:rsid w:val="00A13D08"/>
    <w:rsid w:val="00A51798"/>
    <w:rsid w:val="00A57D2E"/>
    <w:rsid w:val="00A72E38"/>
    <w:rsid w:val="00A76FE3"/>
    <w:rsid w:val="00AA06D9"/>
    <w:rsid w:val="00AA5993"/>
    <w:rsid w:val="00AB31D7"/>
    <w:rsid w:val="00AD3E95"/>
    <w:rsid w:val="00AE06CE"/>
    <w:rsid w:val="00AE53F7"/>
    <w:rsid w:val="00AF6A10"/>
    <w:rsid w:val="00B25576"/>
    <w:rsid w:val="00B2604C"/>
    <w:rsid w:val="00B517FE"/>
    <w:rsid w:val="00B6054C"/>
    <w:rsid w:val="00B76C86"/>
    <w:rsid w:val="00B76E78"/>
    <w:rsid w:val="00BC3E48"/>
    <w:rsid w:val="00BD170B"/>
    <w:rsid w:val="00BD58D7"/>
    <w:rsid w:val="00C02B9C"/>
    <w:rsid w:val="00C06B22"/>
    <w:rsid w:val="00C144BF"/>
    <w:rsid w:val="00C35E85"/>
    <w:rsid w:val="00C471D5"/>
    <w:rsid w:val="00C51A4B"/>
    <w:rsid w:val="00C527CB"/>
    <w:rsid w:val="00C63354"/>
    <w:rsid w:val="00C77846"/>
    <w:rsid w:val="00CC5B1C"/>
    <w:rsid w:val="00CD1FB9"/>
    <w:rsid w:val="00CD5109"/>
    <w:rsid w:val="00CF39F0"/>
    <w:rsid w:val="00D27265"/>
    <w:rsid w:val="00D5030D"/>
    <w:rsid w:val="00D75140"/>
    <w:rsid w:val="00D97F1F"/>
    <w:rsid w:val="00DA0277"/>
    <w:rsid w:val="00DA6D47"/>
    <w:rsid w:val="00DA7964"/>
    <w:rsid w:val="00DB54C9"/>
    <w:rsid w:val="00DC05DA"/>
    <w:rsid w:val="00DD2A66"/>
    <w:rsid w:val="00DD574E"/>
    <w:rsid w:val="00DF0548"/>
    <w:rsid w:val="00DF0AC9"/>
    <w:rsid w:val="00DF1B9C"/>
    <w:rsid w:val="00E03A25"/>
    <w:rsid w:val="00E03B70"/>
    <w:rsid w:val="00E06AF1"/>
    <w:rsid w:val="00E112C8"/>
    <w:rsid w:val="00E1239C"/>
    <w:rsid w:val="00E21957"/>
    <w:rsid w:val="00E3039E"/>
    <w:rsid w:val="00E542E4"/>
    <w:rsid w:val="00E67551"/>
    <w:rsid w:val="00E72E7A"/>
    <w:rsid w:val="00EA0919"/>
    <w:rsid w:val="00EA671C"/>
    <w:rsid w:val="00EB592A"/>
    <w:rsid w:val="00EC2674"/>
    <w:rsid w:val="00EE595C"/>
    <w:rsid w:val="00EE7FA0"/>
    <w:rsid w:val="00EF74AB"/>
    <w:rsid w:val="00F131E0"/>
    <w:rsid w:val="00F33866"/>
    <w:rsid w:val="00F37A23"/>
    <w:rsid w:val="00F410F7"/>
    <w:rsid w:val="00F43DD0"/>
    <w:rsid w:val="00F717C9"/>
    <w:rsid w:val="00FB611D"/>
    <w:rsid w:val="00FC4DF3"/>
    <w:rsid w:val="00FE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2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216"/>
  </w:style>
  <w:style w:type="paragraph" w:styleId="BalloonText">
    <w:name w:val="Balloon Text"/>
    <w:basedOn w:val="Normal"/>
    <w:link w:val="BalloonTextChar"/>
    <w:uiPriority w:val="99"/>
    <w:semiHidden/>
    <w:unhideWhenUsed/>
    <w:rsid w:val="004D5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21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D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216"/>
  </w:style>
  <w:style w:type="table" w:styleId="TableGrid">
    <w:name w:val="Table Grid"/>
    <w:basedOn w:val="TableNormal"/>
    <w:rsid w:val="00911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6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B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B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B2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E1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2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216"/>
  </w:style>
  <w:style w:type="paragraph" w:styleId="BalloonText">
    <w:name w:val="Balloon Text"/>
    <w:basedOn w:val="Normal"/>
    <w:link w:val="BalloonTextChar"/>
    <w:uiPriority w:val="99"/>
    <w:semiHidden/>
    <w:unhideWhenUsed/>
    <w:rsid w:val="004D5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21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D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216"/>
  </w:style>
  <w:style w:type="table" w:styleId="TableGrid">
    <w:name w:val="Table Grid"/>
    <w:basedOn w:val="TableNormal"/>
    <w:rsid w:val="00911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6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B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B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B2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E1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3340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Georgette Vlahos</dc:creator>
  <cp:lastModifiedBy>Michelle Soucie</cp:lastModifiedBy>
  <cp:revision>2</cp:revision>
  <cp:lastPrinted>2014-11-24T19:27:00Z</cp:lastPrinted>
  <dcterms:created xsi:type="dcterms:W3CDTF">2015-02-10T14:53:00Z</dcterms:created>
  <dcterms:modified xsi:type="dcterms:W3CDTF">2015-02-10T14:53:00Z</dcterms:modified>
</cp:coreProperties>
</file>