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34B4" w:rsidRPr="008034B4" w:rsidRDefault="008034B4" w:rsidP="00D36543">
      <w:pPr>
        <w:pStyle w:val="Header"/>
        <w:rPr>
          <w:b/>
          <w:u w:val="single"/>
        </w:rPr>
      </w:pPr>
      <w:bookmarkStart w:id="0" w:name="_GoBack"/>
      <w:bookmarkEnd w:id="0"/>
    </w:p>
    <w:p w:rsidR="008034B4" w:rsidRPr="00F123C9" w:rsidRDefault="008034B4" w:rsidP="00D36543"/>
    <w:p w:rsidR="008034B4" w:rsidRPr="00F123C9" w:rsidRDefault="008034B4" w:rsidP="00D36543"/>
    <w:p w:rsidR="008034B4" w:rsidRPr="00F123C9" w:rsidRDefault="008034B4" w:rsidP="00D36543"/>
    <w:p w:rsidR="008034B4" w:rsidRPr="008034B4" w:rsidRDefault="008034B4" w:rsidP="00D36543">
      <w:pPr>
        <w:jc w:val="center"/>
        <w:rPr>
          <w:sz w:val="36"/>
          <w:szCs w:val="36"/>
        </w:rPr>
      </w:pPr>
      <w:r w:rsidRPr="008034B4">
        <w:rPr>
          <w:sz w:val="36"/>
          <w:szCs w:val="36"/>
        </w:rPr>
        <w:t>EB-2014-0099</w:t>
      </w:r>
    </w:p>
    <w:p w:rsidR="008034B4" w:rsidRPr="008034B4" w:rsidRDefault="008034B4" w:rsidP="00D36543">
      <w:pPr>
        <w:rPr>
          <w:sz w:val="36"/>
          <w:szCs w:val="36"/>
        </w:rPr>
      </w:pPr>
    </w:p>
    <w:p w:rsidR="008034B4" w:rsidRPr="008034B4" w:rsidRDefault="008034B4" w:rsidP="00D36543">
      <w:pPr>
        <w:jc w:val="center"/>
        <w:rPr>
          <w:sz w:val="36"/>
          <w:szCs w:val="36"/>
        </w:rPr>
      </w:pPr>
      <w:r w:rsidRPr="008034B4">
        <w:rPr>
          <w:sz w:val="36"/>
          <w:szCs w:val="36"/>
        </w:rPr>
        <w:t>North Bay Hydro Distribution Ltd. (“North Bay Hydro”)</w:t>
      </w:r>
    </w:p>
    <w:p w:rsidR="008034B4" w:rsidRPr="008034B4" w:rsidRDefault="004B50FA" w:rsidP="00D36543">
      <w:pPr>
        <w:jc w:val="center"/>
        <w:rPr>
          <w:sz w:val="36"/>
          <w:szCs w:val="36"/>
        </w:rPr>
      </w:pPr>
      <w:r>
        <w:rPr>
          <w:sz w:val="36"/>
          <w:szCs w:val="36"/>
        </w:rPr>
        <w:t>Technical Conference Undertaking</w:t>
      </w:r>
      <w:r w:rsidR="00996678">
        <w:rPr>
          <w:sz w:val="36"/>
          <w:szCs w:val="36"/>
        </w:rPr>
        <w:t xml:space="preserve"> </w:t>
      </w:r>
      <w:r w:rsidR="008034B4" w:rsidRPr="008034B4">
        <w:rPr>
          <w:sz w:val="36"/>
          <w:szCs w:val="36"/>
        </w:rPr>
        <w:t>Responses</w:t>
      </w:r>
    </w:p>
    <w:p w:rsidR="008034B4" w:rsidRPr="008034B4" w:rsidRDefault="008034B4" w:rsidP="00D36543">
      <w:pPr>
        <w:rPr>
          <w:sz w:val="36"/>
          <w:szCs w:val="36"/>
        </w:rPr>
      </w:pPr>
    </w:p>
    <w:p w:rsidR="008034B4" w:rsidRPr="008034B4" w:rsidRDefault="004B50FA" w:rsidP="00D36543">
      <w:pPr>
        <w:jc w:val="center"/>
      </w:pPr>
      <w:r>
        <w:rPr>
          <w:sz w:val="36"/>
          <w:szCs w:val="36"/>
        </w:rPr>
        <w:t>May 13</w:t>
      </w:r>
      <w:r w:rsidR="008034B4" w:rsidRPr="008034B4">
        <w:rPr>
          <w:sz w:val="36"/>
          <w:szCs w:val="36"/>
        </w:rPr>
        <w:t>, 20</w:t>
      </w:r>
      <w:r w:rsidR="00E81050">
        <w:rPr>
          <w:sz w:val="36"/>
          <w:szCs w:val="36"/>
        </w:rPr>
        <w:t>15</w:t>
      </w:r>
    </w:p>
    <w:p w:rsidR="00DB5202" w:rsidRDefault="00DB5202" w:rsidP="00D36543">
      <w:pPr>
        <w:jc w:val="center"/>
        <w:sectPr w:rsidR="00DB5202" w:rsidSect="007B2AFB">
          <w:headerReference w:type="default" r:id="rId9"/>
          <w:pgSz w:w="12240" w:h="15840"/>
          <w:pgMar w:top="1440" w:right="1440" w:bottom="1440" w:left="1440" w:header="708" w:footer="708" w:gutter="0"/>
          <w:cols w:space="708"/>
          <w:titlePg/>
          <w:docGrid w:linePitch="360"/>
        </w:sectPr>
      </w:pPr>
    </w:p>
    <w:p w:rsidR="008034B4" w:rsidRPr="00F123C9" w:rsidRDefault="003C76B6" w:rsidP="00D36543">
      <w:pPr>
        <w:jc w:val="center"/>
        <w:rPr>
          <w:b/>
        </w:rPr>
      </w:pPr>
      <w:r>
        <w:rPr>
          <w:b/>
        </w:rPr>
        <w:lastRenderedPageBreak/>
        <w:t>INDEX</w:t>
      </w:r>
    </w:p>
    <w:p w:rsidR="00EF0E47" w:rsidRDefault="00EF0E47" w:rsidP="00D36543"/>
    <w:p w:rsidR="0047098D" w:rsidRDefault="0047098D">
      <w:pPr>
        <w:pStyle w:val="TOC1"/>
        <w:tabs>
          <w:tab w:val="right" w:leader="dot" w:pos="9350"/>
        </w:tabs>
        <w:rPr>
          <w:rFonts w:asciiTheme="minorHAnsi" w:eastAsiaTheme="minorEastAsia" w:hAnsiTheme="minorHAnsi"/>
          <w:noProof/>
          <w:sz w:val="22"/>
          <w:lang w:eastAsia="en-CA"/>
        </w:rPr>
      </w:pPr>
      <w:r>
        <w:fldChar w:fldCharType="begin"/>
      </w:r>
      <w:r>
        <w:instrText xml:space="preserve"> TOC \h \z \t "New TOC Heading,1" </w:instrText>
      </w:r>
      <w:r>
        <w:fldChar w:fldCharType="separate"/>
      </w:r>
      <w:hyperlink w:anchor="_Toc419299745" w:history="1">
        <w:r w:rsidRPr="006F011C">
          <w:rPr>
            <w:rStyle w:val="Hyperlink"/>
            <w:noProof/>
          </w:rPr>
          <w:t>Undertaking NO. JT1.1:</w:t>
        </w:r>
        <w:r>
          <w:rPr>
            <w:noProof/>
            <w:webHidden/>
          </w:rPr>
          <w:tab/>
        </w:r>
        <w:r>
          <w:rPr>
            <w:noProof/>
            <w:webHidden/>
          </w:rPr>
          <w:fldChar w:fldCharType="begin"/>
        </w:r>
        <w:r>
          <w:rPr>
            <w:noProof/>
            <w:webHidden/>
          </w:rPr>
          <w:instrText xml:space="preserve"> PAGEREF _Toc419299745 \h </w:instrText>
        </w:r>
        <w:r>
          <w:rPr>
            <w:noProof/>
            <w:webHidden/>
          </w:rPr>
        </w:r>
        <w:r>
          <w:rPr>
            <w:noProof/>
            <w:webHidden/>
          </w:rPr>
          <w:fldChar w:fldCharType="separate"/>
        </w:r>
        <w:r w:rsidR="00D52ED6">
          <w:rPr>
            <w:noProof/>
            <w:webHidden/>
          </w:rPr>
          <w:t>3</w:t>
        </w:r>
        <w:r>
          <w:rPr>
            <w:noProof/>
            <w:webHidden/>
          </w:rPr>
          <w:fldChar w:fldCharType="end"/>
        </w:r>
      </w:hyperlink>
    </w:p>
    <w:p w:rsidR="0047098D" w:rsidRDefault="00421DEB">
      <w:pPr>
        <w:pStyle w:val="TOC1"/>
        <w:tabs>
          <w:tab w:val="right" w:leader="dot" w:pos="9350"/>
        </w:tabs>
        <w:rPr>
          <w:rFonts w:asciiTheme="minorHAnsi" w:eastAsiaTheme="minorEastAsia" w:hAnsiTheme="minorHAnsi"/>
          <w:noProof/>
          <w:sz w:val="22"/>
          <w:lang w:eastAsia="en-CA"/>
        </w:rPr>
      </w:pPr>
      <w:hyperlink w:anchor="_Toc419299746" w:history="1">
        <w:r w:rsidR="0047098D" w:rsidRPr="006F011C">
          <w:rPr>
            <w:rStyle w:val="Hyperlink"/>
            <w:noProof/>
          </w:rPr>
          <w:t>Undertaking NO. JT1.2:</w:t>
        </w:r>
        <w:r w:rsidR="0047098D">
          <w:rPr>
            <w:noProof/>
            <w:webHidden/>
          </w:rPr>
          <w:tab/>
        </w:r>
        <w:r w:rsidR="0047098D">
          <w:rPr>
            <w:noProof/>
            <w:webHidden/>
          </w:rPr>
          <w:fldChar w:fldCharType="begin"/>
        </w:r>
        <w:r w:rsidR="0047098D">
          <w:rPr>
            <w:noProof/>
            <w:webHidden/>
          </w:rPr>
          <w:instrText xml:space="preserve"> PAGEREF _Toc419299746 \h </w:instrText>
        </w:r>
        <w:r w:rsidR="0047098D">
          <w:rPr>
            <w:noProof/>
            <w:webHidden/>
          </w:rPr>
        </w:r>
        <w:r w:rsidR="0047098D">
          <w:rPr>
            <w:noProof/>
            <w:webHidden/>
          </w:rPr>
          <w:fldChar w:fldCharType="separate"/>
        </w:r>
        <w:r w:rsidR="00D52ED6">
          <w:rPr>
            <w:noProof/>
            <w:webHidden/>
          </w:rPr>
          <w:t>5</w:t>
        </w:r>
        <w:r w:rsidR="0047098D">
          <w:rPr>
            <w:noProof/>
            <w:webHidden/>
          </w:rPr>
          <w:fldChar w:fldCharType="end"/>
        </w:r>
      </w:hyperlink>
    </w:p>
    <w:p w:rsidR="0047098D" w:rsidRDefault="00421DEB">
      <w:pPr>
        <w:pStyle w:val="TOC1"/>
        <w:tabs>
          <w:tab w:val="right" w:leader="dot" w:pos="9350"/>
        </w:tabs>
        <w:rPr>
          <w:rFonts w:asciiTheme="minorHAnsi" w:eastAsiaTheme="minorEastAsia" w:hAnsiTheme="minorHAnsi"/>
          <w:noProof/>
          <w:sz w:val="22"/>
          <w:lang w:eastAsia="en-CA"/>
        </w:rPr>
      </w:pPr>
      <w:hyperlink w:anchor="_Toc419299747" w:history="1">
        <w:r w:rsidR="0047098D" w:rsidRPr="006F011C">
          <w:rPr>
            <w:rStyle w:val="Hyperlink"/>
            <w:noProof/>
          </w:rPr>
          <w:t>Undertaking NO. JT1.3:</w:t>
        </w:r>
        <w:r w:rsidR="0047098D">
          <w:rPr>
            <w:noProof/>
            <w:webHidden/>
          </w:rPr>
          <w:tab/>
        </w:r>
        <w:r w:rsidR="0047098D">
          <w:rPr>
            <w:noProof/>
            <w:webHidden/>
          </w:rPr>
          <w:fldChar w:fldCharType="begin"/>
        </w:r>
        <w:r w:rsidR="0047098D">
          <w:rPr>
            <w:noProof/>
            <w:webHidden/>
          </w:rPr>
          <w:instrText xml:space="preserve"> PAGEREF _Toc419299747 \h </w:instrText>
        </w:r>
        <w:r w:rsidR="0047098D">
          <w:rPr>
            <w:noProof/>
            <w:webHidden/>
          </w:rPr>
        </w:r>
        <w:r w:rsidR="0047098D">
          <w:rPr>
            <w:noProof/>
            <w:webHidden/>
          </w:rPr>
          <w:fldChar w:fldCharType="separate"/>
        </w:r>
        <w:r w:rsidR="00D52ED6">
          <w:rPr>
            <w:noProof/>
            <w:webHidden/>
          </w:rPr>
          <w:t>7</w:t>
        </w:r>
        <w:r w:rsidR="0047098D">
          <w:rPr>
            <w:noProof/>
            <w:webHidden/>
          </w:rPr>
          <w:fldChar w:fldCharType="end"/>
        </w:r>
      </w:hyperlink>
    </w:p>
    <w:p w:rsidR="0047098D" w:rsidRDefault="00421DEB">
      <w:pPr>
        <w:pStyle w:val="TOC1"/>
        <w:tabs>
          <w:tab w:val="right" w:leader="dot" w:pos="9350"/>
        </w:tabs>
        <w:rPr>
          <w:rFonts w:asciiTheme="minorHAnsi" w:eastAsiaTheme="minorEastAsia" w:hAnsiTheme="minorHAnsi"/>
          <w:noProof/>
          <w:sz w:val="22"/>
          <w:lang w:eastAsia="en-CA"/>
        </w:rPr>
      </w:pPr>
      <w:hyperlink w:anchor="_Toc419299748" w:history="1">
        <w:r w:rsidR="0047098D" w:rsidRPr="006F011C">
          <w:rPr>
            <w:rStyle w:val="Hyperlink"/>
            <w:noProof/>
          </w:rPr>
          <w:t>Undertaking NO. JT1.4:</w:t>
        </w:r>
        <w:r w:rsidR="0047098D">
          <w:rPr>
            <w:noProof/>
            <w:webHidden/>
          </w:rPr>
          <w:tab/>
        </w:r>
        <w:r w:rsidR="0047098D">
          <w:rPr>
            <w:noProof/>
            <w:webHidden/>
          </w:rPr>
          <w:fldChar w:fldCharType="begin"/>
        </w:r>
        <w:r w:rsidR="0047098D">
          <w:rPr>
            <w:noProof/>
            <w:webHidden/>
          </w:rPr>
          <w:instrText xml:space="preserve"> PAGEREF _Toc419299748 \h </w:instrText>
        </w:r>
        <w:r w:rsidR="0047098D">
          <w:rPr>
            <w:noProof/>
            <w:webHidden/>
          </w:rPr>
        </w:r>
        <w:r w:rsidR="0047098D">
          <w:rPr>
            <w:noProof/>
            <w:webHidden/>
          </w:rPr>
          <w:fldChar w:fldCharType="separate"/>
        </w:r>
        <w:r w:rsidR="00D52ED6">
          <w:rPr>
            <w:noProof/>
            <w:webHidden/>
          </w:rPr>
          <w:t>8</w:t>
        </w:r>
        <w:r w:rsidR="0047098D">
          <w:rPr>
            <w:noProof/>
            <w:webHidden/>
          </w:rPr>
          <w:fldChar w:fldCharType="end"/>
        </w:r>
      </w:hyperlink>
    </w:p>
    <w:p w:rsidR="0047098D" w:rsidRDefault="00421DEB">
      <w:pPr>
        <w:pStyle w:val="TOC1"/>
        <w:tabs>
          <w:tab w:val="right" w:leader="dot" w:pos="9350"/>
        </w:tabs>
        <w:rPr>
          <w:rFonts w:asciiTheme="minorHAnsi" w:eastAsiaTheme="minorEastAsia" w:hAnsiTheme="minorHAnsi"/>
          <w:noProof/>
          <w:sz w:val="22"/>
          <w:lang w:eastAsia="en-CA"/>
        </w:rPr>
      </w:pPr>
      <w:hyperlink w:anchor="_Toc419299749" w:history="1">
        <w:r w:rsidR="0047098D" w:rsidRPr="006F011C">
          <w:rPr>
            <w:rStyle w:val="Hyperlink"/>
            <w:noProof/>
          </w:rPr>
          <w:t>Undertaking NO. JT1.5:</w:t>
        </w:r>
        <w:r w:rsidR="0047098D">
          <w:rPr>
            <w:noProof/>
            <w:webHidden/>
          </w:rPr>
          <w:tab/>
        </w:r>
        <w:r w:rsidR="0047098D">
          <w:rPr>
            <w:noProof/>
            <w:webHidden/>
          </w:rPr>
          <w:fldChar w:fldCharType="begin"/>
        </w:r>
        <w:r w:rsidR="0047098D">
          <w:rPr>
            <w:noProof/>
            <w:webHidden/>
          </w:rPr>
          <w:instrText xml:space="preserve"> PAGEREF _Toc419299749 \h </w:instrText>
        </w:r>
        <w:r w:rsidR="0047098D">
          <w:rPr>
            <w:noProof/>
            <w:webHidden/>
          </w:rPr>
        </w:r>
        <w:r w:rsidR="0047098D">
          <w:rPr>
            <w:noProof/>
            <w:webHidden/>
          </w:rPr>
          <w:fldChar w:fldCharType="separate"/>
        </w:r>
        <w:r w:rsidR="00D52ED6">
          <w:rPr>
            <w:noProof/>
            <w:webHidden/>
          </w:rPr>
          <w:t>9</w:t>
        </w:r>
        <w:r w:rsidR="0047098D">
          <w:rPr>
            <w:noProof/>
            <w:webHidden/>
          </w:rPr>
          <w:fldChar w:fldCharType="end"/>
        </w:r>
      </w:hyperlink>
    </w:p>
    <w:p w:rsidR="0047098D" w:rsidRDefault="00421DEB">
      <w:pPr>
        <w:pStyle w:val="TOC1"/>
        <w:tabs>
          <w:tab w:val="right" w:leader="dot" w:pos="9350"/>
        </w:tabs>
        <w:rPr>
          <w:rFonts w:asciiTheme="minorHAnsi" w:eastAsiaTheme="minorEastAsia" w:hAnsiTheme="minorHAnsi"/>
          <w:noProof/>
          <w:sz w:val="22"/>
          <w:lang w:eastAsia="en-CA"/>
        </w:rPr>
      </w:pPr>
      <w:hyperlink w:anchor="_Toc419299750" w:history="1">
        <w:r w:rsidR="0047098D" w:rsidRPr="006F011C">
          <w:rPr>
            <w:rStyle w:val="Hyperlink"/>
            <w:noProof/>
          </w:rPr>
          <w:t>Undertaking NO. JT1.6:</w:t>
        </w:r>
        <w:r w:rsidR="0047098D">
          <w:rPr>
            <w:noProof/>
            <w:webHidden/>
          </w:rPr>
          <w:tab/>
        </w:r>
        <w:r w:rsidR="0047098D">
          <w:rPr>
            <w:noProof/>
            <w:webHidden/>
          </w:rPr>
          <w:fldChar w:fldCharType="begin"/>
        </w:r>
        <w:r w:rsidR="0047098D">
          <w:rPr>
            <w:noProof/>
            <w:webHidden/>
          </w:rPr>
          <w:instrText xml:space="preserve"> PAGEREF _Toc419299750 \h </w:instrText>
        </w:r>
        <w:r w:rsidR="0047098D">
          <w:rPr>
            <w:noProof/>
            <w:webHidden/>
          </w:rPr>
        </w:r>
        <w:r w:rsidR="0047098D">
          <w:rPr>
            <w:noProof/>
            <w:webHidden/>
          </w:rPr>
          <w:fldChar w:fldCharType="separate"/>
        </w:r>
        <w:r w:rsidR="00D52ED6">
          <w:rPr>
            <w:noProof/>
            <w:webHidden/>
          </w:rPr>
          <w:t>13</w:t>
        </w:r>
        <w:r w:rsidR="0047098D">
          <w:rPr>
            <w:noProof/>
            <w:webHidden/>
          </w:rPr>
          <w:fldChar w:fldCharType="end"/>
        </w:r>
      </w:hyperlink>
    </w:p>
    <w:p w:rsidR="0047098D" w:rsidRDefault="00421DEB">
      <w:pPr>
        <w:pStyle w:val="TOC1"/>
        <w:tabs>
          <w:tab w:val="right" w:leader="dot" w:pos="9350"/>
        </w:tabs>
        <w:rPr>
          <w:rFonts w:asciiTheme="minorHAnsi" w:eastAsiaTheme="minorEastAsia" w:hAnsiTheme="minorHAnsi"/>
          <w:noProof/>
          <w:sz w:val="22"/>
          <w:lang w:eastAsia="en-CA"/>
        </w:rPr>
      </w:pPr>
      <w:hyperlink w:anchor="_Toc419299751" w:history="1">
        <w:r w:rsidR="0047098D" w:rsidRPr="006F011C">
          <w:rPr>
            <w:rStyle w:val="Hyperlink"/>
            <w:noProof/>
          </w:rPr>
          <w:t>Undertaking NO. JT1.7:</w:t>
        </w:r>
        <w:r w:rsidR="0047098D">
          <w:rPr>
            <w:noProof/>
            <w:webHidden/>
          </w:rPr>
          <w:tab/>
        </w:r>
        <w:r w:rsidR="0047098D">
          <w:rPr>
            <w:noProof/>
            <w:webHidden/>
          </w:rPr>
          <w:fldChar w:fldCharType="begin"/>
        </w:r>
        <w:r w:rsidR="0047098D">
          <w:rPr>
            <w:noProof/>
            <w:webHidden/>
          </w:rPr>
          <w:instrText xml:space="preserve"> PAGEREF _Toc419299751 \h </w:instrText>
        </w:r>
        <w:r w:rsidR="0047098D">
          <w:rPr>
            <w:noProof/>
            <w:webHidden/>
          </w:rPr>
        </w:r>
        <w:r w:rsidR="0047098D">
          <w:rPr>
            <w:noProof/>
            <w:webHidden/>
          </w:rPr>
          <w:fldChar w:fldCharType="separate"/>
        </w:r>
        <w:r w:rsidR="00D52ED6">
          <w:rPr>
            <w:noProof/>
            <w:webHidden/>
          </w:rPr>
          <w:t>14</w:t>
        </w:r>
        <w:r w:rsidR="0047098D">
          <w:rPr>
            <w:noProof/>
            <w:webHidden/>
          </w:rPr>
          <w:fldChar w:fldCharType="end"/>
        </w:r>
      </w:hyperlink>
    </w:p>
    <w:p w:rsidR="0047098D" w:rsidRDefault="00421DEB">
      <w:pPr>
        <w:pStyle w:val="TOC1"/>
        <w:tabs>
          <w:tab w:val="right" w:leader="dot" w:pos="9350"/>
        </w:tabs>
        <w:rPr>
          <w:rFonts w:asciiTheme="minorHAnsi" w:eastAsiaTheme="minorEastAsia" w:hAnsiTheme="minorHAnsi"/>
          <w:noProof/>
          <w:sz w:val="22"/>
          <w:lang w:eastAsia="en-CA"/>
        </w:rPr>
      </w:pPr>
      <w:hyperlink w:anchor="_Toc419299752" w:history="1">
        <w:r w:rsidR="0047098D" w:rsidRPr="006F011C">
          <w:rPr>
            <w:rStyle w:val="Hyperlink"/>
            <w:noProof/>
          </w:rPr>
          <w:t>Undertaking NO. JT1.8:</w:t>
        </w:r>
        <w:r w:rsidR="0047098D">
          <w:rPr>
            <w:noProof/>
            <w:webHidden/>
          </w:rPr>
          <w:tab/>
        </w:r>
        <w:r w:rsidR="0047098D">
          <w:rPr>
            <w:noProof/>
            <w:webHidden/>
          </w:rPr>
          <w:fldChar w:fldCharType="begin"/>
        </w:r>
        <w:r w:rsidR="0047098D">
          <w:rPr>
            <w:noProof/>
            <w:webHidden/>
          </w:rPr>
          <w:instrText xml:space="preserve"> PAGEREF _Toc419299752 \h </w:instrText>
        </w:r>
        <w:r w:rsidR="0047098D">
          <w:rPr>
            <w:noProof/>
            <w:webHidden/>
          </w:rPr>
        </w:r>
        <w:r w:rsidR="0047098D">
          <w:rPr>
            <w:noProof/>
            <w:webHidden/>
          </w:rPr>
          <w:fldChar w:fldCharType="separate"/>
        </w:r>
        <w:r w:rsidR="00D52ED6">
          <w:rPr>
            <w:noProof/>
            <w:webHidden/>
          </w:rPr>
          <w:t>16</w:t>
        </w:r>
        <w:r w:rsidR="0047098D">
          <w:rPr>
            <w:noProof/>
            <w:webHidden/>
          </w:rPr>
          <w:fldChar w:fldCharType="end"/>
        </w:r>
      </w:hyperlink>
    </w:p>
    <w:p w:rsidR="0047098D" w:rsidRDefault="00421DEB">
      <w:pPr>
        <w:pStyle w:val="TOC1"/>
        <w:tabs>
          <w:tab w:val="right" w:leader="dot" w:pos="9350"/>
        </w:tabs>
        <w:rPr>
          <w:rFonts w:asciiTheme="minorHAnsi" w:eastAsiaTheme="minorEastAsia" w:hAnsiTheme="minorHAnsi"/>
          <w:noProof/>
          <w:sz w:val="22"/>
          <w:lang w:eastAsia="en-CA"/>
        </w:rPr>
      </w:pPr>
      <w:hyperlink w:anchor="_Toc419299753" w:history="1">
        <w:r w:rsidR="0047098D" w:rsidRPr="006F011C">
          <w:rPr>
            <w:rStyle w:val="Hyperlink"/>
            <w:noProof/>
          </w:rPr>
          <w:t>Undertaking NO. JT1.9:</w:t>
        </w:r>
        <w:r w:rsidR="00553D93">
          <w:rPr>
            <w:rStyle w:val="Hyperlink"/>
            <w:noProof/>
          </w:rPr>
          <w:t>.</w:t>
        </w:r>
        <w:r w:rsidR="0047098D">
          <w:rPr>
            <w:noProof/>
            <w:webHidden/>
          </w:rPr>
          <w:tab/>
        </w:r>
        <w:r w:rsidR="0047098D">
          <w:rPr>
            <w:noProof/>
            <w:webHidden/>
          </w:rPr>
          <w:fldChar w:fldCharType="begin"/>
        </w:r>
        <w:r w:rsidR="0047098D">
          <w:rPr>
            <w:noProof/>
            <w:webHidden/>
          </w:rPr>
          <w:instrText xml:space="preserve"> PAGEREF _Toc419299753 \h </w:instrText>
        </w:r>
        <w:r w:rsidR="0047098D">
          <w:rPr>
            <w:noProof/>
            <w:webHidden/>
          </w:rPr>
        </w:r>
        <w:r w:rsidR="0047098D">
          <w:rPr>
            <w:noProof/>
            <w:webHidden/>
          </w:rPr>
          <w:fldChar w:fldCharType="separate"/>
        </w:r>
        <w:r w:rsidR="00D52ED6">
          <w:rPr>
            <w:noProof/>
            <w:webHidden/>
          </w:rPr>
          <w:t>18</w:t>
        </w:r>
        <w:r w:rsidR="0047098D">
          <w:rPr>
            <w:noProof/>
            <w:webHidden/>
          </w:rPr>
          <w:fldChar w:fldCharType="end"/>
        </w:r>
      </w:hyperlink>
    </w:p>
    <w:p w:rsidR="0047098D" w:rsidRDefault="00421DEB">
      <w:pPr>
        <w:pStyle w:val="TOC1"/>
        <w:tabs>
          <w:tab w:val="right" w:leader="dot" w:pos="9350"/>
        </w:tabs>
        <w:rPr>
          <w:rFonts w:asciiTheme="minorHAnsi" w:eastAsiaTheme="minorEastAsia" w:hAnsiTheme="minorHAnsi"/>
          <w:noProof/>
          <w:sz w:val="22"/>
          <w:lang w:eastAsia="en-CA"/>
        </w:rPr>
      </w:pPr>
      <w:hyperlink w:anchor="_Toc419299754" w:history="1">
        <w:r w:rsidR="0047098D" w:rsidRPr="006F011C">
          <w:rPr>
            <w:rStyle w:val="Hyperlink"/>
            <w:noProof/>
          </w:rPr>
          <w:t>Undertaking NO. JT1.10:</w:t>
        </w:r>
        <w:r w:rsidR="0047098D">
          <w:rPr>
            <w:noProof/>
            <w:webHidden/>
          </w:rPr>
          <w:tab/>
        </w:r>
        <w:r w:rsidR="0047098D">
          <w:rPr>
            <w:noProof/>
            <w:webHidden/>
          </w:rPr>
          <w:fldChar w:fldCharType="begin"/>
        </w:r>
        <w:r w:rsidR="0047098D">
          <w:rPr>
            <w:noProof/>
            <w:webHidden/>
          </w:rPr>
          <w:instrText xml:space="preserve"> PAGEREF _Toc419299754 \h </w:instrText>
        </w:r>
        <w:r w:rsidR="0047098D">
          <w:rPr>
            <w:noProof/>
            <w:webHidden/>
          </w:rPr>
        </w:r>
        <w:r w:rsidR="0047098D">
          <w:rPr>
            <w:noProof/>
            <w:webHidden/>
          </w:rPr>
          <w:fldChar w:fldCharType="separate"/>
        </w:r>
        <w:r w:rsidR="00D52ED6">
          <w:rPr>
            <w:noProof/>
            <w:webHidden/>
          </w:rPr>
          <w:t>19</w:t>
        </w:r>
        <w:r w:rsidR="0047098D">
          <w:rPr>
            <w:noProof/>
            <w:webHidden/>
          </w:rPr>
          <w:fldChar w:fldCharType="end"/>
        </w:r>
      </w:hyperlink>
    </w:p>
    <w:p w:rsidR="0047098D" w:rsidRDefault="00421DEB">
      <w:pPr>
        <w:pStyle w:val="TOC1"/>
        <w:tabs>
          <w:tab w:val="right" w:leader="dot" w:pos="9350"/>
        </w:tabs>
        <w:rPr>
          <w:rFonts w:asciiTheme="minorHAnsi" w:eastAsiaTheme="minorEastAsia" w:hAnsiTheme="minorHAnsi"/>
          <w:noProof/>
          <w:sz w:val="22"/>
          <w:lang w:eastAsia="en-CA"/>
        </w:rPr>
      </w:pPr>
      <w:hyperlink w:anchor="_Toc419299755" w:history="1">
        <w:r w:rsidR="0047098D" w:rsidRPr="006F011C">
          <w:rPr>
            <w:rStyle w:val="Hyperlink"/>
            <w:noProof/>
          </w:rPr>
          <w:t>Undertaking NO. JT1.11:</w:t>
        </w:r>
        <w:r w:rsidR="0047098D">
          <w:rPr>
            <w:noProof/>
            <w:webHidden/>
          </w:rPr>
          <w:tab/>
        </w:r>
        <w:r w:rsidR="0047098D">
          <w:rPr>
            <w:noProof/>
            <w:webHidden/>
          </w:rPr>
          <w:fldChar w:fldCharType="begin"/>
        </w:r>
        <w:r w:rsidR="0047098D">
          <w:rPr>
            <w:noProof/>
            <w:webHidden/>
          </w:rPr>
          <w:instrText xml:space="preserve"> PAGEREF _Toc419299755 \h </w:instrText>
        </w:r>
        <w:r w:rsidR="0047098D">
          <w:rPr>
            <w:noProof/>
            <w:webHidden/>
          </w:rPr>
        </w:r>
        <w:r w:rsidR="0047098D">
          <w:rPr>
            <w:noProof/>
            <w:webHidden/>
          </w:rPr>
          <w:fldChar w:fldCharType="separate"/>
        </w:r>
        <w:r w:rsidR="00D52ED6">
          <w:rPr>
            <w:noProof/>
            <w:webHidden/>
          </w:rPr>
          <w:t>20</w:t>
        </w:r>
        <w:r w:rsidR="0047098D">
          <w:rPr>
            <w:noProof/>
            <w:webHidden/>
          </w:rPr>
          <w:fldChar w:fldCharType="end"/>
        </w:r>
      </w:hyperlink>
    </w:p>
    <w:p w:rsidR="0047098D" w:rsidRDefault="00421DEB">
      <w:pPr>
        <w:pStyle w:val="TOC1"/>
        <w:tabs>
          <w:tab w:val="right" w:leader="dot" w:pos="9350"/>
        </w:tabs>
        <w:rPr>
          <w:rFonts w:asciiTheme="minorHAnsi" w:eastAsiaTheme="minorEastAsia" w:hAnsiTheme="minorHAnsi"/>
          <w:noProof/>
          <w:sz w:val="22"/>
          <w:lang w:eastAsia="en-CA"/>
        </w:rPr>
      </w:pPr>
      <w:hyperlink w:anchor="_Toc419299756" w:history="1">
        <w:r w:rsidR="0047098D" w:rsidRPr="006F011C">
          <w:rPr>
            <w:rStyle w:val="Hyperlink"/>
            <w:noProof/>
          </w:rPr>
          <w:t>Undertaking NO. JT1.12:</w:t>
        </w:r>
        <w:r w:rsidR="0047098D">
          <w:rPr>
            <w:noProof/>
            <w:webHidden/>
          </w:rPr>
          <w:tab/>
        </w:r>
        <w:r w:rsidR="0047098D">
          <w:rPr>
            <w:noProof/>
            <w:webHidden/>
          </w:rPr>
          <w:fldChar w:fldCharType="begin"/>
        </w:r>
        <w:r w:rsidR="0047098D">
          <w:rPr>
            <w:noProof/>
            <w:webHidden/>
          </w:rPr>
          <w:instrText xml:space="preserve"> PAGEREF _Toc419299756 \h </w:instrText>
        </w:r>
        <w:r w:rsidR="0047098D">
          <w:rPr>
            <w:noProof/>
            <w:webHidden/>
          </w:rPr>
        </w:r>
        <w:r w:rsidR="0047098D">
          <w:rPr>
            <w:noProof/>
            <w:webHidden/>
          </w:rPr>
          <w:fldChar w:fldCharType="separate"/>
        </w:r>
        <w:r w:rsidR="00D52ED6">
          <w:rPr>
            <w:noProof/>
            <w:webHidden/>
          </w:rPr>
          <w:t>21</w:t>
        </w:r>
        <w:r w:rsidR="0047098D">
          <w:rPr>
            <w:noProof/>
            <w:webHidden/>
          </w:rPr>
          <w:fldChar w:fldCharType="end"/>
        </w:r>
      </w:hyperlink>
    </w:p>
    <w:p w:rsidR="0047098D" w:rsidRDefault="00421DEB">
      <w:pPr>
        <w:pStyle w:val="TOC1"/>
        <w:tabs>
          <w:tab w:val="right" w:leader="dot" w:pos="9350"/>
        </w:tabs>
        <w:rPr>
          <w:rFonts w:asciiTheme="minorHAnsi" w:eastAsiaTheme="minorEastAsia" w:hAnsiTheme="minorHAnsi"/>
          <w:noProof/>
          <w:sz w:val="22"/>
          <w:lang w:eastAsia="en-CA"/>
        </w:rPr>
      </w:pPr>
      <w:hyperlink w:anchor="_Toc419299757" w:history="1">
        <w:r w:rsidR="0047098D" w:rsidRPr="006F011C">
          <w:rPr>
            <w:rStyle w:val="Hyperlink"/>
            <w:noProof/>
          </w:rPr>
          <w:t>Undertaking NO. JT1.13:</w:t>
        </w:r>
        <w:r w:rsidR="0047098D">
          <w:rPr>
            <w:noProof/>
            <w:webHidden/>
          </w:rPr>
          <w:tab/>
        </w:r>
        <w:r w:rsidR="0047098D">
          <w:rPr>
            <w:noProof/>
            <w:webHidden/>
          </w:rPr>
          <w:fldChar w:fldCharType="begin"/>
        </w:r>
        <w:r w:rsidR="0047098D">
          <w:rPr>
            <w:noProof/>
            <w:webHidden/>
          </w:rPr>
          <w:instrText xml:space="preserve"> PAGEREF _Toc419299757 \h </w:instrText>
        </w:r>
        <w:r w:rsidR="0047098D">
          <w:rPr>
            <w:noProof/>
            <w:webHidden/>
          </w:rPr>
        </w:r>
        <w:r w:rsidR="0047098D">
          <w:rPr>
            <w:noProof/>
            <w:webHidden/>
          </w:rPr>
          <w:fldChar w:fldCharType="separate"/>
        </w:r>
        <w:r w:rsidR="00D52ED6">
          <w:rPr>
            <w:noProof/>
            <w:webHidden/>
          </w:rPr>
          <w:t>22</w:t>
        </w:r>
        <w:r w:rsidR="0047098D">
          <w:rPr>
            <w:noProof/>
            <w:webHidden/>
          </w:rPr>
          <w:fldChar w:fldCharType="end"/>
        </w:r>
      </w:hyperlink>
    </w:p>
    <w:p w:rsidR="0047098D" w:rsidRDefault="00421DEB">
      <w:pPr>
        <w:pStyle w:val="TOC1"/>
        <w:tabs>
          <w:tab w:val="right" w:leader="dot" w:pos="9350"/>
        </w:tabs>
        <w:rPr>
          <w:rFonts w:asciiTheme="minorHAnsi" w:eastAsiaTheme="minorEastAsia" w:hAnsiTheme="minorHAnsi"/>
          <w:noProof/>
          <w:sz w:val="22"/>
          <w:lang w:eastAsia="en-CA"/>
        </w:rPr>
      </w:pPr>
      <w:hyperlink w:anchor="_Toc419299758" w:history="1">
        <w:r w:rsidR="0047098D" w:rsidRPr="006F011C">
          <w:rPr>
            <w:rStyle w:val="Hyperlink"/>
            <w:noProof/>
          </w:rPr>
          <w:t>Undertaking NO. JT1.14:</w:t>
        </w:r>
        <w:r w:rsidR="0047098D">
          <w:rPr>
            <w:noProof/>
            <w:webHidden/>
          </w:rPr>
          <w:tab/>
        </w:r>
        <w:r w:rsidR="0047098D">
          <w:rPr>
            <w:noProof/>
            <w:webHidden/>
          </w:rPr>
          <w:fldChar w:fldCharType="begin"/>
        </w:r>
        <w:r w:rsidR="0047098D">
          <w:rPr>
            <w:noProof/>
            <w:webHidden/>
          </w:rPr>
          <w:instrText xml:space="preserve"> PAGEREF _Toc419299758 \h </w:instrText>
        </w:r>
        <w:r w:rsidR="0047098D">
          <w:rPr>
            <w:noProof/>
            <w:webHidden/>
          </w:rPr>
        </w:r>
        <w:r w:rsidR="0047098D">
          <w:rPr>
            <w:noProof/>
            <w:webHidden/>
          </w:rPr>
          <w:fldChar w:fldCharType="separate"/>
        </w:r>
        <w:r w:rsidR="00D52ED6">
          <w:rPr>
            <w:noProof/>
            <w:webHidden/>
          </w:rPr>
          <w:t>26</w:t>
        </w:r>
        <w:r w:rsidR="0047098D">
          <w:rPr>
            <w:noProof/>
            <w:webHidden/>
          </w:rPr>
          <w:fldChar w:fldCharType="end"/>
        </w:r>
      </w:hyperlink>
    </w:p>
    <w:p w:rsidR="0047098D" w:rsidRDefault="00421DEB">
      <w:pPr>
        <w:pStyle w:val="TOC1"/>
        <w:tabs>
          <w:tab w:val="right" w:leader="dot" w:pos="9350"/>
        </w:tabs>
        <w:rPr>
          <w:rFonts w:asciiTheme="minorHAnsi" w:eastAsiaTheme="minorEastAsia" w:hAnsiTheme="minorHAnsi"/>
          <w:noProof/>
          <w:sz w:val="22"/>
          <w:lang w:eastAsia="en-CA"/>
        </w:rPr>
      </w:pPr>
      <w:hyperlink w:anchor="_Toc419299759" w:history="1">
        <w:r w:rsidR="0047098D" w:rsidRPr="006F011C">
          <w:rPr>
            <w:rStyle w:val="Hyperlink"/>
            <w:noProof/>
          </w:rPr>
          <w:t>Undertaking NO. JT1.15:</w:t>
        </w:r>
        <w:r w:rsidR="0047098D">
          <w:rPr>
            <w:noProof/>
            <w:webHidden/>
          </w:rPr>
          <w:tab/>
        </w:r>
        <w:r w:rsidR="0047098D">
          <w:rPr>
            <w:noProof/>
            <w:webHidden/>
          </w:rPr>
          <w:fldChar w:fldCharType="begin"/>
        </w:r>
        <w:r w:rsidR="0047098D">
          <w:rPr>
            <w:noProof/>
            <w:webHidden/>
          </w:rPr>
          <w:instrText xml:space="preserve"> PAGEREF _Toc419299759 \h </w:instrText>
        </w:r>
        <w:r w:rsidR="0047098D">
          <w:rPr>
            <w:noProof/>
            <w:webHidden/>
          </w:rPr>
        </w:r>
        <w:r w:rsidR="0047098D">
          <w:rPr>
            <w:noProof/>
            <w:webHidden/>
          </w:rPr>
          <w:fldChar w:fldCharType="separate"/>
        </w:r>
        <w:r w:rsidR="00D52ED6">
          <w:rPr>
            <w:noProof/>
            <w:webHidden/>
          </w:rPr>
          <w:t>27</w:t>
        </w:r>
        <w:r w:rsidR="0047098D">
          <w:rPr>
            <w:noProof/>
            <w:webHidden/>
          </w:rPr>
          <w:fldChar w:fldCharType="end"/>
        </w:r>
      </w:hyperlink>
    </w:p>
    <w:p w:rsidR="0047098D" w:rsidRDefault="00421DEB">
      <w:pPr>
        <w:pStyle w:val="TOC1"/>
        <w:tabs>
          <w:tab w:val="right" w:leader="dot" w:pos="9350"/>
        </w:tabs>
        <w:rPr>
          <w:rFonts w:asciiTheme="minorHAnsi" w:eastAsiaTheme="minorEastAsia" w:hAnsiTheme="minorHAnsi"/>
          <w:noProof/>
          <w:sz w:val="22"/>
          <w:lang w:eastAsia="en-CA"/>
        </w:rPr>
      </w:pPr>
      <w:hyperlink w:anchor="_Toc419299760" w:history="1">
        <w:r w:rsidR="0047098D" w:rsidRPr="006F011C">
          <w:rPr>
            <w:rStyle w:val="Hyperlink"/>
            <w:noProof/>
          </w:rPr>
          <w:t>Undertaking NO. JT1.16:</w:t>
        </w:r>
        <w:r w:rsidR="0047098D">
          <w:rPr>
            <w:noProof/>
            <w:webHidden/>
          </w:rPr>
          <w:tab/>
        </w:r>
        <w:r w:rsidR="0047098D">
          <w:rPr>
            <w:noProof/>
            <w:webHidden/>
          </w:rPr>
          <w:fldChar w:fldCharType="begin"/>
        </w:r>
        <w:r w:rsidR="0047098D">
          <w:rPr>
            <w:noProof/>
            <w:webHidden/>
          </w:rPr>
          <w:instrText xml:space="preserve"> PAGEREF _Toc419299760 \h </w:instrText>
        </w:r>
        <w:r w:rsidR="0047098D">
          <w:rPr>
            <w:noProof/>
            <w:webHidden/>
          </w:rPr>
        </w:r>
        <w:r w:rsidR="0047098D">
          <w:rPr>
            <w:noProof/>
            <w:webHidden/>
          </w:rPr>
          <w:fldChar w:fldCharType="separate"/>
        </w:r>
        <w:r w:rsidR="00D52ED6">
          <w:rPr>
            <w:noProof/>
            <w:webHidden/>
          </w:rPr>
          <w:t>29</w:t>
        </w:r>
        <w:r w:rsidR="0047098D">
          <w:rPr>
            <w:noProof/>
            <w:webHidden/>
          </w:rPr>
          <w:fldChar w:fldCharType="end"/>
        </w:r>
      </w:hyperlink>
    </w:p>
    <w:p w:rsidR="0047098D" w:rsidRDefault="00421DEB">
      <w:pPr>
        <w:pStyle w:val="TOC1"/>
        <w:tabs>
          <w:tab w:val="right" w:leader="dot" w:pos="9350"/>
        </w:tabs>
        <w:rPr>
          <w:rFonts w:asciiTheme="minorHAnsi" w:eastAsiaTheme="minorEastAsia" w:hAnsiTheme="minorHAnsi"/>
          <w:noProof/>
          <w:sz w:val="22"/>
          <w:lang w:eastAsia="en-CA"/>
        </w:rPr>
      </w:pPr>
      <w:hyperlink w:anchor="_Toc419299761" w:history="1">
        <w:r w:rsidR="0047098D" w:rsidRPr="006F011C">
          <w:rPr>
            <w:rStyle w:val="Hyperlink"/>
            <w:noProof/>
          </w:rPr>
          <w:t>Undertaking NO. JT1.17:</w:t>
        </w:r>
        <w:r w:rsidR="0047098D">
          <w:rPr>
            <w:noProof/>
            <w:webHidden/>
          </w:rPr>
          <w:tab/>
        </w:r>
        <w:r w:rsidR="0047098D">
          <w:rPr>
            <w:noProof/>
            <w:webHidden/>
          </w:rPr>
          <w:fldChar w:fldCharType="begin"/>
        </w:r>
        <w:r w:rsidR="0047098D">
          <w:rPr>
            <w:noProof/>
            <w:webHidden/>
          </w:rPr>
          <w:instrText xml:space="preserve"> PAGEREF _Toc419299761 \h </w:instrText>
        </w:r>
        <w:r w:rsidR="0047098D">
          <w:rPr>
            <w:noProof/>
            <w:webHidden/>
          </w:rPr>
        </w:r>
        <w:r w:rsidR="0047098D">
          <w:rPr>
            <w:noProof/>
            <w:webHidden/>
          </w:rPr>
          <w:fldChar w:fldCharType="separate"/>
        </w:r>
        <w:r w:rsidR="00D52ED6">
          <w:rPr>
            <w:noProof/>
            <w:webHidden/>
          </w:rPr>
          <w:t>3</w:t>
        </w:r>
        <w:r w:rsidR="0063115D">
          <w:rPr>
            <w:noProof/>
            <w:webHidden/>
          </w:rPr>
          <w:t>4</w:t>
        </w:r>
        <w:r w:rsidR="0047098D">
          <w:rPr>
            <w:noProof/>
            <w:webHidden/>
          </w:rPr>
          <w:fldChar w:fldCharType="end"/>
        </w:r>
      </w:hyperlink>
    </w:p>
    <w:p w:rsidR="0047098D" w:rsidRDefault="00421DEB">
      <w:pPr>
        <w:pStyle w:val="TOC1"/>
        <w:tabs>
          <w:tab w:val="right" w:leader="dot" w:pos="9350"/>
        </w:tabs>
        <w:rPr>
          <w:rFonts w:asciiTheme="minorHAnsi" w:eastAsiaTheme="minorEastAsia" w:hAnsiTheme="minorHAnsi"/>
          <w:noProof/>
          <w:sz w:val="22"/>
          <w:lang w:eastAsia="en-CA"/>
        </w:rPr>
      </w:pPr>
      <w:hyperlink w:anchor="_Toc419299762" w:history="1">
        <w:r w:rsidR="0047098D" w:rsidRPr="006F011C">
          <w:rPr>
            <w:rStyle w:val="Hyperlink"/>
            <w:noProof/>
          </w:rPr>
          <w:t>Undertaking NO. JT1.18:</w:t>
        </w:r>
        <w:r w:rsidR="0047098D">
          <w:rPr>
            <w:noProof/>
            <w:webHidden/>
          </w:rPr>
          <w:tab/>
        </w:r>
        <w:r w:rsidR="0047098D">
          <w:rPr>
            <w:noProof/>
            <w:webHidden/>
          </w:rPr>
          <w:fldChar w:fldCharType="begin"/>
        </w:r>
        <w:r w:rsidR="0047098D">
          <w:rPr>
            <w:noProof/>
            <w:webHidden/>
          </w:rPr>
          <w:instrText xml:space="preserve"> PAGEREF _Toc419299762 \h </w:instrText>
        </w:r>
        <w:r w:rsidR="0047098D">
          <w:rPr>
            <w:noProof/>
            <w:webHidden/>
          </w:rPr>
        </w:r>
        <w:r w:rsidR="0047098D">
          <w:rPr>
            <w:noProof/>
            <w:webHidden/>
          </w:rPr>
          <w:fldChar w:fldCharType="separate"/>
        </w:r>
        <w:r w:rsidR="00D52ED6">
          <w:rPr>
            <w:noProof/>
            <w:webHidden/>
          </w:rPr>
          <w:t>3</w:t>
        </w:r>
        <w:r w:rsidR="0047098D">
          <w:rPr>
            <w:noProof/>
            <w:webHidden/>
          </w:rPr>
          <w:fldChar w:fldCharType="end"/>
        </w:r>
      </w:hyperlink>
      <w:r w:rsidR="0063115D">
        <w:rPr>
          <w:noProof/>
        </w:rPr>
        <w:t>5</w:t>
      </w:r>
    </w:p>
    <w:p w:rsidR="0047098D" w:rsidRDefault="0047098D" w:rsidP="00D36543">
      <w:pPr>
        <w:sectPr w:rsidR="0047098D" w:rsidSect="00AF073F">
          <w:headerReference w:type="first" r:id="rId10"/>
          <w:pgSz w:w="12240" w:h="15840"/>
          <w:pgMar w:top="1440" w:right="1440" w:bottom="1440" w:left="1440" w:header="708" w:footer="708" w:gutter="0"/>
          <w:cols w:space="708"/>
          <w:titlePg/>
          <w:docGrid w:linePitch="360"/>
        </w:sectPr>
      </w:pPr>
      <w:r>
        <w:fldChar w:fldCharType="end"/>
      </w:r>
    </w:p>
    <w:p w:rsidR="008034B4" w:rsidRPr="008034B4" w:rsidRDefault="008034B4" w:rsidP="00D36543">
      <w:pPr>
        <w:pStyle w:val="TitleLCBoldUnderlined"/>
      </w:pPr>
      <w:r w:rsidRPr="008034B4">
        <w:lastRenderedPageBreak/>
        <w:t xml:space="preserve">North Bay Hydro </w:t>
      </w:r>
      <w:r w:rsidR="004B50FA">
        <w:t>Technical Conference Undertaking</w:t>
      </w:r>
      <w:r w:rsidRPr="008034B4">
        <w:t xml:space="preserve"> Responses</w:t>
      </w:r>
    </w:p>
    <w:p w:rsidR="008034B4" w:rsidRPr="008034B4" w:rsidRDefault="0092252E" w:rsidP="0047098D">
      <w:pPr>
        <w:pStyle w:val="NewTOCHeading"/>
      </w:pPr>
      <w:bookmarkStart w:id="1" w:name="_Toc419299745"/>
      <w:r>
        <w:t>Undertaking NO. JT1.1</w:t>
      </w:r>
      <w:r w:rsidR="00D05E0E">
        <w:t>:</w:t>
      </w:r>
      <w:bookmarkEnd w:id="1"/>
      <w:r w:rsidR="00E55649">
        <w:t xml:space="preserve"> </w:t>
      </w:r>
    </w:p>
    <w:p w:rsidR="008034B4" w:rsidRPr="008034B4" w:rsidRDefault="0092252E" w:rsidP="0092252E">
      <w:pPr>
        <w:pStyle w:val="Heading2"/>
        <w:numPr>
          <w:ilvl w:val="0"/>
          <w:numId w:val="0"/>
        </w:numPr>
      </w:pPr>
      <w:r w:rsidRPr="0092252E">
        <w:t>TO UPDATE THE RESPONSE AT 6-STAFF-19 AND PROVIDE AN UPDATED REVENUE REQUIREMENT WORK FORM IN WORKING EXCEL FORMAT FOR ANY ADDITIONAL CHANGES THAT ARE MADE AS A RESULT OF THE RESPONSE TO THE TECHNICAL CONFERENCE QUESTIONS, AND TO INCLUDE ANY SUCH CHANGES IN THE TRACKING SHEET.</w:t>
      </w:r>
    </w:p>
    <w:p w:rsidR="008034B4" w:rsidRPr="008034B4" w:rsidRDefault="008034B4" w:rsidP="00D36543">
      <w:pPr>
        <w:pStyle w:val="Heading1"/>
      </w:pPr>
      <w:r w:rsidRPr="008034B4">
        <w:t>Response:</w:t>
      </w:r>
    </w:p>
    <w:p w:rsidR="00943C33" w:rsidRPr="00943C33" w:rsidRDefault="00943C33" w:rsidP="00943C33">
      <w:pPr>
        <w:pStyle w:val="Heading1"/>
        <w:numPr>
          <w:ilvl w:val="0"/>
          <w:numId w:val="0"/>
        </w:numPr>
        <w:rPr>
          <w:b w:val="0"/>
          <w:u w:val="none"/>
        </w:rPr>
      </w:pPr>
      <w:r w:rsidRPr="00943C33">
        <w:rPr>
          <w:b w:val="0"/>
          <w:u w:val="none"/>
        </w:rPr>
        <w:t>An updated RRWF in working Microsoft Excel format is provided in</w:t>
      </w:r>
      <w:r w:rsidR="00A972F2">
        <w:rPr>
          <w:b w:val="0"/>
          <w:u w:val="none"/>
        </w:rPr>
        <w:t xml:space="preserve"> the</w:t>
      </w:r>
      <w:r w:rsidRPr="00943C33">
        <w:rPr>
          <w:b w:val="0"/>
          <w:u w:val="none"/>
        </w:rPr>
        <w:t xml:space="preserve"> file named “NorthBay</w:t>
      </w:r>
      <w:r>
        <w:rPr>
          <w:b w:val="0"/>
          <w:u w:val="none"/>
        </w:rPr>
        <w:t xml:space="preserve">_Undertaking_Resp_JT1.1 - </w:t>
      </w:r>
      <w:r w:rsidRPr="00943C33">
        <w:rPr>
          <w:b w:val="0"/>
          <w:u w:val="none"/>
        </w:rPr>
        <w:t>2015_Rev_Reqt_Work_Form_V5_</w:t>
      </w:r>
      <w:r>
        <w:rPr>
          <w:b w:val="0"/>
          <w:u w:val="none"/>
        </w:rPr>
        <w:t>20150513</w:t>
      </w:r>
      <w:r w:rsidRPr="00943C33">
        <w:rPr>
          <w:b w:val="0"/>
          <w:u w:val="none"/>
        </w:rPr>
        <w:t xml:space="preserve">”. The adjustments made to the Application are documented in </w:t>
      </w:r>
      <w:r w:rsidR="00B64457">
        <w:rPr>
          <w:b w:val="0"/>
          <w:u w:val="none"/>
        </w:rPr>
        <w:t>tab</w:t>
      </w:r>
      <w:r w:rsidRPr="00943C33">
        <w:rPr>
          <w:b w:val="0"/>
          <w:u w:val="none"/>
        </w:rPr>
        <w:t xml:space="preserve"> </w:t>
      </w:r>
      <w:r w:rsidR="00B64457">
        <w:rPr>
          <w:b w:val="0"/>
          <w:u w:val="none"/>
        </w:rPr>
        <w:t>“</w:t>
      </w:r>
      <w:r w:rsidRPr="00943C33">
        <w:rPr>
          <w:b w:val="0"/>
          <w:u w:val="none"/>
        </w:rPr>
        <w:t>10</w:t>
      </w:r>
      <w:r w:rsidR="00B64457">
        <w:rPr>
          <w:b w:val="0"/>
          <w:u w:val="none"/>
        </w:rPr>
        <w:t>.</w:t>
      </w:r>
      <w:r w:rsidRPr="00943C33">
        <w:rPr>
          <w:b w:val="0"/>
          <w:u w:val="none"/>
        </w:rPr>
        <w:t>Tracking Sheet</w:t>
      </w:r>
      <w:r w:rsidR="00B64457">
        <w:rPr>
          <w:b w:val="0"/>
          <w:u w:val="none"/>
        </w:rPr>
        <w:t>”</w:t>
      </w:r>
      <w:r w:rsidRPr="00943C33">
        <w:rPr>
          <w:b w:val="0"/>
          <w:u w:val="none"/>
        </w:rPr>
        <w:t>. For completeness, all the adjustments made to the Application are listed below which include the first three steps outlined in response to 6-Staff-19 plus four additional steps. The adjustment</w:t>
      </w:r>
      <w:r w:rsidR="00A972F2">
        <w:rPr>
          <w:b w:val="0"/>
          <w:u w:val="none"/>
        </w:rPr>
        <w:t>s</w:t>
      </w:r>
      <w:r w:rsidRPr="00943C33">
        <w:rPr>
          <w:b w:val="0"/>
          <w:u w:val="none"/>
        </w:rPr>
        <w:t xml:space="preserve"> reflect the following</w:t>
      </w:r>
      <w:r w:rsidR="00A972F2">
        <w:rPr>
          <w:b w:val="0"/>
          <w:u w:val="none"/>
        </w:rPr>
        <w:t>:</w:t>
      </w:r>
    </w:p>
    <w:p w:rsidR="00943C33" w:rsidRPr="00943C33" w:rsidRDefault="00943C33" w:rsidP="00A972F2">
      <w:pPr>
        <w:pStyle w:val="Heading1"/>
        <w:numPr>
          <w:ilvl w:val="0"/>
          <w:numId w:val="49"/>
        </w:numPr>
        <w:rPr>
          <w:b w:val="0"/>
          <w:u w:val="none"/>
        </w:rPr>
      </w:pPr>
      <w:r w:rsidRPr="00943C33">
        <w:rPr>
          <w:b w:val="0"/>
          <w:u w:val="none"/>
        </w:rPr>
        <w:t>Step 1: Application with 2014 actual capital</w:t>
      </w:r>
    </w:p>
    <w:p w:rsidR="00943C33" w:rsidRPr="00943C33" w:rsidRDefault="00943C33" w:rsidP="00A972F2">
      <w:pPr>
        <w:pStyle w:val="Heading1"/>
        <w:numPr>
          <w:ilvl w:val="0"/>
          <w:numId w:val="49"/>
        </w:numPr>
        <w:rPr>
          <w:b w:val="0"/>
          <w:u w:val="none"/>
        </w:rPr>
      </w:pPr>
      <w:r w:rsidRPr="00943C33">
        <w:rPr>
          <w:b w:val="0"/>
          <w:u w:val="none"/>
        </w:rPr>
        <w:t>Step 2: Step 1 with Nov</w:t>
      </w:r>
      <w:r w:rsidR="00A972F2">
        <w:rPr>
          <w:b w:val="0"/>
          <w:u w:val="none"/>
        </w:rPr>
        <w:t>ember</w:t>
      </w:r>
      <w:r w:rsidRPr="00943C33">
        <w:rPr>
          <w:b w:val="0"/>
          <w:u w:val="none"/>
        </w:rPr>
        <w:t xml:space="preserve"> 20</w:t>
      </w:r>
      <w:r w:rsidR="00A972F2">
        <w:rPr>
          <w:b w:val="0"/>
          <w:u w:val="none"/>
        </w:rPr>
        <w:t xml:space="preserve">, </w:t>
      </w:r>
      <w:r w:rsidRPr="00943C33">
        <w:rPr>
          <w:b w:val="0"/>
          <w:u w:val="none"/>
        </w:rPr>
        <w:t>2014 cost of capital parameters and new rate on 2015 SWAP</w:t>
      </w:r>
    </w:p>
    <w:p w:rsidR="00943C33" w:rsidRPr="00943C33" w:rsidRDefault="00943C33" w:rsidP="00A972F2">
      <w:pPr>
        <w:pStyle w:val="Heading1"/>
        <w:numPr>
          <w:ilvl w:val="0"/>
          <w:numId w:val="49"/>
        </w:numPr>
        <w:rPr>
          <w:b w:val="0"/>
          <w:u w:val="none"/>
        </w:rPr>
      </w:pPr>
      <w:r w:rsidRPr="00943C33">
        <w:rPr>
          <w:b w:val="0"/>
          <w:u w:val="none"/>
        </w:rPr>
        <w:t>Step 3: Step 2 with updated load forecast as per response to 3-Energy Probe-34</w:t>
      </w:r>
    </w:p>
    <w:p w:rsidR="00943C33" w:rsidRPr="00943C33" w:rsidRDefault="00943C33" w:rsidP="00A972F2">
      <w:pPr>
        <w:pStyle w:val="Heading1"/>
        <w:numPr>
          <w:ilvl w:val="0"/>
          <w:numId w:val="49"/>
        </w:numPr>
        <w:rPr>
          <w:b w:val="0"/>
          <w:u w:val="none"/>
        </w:rPr>
      </w:pPr>
      <w:r w:rsidRPr="00943C33">
        <w:rPr>
          <w:b w:val="0"/>
          <w:u w:val="none"/>
        </w:rPr>
        <w:t>Step 4: Step 3 with a second update to load forecast as per response to JT1.14 plus COP changes as per JT1.8</w:t>
      </w:r>
    </w:p>
    <w:p w:rsidR="00943C33" w:rsidRPr="00943C33" w:rsidRDefault="00943C33" w:rsidP="00A972F2">
      <w:pPr>
        <w:pStyle w:val="Heading1"/>
        <w:numPr>
          <w:ilvl w:val="0"/>
          <w:numId w:val="49"/>
        </w:numPr>
        <w:rPr>
          <w:b w:val="0"/>
          <w:u w:val="none"/>
        </w:rPr>
      </w:pPr>
      <w:r w:rsidRPr="00943C33">
        <w:rPr>
          <w:b w:val="0"/>
          <w:u w:val="none"/>
        </w:rPr>
        <w:t>Step 5: Step 4 with reduced OM&amp;A outlined in 1-Energy Probe-15</w:t>
      </w:r>
    </w:p>
    <w:p w:rsidR="00943C33" w:rsidRPr="00943C33" w:rsidRDefault="00943C33" w:rsidP="00A972F2">
      <w:pPr>
        <w:pStyle w:val="Heading1"/>
        <w:numPr>
          <w:ilvl w:val="0"/>
          <w:numId w:val="49"/>
        </w:numPr>
        <w:rPr>
          <w:b w:val="0"/>
          <w:u w:val="none"/>
        </w:rPr>
      </w:pPr>
      <w:r w:rsidRPr="00943C33">
        <w:rPr>
          <w:b w:val="0"/>
          <w:u w:val="none"/>
        </w:rPr>
        <w:lastRenderedPageBreak/>
        <w:t>Step 6: Step 5 with the elimination of the small business tax credit</w:t>
      </w:r>
    </w:p>
    <w:p w:rsidR="00943C33" w:rsidRPr="00943C33" w:rsidRDefault="00943C33" w:rsidP="00A972F2">
      <w:pPr>
        <w:pStyle w:val="Heading1"/>
        <w:numPr>
          <w:ilvl w:val="0"/>
          <w:numId w:val="49"/>
        </w:numPr>
        <w:rPr>
          <w:b w:val="0"/>
          <w:u w:val="none"/>
        </w:rPr>
      </w:pPr>
      <w:r w:rsidRPr="00943C33">
        <w:rPr>
          <w:b w:val="0"/>
          <w:u w:val="none"/>
        </w:rPr>
        <w:t>Step 7: Step 6 with CCA reclassification</w:t>
      </w:r>
    </w:p>
    <w:p w:rsidR="00A972F2" w:rsidRDefault="00943C33" w:rsidP="00943C33">
      <w:pPr>
        <w:pStyle w:val="Heading1"/>
        <w:numPr>
          <w:ilvl w:val="0"/>
          <w:numId w:val="0"/>
        </w:numPr>
        <w:rPr>
          <w:b w:val="0"/>
          <w:u w:val="none"/>
        </w:rPr>
      </w:pPr>
      <w:r w:rsidRPr="00943C33">
        <w:rPr>
          <w:b w:val="0"/>
          <w:u w:val="none"/>
        </w:rPr>
        <w:t>The results of step 7 have also been included in the middle column of the updated RRWF.</w:t>
      </w:r>
    </w:p>
    <w:p w:rsidR="00A972F2" w:rsidRDefault="00A972F2" w:rsidP="00A972F2">
      <w:pPr>
        <w:pStyle w:val="Heading1"/>
        <w:numPr>
          <w:ilvl w:val="0"/>
          <w:numId w:val="0"/>
        </w:numPr>
        <w:rPr>
          <w:b w:val="0"/>
          <w:u w:val="none"/>
        </w:rPr>
      </w:pPr>
      <w:r>
        <w:rPr>
          <w:b w:val="0"/>
          <w:u w:val="none"/>
        </w:rPr>
        <w:t>With regards to Step 5, t</w:t>
      </w:r>
      <w:r w:rsidRPr="00A972F2">
        <w:rPr>
          <w:b w:val="0"/>
          <w:u w:val="none"/>
        </w:rPr>
        <w:t>he following costs have been removed from USoA 5635 in the 2015 Test year OM&amp;A in relation to the table provided in 1-Energy Probe-15:</w:t>
      </w:r>
    </w:p>
    <w:p w:rsidR="00A972F2" w:rsidRPr="00A972F2" w:rsidRDefault="00A972F2" w:rsidP="00A972F2">
      <w:pPr>
        <w:pStyle w:val="Heading1"/>
        <w:numPr>
          <w:ilvl w:val="0"/>
          <w:numId w:val="0"/>
        </w:numPr>
        <w:jc w:val="center"/>
        <w:rPr>
          <w:b w:val="0"/>
          <w:u w:val="none"/>
        </w:rPr>
      </w:pPr>
      <w:r w:rsidRPr="00A972F2">
        <w:rPr>
          <w:b w:val="0"/>
          <w:noProof/>
          <w:u w:val="none"/>
          <w:lang w:val="en-US"/>
        </w:rPr>
        <w:drawing>
          <wp:inline distT="0" distB="0" distL="0" distR="0" wp14:anchorId="79DA2386" wp14:editId="4091D03A">
            <wp:extent cx="2658110" cy="116967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8110" cy="1169670"/>
                    </a:xfrm>
                    <a:prstGeom prst="rect">
                      <a:avLst/>
                    </a:prstGeom>
                    <a:noFill/>
                    <a:ln>
                      <a:noFill/>
                    </a:ln>
                  </pic:spPr>
                </pic:pic>
              </a:graphicData>
            </a:graphic>
          </wp:inline>
        </w:drawing>
      </w:r>
    </w:p>
    <w:p w:rsidR="0092252E" w:rsidRPr="008034B4" w:rsidRDefault="00EF0E47" w:rsidP="00A972F2">
      <w:pPr>
        <w:pStyle w:val="Heading1"/>
        <w:numPr>
          <w:ilvl w:val="0"/>
          <w:numId w:val="0"/>
        </w:numPr>
      </w:pPr>
      <w:r>
        <w:br w:type="page"/>
      </w:r>
      <w:r w:rsidR="0092252E" w:rsidRPr="008034B4">
        <w:lastRenderedPageBreak/>
        <w:t xml:space="preserve">North Bay Hydro </w:t>
      </w:r>
      <w:r w:rsidR="0092252E">
        <w:t>Technical Conference Undertaking</w:t>
      </w:r>
      <w:r w:rsidR="0092252E" w:rsidRPr="008034B4">
        <w:t xml:space="preserve"> Responses</w:t>
      </w:r>
    </w:p>
    <w:p w:rsidR="008034B4" w:rsidRPr="008034B4" w:rsidRDefault="0092252E" w:rsidP="0047098D">
      <w:pPr>
        <w:pStyle w:val="NewTOCHeading"/>
      </w:pPr>
      <w:bookmarkStart w:id="2" w:name="_Toc419299746"/>
      <w:r>
        <w:t>Undertaking NO. JT1.2:</w:t>
      </w:r>
      <w:bookmarkEnd w:id="2"/>
      <w:r w:rsidR="00E55649">
        <w:t xml:space="preserve"> </w:t>
      </w:r>
    </w:p>
    <w:p w:rsidR="008034B4" w:rsidRPr="008034B4" w:rsidRDefault="0092252E" w:rsidP="0092252E">
      <w:pPr>
        <w:pStyle w:val="Heading2"/>
        <w:numPr>
          <w:ilvl w:val="0"/>
          <w:numId w:val="0"/>
        </w:numPr>
      </w:pPr>
      <w:r w:rsidRPr="0092252E">
        <w:t>TO PROVIDE AN EXPLANATION FOR ANY SIGNIFICANT DIFFERENCE BETWEEN THE 2015 BUDGET AS APPROVED BY THE EXECUTIVE AND AS SHOWN IN THIS EXHIBIT WITH WHAT WAS FILED IN THE APPLICATION.</w:t>
      </w:r>
    </w:p>
    <w:p w:rsidR="008034B4" w:rsidRDefault="008034B4" w:rsidP="00D36543">
      <w:pPr>
        <w:pStyle w:val="Heading1"/>
      </w:pPr>
      <w:r w:rsidRPr="008034B4">
        <w:t>Response:</w:t>
      </w:r>
    </w:p>
    <w:p w:rsidR="004D6DC7" w:rsidRDefault="006F0F67" w:rsidP="006F0F67">
      <w:pPr>
        <w:pStyle w:val="Heading2"/>
        <w:numPr>
          <w:ilvl w:val="0"/>
          <w:numId w:val="0"/>
        </w:numPr>
      </w:pPr>
      <w:r>
        <w:t>The chart below reconciles the significant differences between the 2015 budget as approved by NBHDL’s Board and what was filed in the application. During the process of completing the application there were two budgets approved one on June 26, 2014 and the final on September 18, 2014. Both versions are included in the respo</w:t>
      </w:r>
      <w:r w:rsidR="00B64457">
        <w:t xml:space="preserve">nse for 1-SEC-1. </w:t>
      </w:r>
      <w:r>
        <w:t>Significant differences have been defined as NBHDL’s adopted materiality threshold of $65,000 as defined in the application.</w:t>
      </w:r>
    </w:p>
    <w:p w:rsidR="006F0F67" w:rsidRDefault="006F0F67" w:rsidP="007B396A">
      <w:pPr>
        <w:pStyle w:val="Heading2"/>
        <w:numPr>
          <w:ilvl w:val="0"/>
          <w:numId w:val="0"/>
        </w:numPr>
        <w:jc w:val="center"/>
      </w:pPr>
      <w:r w:rsidRPr="00286239">
        <w:rPr>
          <w:noProof/>
          <w:lang w:val="en-US"/>
        </w:rPr>
        <w:drawing>
          <wp:inline distT="0" distB="0" distL="0" distR="0" wp14:anchorId="0409DCFF" wp14:editId="096FC33C">
            <wp:extent cx="3790950" cy="1571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0950" cy="1571625"/>
                    </a:xfrm>
                    <a:prstGeom prst="rect">
                      <a:avLst/>
                    </a:prstGeom>
                    <a:noFill/>
                    <a:ln>
                      <a:noFill/>
                    </a:ln>
                  </pic:spPr>
                </pic:pic>
              </a:graphicData>
            </a:graphic>
          </wp:inline>
        </w:drawing>
      </w:r>
    </w:p>
    <w:p w:rsidR="00A004C2" w:rsidRDefault="00A004C2" w:rsidP="006F0F67">
      <w:pPr>
        <w:pStyle w:val="Heading2"/>
        <w:numPr>
          <w:ilvl w:val="0"/>
          <w:numId w:val="0"/>
        </w:numPr>
      </w:pPr>
      <w:r>
        <w:t xml:space="preserve">For internal budget purposes, NBHDL included the full cost of an operational review in the amount of $208,000; for rate setting purposes the cost was amortized over a 5 year period resulting in a $166,400 reduction. </w:t>
      </w:r>
      <w:r w:rsidR="00534749">
        <w:t>Similarly, the fleet depreciation amount of $155,871 is an adjustment made for rate setting purposes that reflects the appropriate treatment for the capitalization of depreciation costs for NBHDL’s fleet to ensure a reduction in depreciation expense</w:t>
      </w:r>
      <w:r w:rsidR="00D52ED6">
        <w:t xml:space="preserve"> and the appropriate amount recovered through OM&amp;A</w:t>
      </w:r>
      <w:r w:rsidR="00534749">
        <w:t xml:space="preserve">. </w:t>
      </w:r>
      <w:r w:rsidRPr="00A004C2">
        <w:t xml:space="preserve">NBHDL has continued to use </w:t>
      </w:r>
      <w:r w:rsidRPr="00A004C2">
        <w:lastRenderedPageBreak/>
        <w:t>the same method</w:t>
      </w:r>
      <w:r>
        <w:t xml:space="preserve"> </w:t>
      </w:r>
      <w:r w:rsidRPr="00A004C2">
        <w:t>for fleet depreciation that was adjusted and approved during the 2010 cost of service settlement process</w:t>
      </w:r>
      <w:r w:rsidR="00534749">
        <w:t>.</w:t>
      </w:r>
    </w:p>
    <w:p w:rsidR="006F0F67" w:rsidRDefault="006F0F67" w:rsidP="006F0F67">
      <w:pPr>
        <w:pStyle w:val="Heading2"/>
        <w:numPr>
          <w:ilvl w:val="0"/>
          <w:numId w:val="0"/>
        </w:numPr>
      </w:pPr>
      <w:r w:rsidRPr="006F0F67">
        <w:t>During the technical conference</w:t>
      </w:r>
      <w:r w:rsidR="00A004C2">
        <w:rPr>
          <w:rStyle w:val="FootnoteReference"/>
        </w:rPr>
        <w:footnoteReference w:id="1"/>
      </w:r>
      <w:r w:rsidRPr="006F0F67">
        <w:t xml:space="preserve"> working capital values from page 4 of the June 26, 2014 budget report were discussed and NBHDL incorrectly stated that the borrowing in 2014 was $6,000,000. The actual borrowing was $4,000,000; the $6,000,000 borrowing is scheduled for 2015. Confirmation of this correction can be found on page 6 of the budget presentation under the borrowing assumption.</w:t>
      </w:r>
    </w:p>
    <w:p w:rsidR="0092252E" w:rsidRPr="008034B4" w:rsidRDefault="00EF0E47" w:rsidP="0092252E">
      <w:pPr>
        <w:pStyle w:val="TitleLCBoldUnderlined"/>
      </w:pPr>
      <w:r>
        <w:br w:type="page"/>
      </w:r>
      <w:r w:rsidR="0092252E" w:rsidRPr="008034B4">
        <w:lastRenderedPageBreak/>
        <w:t xml:space="preserve">North Bay Hydro </w:t>
      </w:r>
      <w:r w:rsidR="0092252E">
        <w:t>Technical Conference Undertaking</w:t>
      </w:r>
      <w:r w:rsidR="0092252E" w:rsidRPr="008034B4">
        <w:t xml:space="preserve"> Responses</w:t>
      </w:r>
    </w:p>
    <w:p w:rsidR="0092252E" w:rsidRPr="008034B4" w:rsidRDefault="0092252E" w:rsidP="0047098D">
      <w:pPr>
        <w:pStyle w:val="NewTOCHeading"/>
      </w:pPr>
      <w:bookmarkStart w:id="3" w:name="_Toc419299747"/>
      <w:r>
        <w:t>Undertaking NO. JT1.3:</w:t>
      </w:r>
      <w:bookmarkEnd w:id="3"/>
    </w:p>
    <w:p w:rsidR="008034B4" w:rsidRPr="008034B4" w:rsidRDefault="0092252E" w:rsidP="0092252E">
      <w:pPr>
        <w:pStyle w:val="Heading2"/>
        <w:numPr>
          <w:ilvl w:val="0"/>
          <w:numId w:val="0"/>
        </w:numPr>
      </w:pPr>
      <w:r w:rsidRPr="0092252E">
        <w:t>TO PROVIDE A VERSION OF THIS TABLE WITH THE BELL FSA CONTRIBUTIONS AND GROSS ADDITION COSTS REMOVED</w:t>
      </w:r>
      <w:r>
        <w:t>.</w:t>
      </w:r>
    </w:p>
    <w:p w:rsidR="008034B4" w:rsidRPr="008034B4" w:rsidRDefault="008034B4" w:rsidP="00D36543">
      <w:pPr>
        <w:pStyle w:val="Heading1"/>
      </w:pPr>
      <w:r w:rsidRPr="008034B4">
        <w:t>Response:</w:t>
      </w:r>
    </w:p>
    <w:p w:rsidR="00E55649" w:rsidRDefault="00E55649" w:rsidP="00EF0373">
      <w:pPr>
        <w:spacing w:after="200"/>
      </w:pPr>
      <w:r>
        <w:t>A revised version of the table provided in 2-Energy Probe-22 is provided below with all contributions and gross additions costs related to the Bell FSA project removed. The 5 year (2010 – 2014) average ratio of contributions and grants to the gross addition costs is 53.3% when the Bell FSA project is removed.</w:t>
      </w:r>
    </w:p>
    <w:p w:rsidR="0092252E" w:rsidRDefault="00E55649" w:rsidP="00EF0373">
      <w:pPr>
        <w:spacing w:after="200"/>
        <w:jc w:val="left"/>
        <w:rPr>
          <w:rFonts w:eastAsiaTheme="majorEastAsia" w:cs="Times New Roman"/>
          <w:b/>
          <w:bCs/>
          <w:color w:val="000000"/>
          <w:szCs w:val="28"/>
          <w:u w:val="single"/>
        </w:rPr>
      </w:pPr>
      <w:r w:rsidRPr="00E55649">
        <w:rPr>
          <w:noProof/>
          <w:lang w:val="en-US"/>
        </w:rPr>
        <w:drawing>
          <wp:inline distT="0" distB="0" distL="0" distR="0" wp14:anchorId="4E6D612A" wp14:editId="55356A43">
            <wp:extent cx="6468196" cy="925552"/>
            <wp:effectExtent l="0" t="0" r="0" b="825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1039" cy="928821"/>
                    </a:xfrm>
                    <a:prstGeom prst="rect">
                      <a:avLst/>
                    </a:prstGeom>
                    <a:noFill/>
                    <a:ln>
                      <a:noFill/>
                    </a:ln>
                  </pic:spPr>
                </pic:pic>
              </a:graphicData>
            </a:graphic>
          </wp:inline>
        </w:drawing>
      </w:r>
      <w:r w:rsidR="0092252E">
        <w:br w:type="page"/>
      </w:r>
    </w:p>
    <w:p w:rsidR="0092252E" w:rsidRPr="008034B4" w:rsidRDefault="0092252E" w:rsidP="0092252E">
      <w:pPr>
        <w:pStyle w:val="TitleLCBoldUnderlined"/>
      </w:pPr>
      <w:r w:rsidRPr="008034B4">
        <w:lastRenderedPageBreak/>
        <w:t xml:space="preserve">North Bay Hydro </w:t>
      </w:r>
      <w:r>
        <w:t>Technical Conference Undertaking</w:t>
      </w:r>
      <w:r w:rsidRPr="008034B4">
        <w:t xml:space="preserve"> Responses</w:t>
      </w:r>
    </w:p>
    <w:p w:rsidR="008034B4" w:rsidRPr="008034B4" w:rsidRDefault="0092252E" w:rsidP="0047098D">
      <w:pPr>
        <w:pStyle w:val="NewTOCHeading"/>
      </w:pPr>
      <w:bookmarkStart w:id="4" w:name="_Toc419299748"/>
      <w:r>
        <w:t>Undertaking NO. JT1.4:</w:t>
      </w:r>
      <w:bookmarkEnd w:id="4"/>
    </w:p>
    <w:p w:rsidR="008034B4" w:rsidRPr="008034B4" w:rsidRDefault="0092252E" w:rsidP="0092252E">
      <w:pPr>
        <w:pStyle w:val="Heading2"/>
        <w:numPr>
          <w:ilvl w:val="0"/>
          <w:numId w:val="0"/>
        </w:numPr>
      </w:pPr>
      <w:r w:rsidRPr="0092252E">
        <w:t>TO RECONCILE THE DEPRECIATION EXPENSE SHOWN IN THE REVENUE REQUIREMENT WORK FORM FROM 6-STAFF-19 OF $2,569,662 WITH THE TWO FIGURES SHOWN IN APPENDIX 2-CE OF 2-SCHOOLS-13</w:t>
      </w:r>
      <w:r>
        <w:t>.</w:t>
      </w:r>
    </w:p>
    <w:p w:rsidR="008034B4" w:rsidRPr="008034B4" w:rsidRDefault="008034B4" w:rsidP="00D36543">
      <w:pPr>
        <w:pStyle w:val="Heading1"/>
      </w:pPr>
      <w:r w:rsidRPr="008034B4">
        <w:t>Response:</w:t>
      </w:r>
    </w:p>
    <w:p w:rsidR="0092252E" w:rsidRPr="008034B4" w:rsidRDefault="00E55649" w:rsidP="005D37F5">
      <w:pPr>
        <w:pStyle w:val="Heading2"/>
        <w:numPr>
          <w:ilvl w:val="0"/>
          <w:numId w:val="0"/>
        </w:numPr>
      </w:pPr>
      <w:r>
        <w:t xml:space="preserve">The depreciation expense shown in the </w:t>
      </w:r>
      <w:r w:rsidR="00DE729C">
        <w:t>Application column of the R</w:t>
      </w:r>
      <w:r>
        <w:t xml:space="preserve">evenue </w:t>
      </w:r>
      <w:r w:rsidR="00DE729C">
        <w:t>R</w:t>
      </w:r>
      <w:r>
        <w:t xml:space="preserve">equirement </w:t>
      </w:r>
      <w:r w:rsidR="00DE729C">
        <w:t>W</w:t>
      </w:r>
      <w:r>
        <w:t xml:space="preserve">ork </w:t>
      </w:r>
      <w:r w:rsidR="00DE729C">
        <w:t>F</w:t>
      </w:r>
      <w:r>
        <w:t>orm from 6-Staff-19 of $2,569,662 was the original amount proposed in NBHDL’s application</w:t>
      </w:r>
      <w:r w:rsidR="005D37F5">
        <w:t xml:space="preserve">; this </w:t>
      </w:r>
      <w:r w:rsidR="00CE1C3D">
        <w:t xml:space="preserve">was subsequently </w:t>
      </w:r>
      <w:r w:rsidR="005D37F5">
        <w:t>reduced</w:t>
      </w:r>
      <w:r w:rsidR="00CE1C3D">
        <w:t xml:space="preserve"> through the submission of IRRs in the amount of ($57,411) for a revised proposed depreciation amount of $2,512,251</w:t>
      </w:r>
      <w:r w:rsidR="00DE729C" w:rsidRPr="00DE729C">
        <w:t xml:space="preserve"> which is shown in the Interrogatory Responses column of the work form</w:t>
      </w:r>
      <w:r>
        <w:t>.</w:t>
      </w:r>
      <w:r w:rsidR="002146D9">
        <w:t xml:space="preserve"> </w:t>
      </w:r>
      <w:r w:rsidR="00CE1C3D">
        <w:t xml:space="preserve">NBHDL would refer to  “10.Tracking Sheet” of the Revenue Requirement Work Form filed April 24, 2014 which provides the changes to depreciation as a result of the response to 2-Energy-28 in which </w:t>
      </w:r>
      <w:r>
        <w:t>NBHDL updated the capital additions to reflect 2014 actuals which in turn impacted the 2015 Test Year</w:t>
      </w:r>
      <w:r w:rsidR="00CE1C3D">
        <w:t xml:space="preserve"> capital and</w:t>
      </w:r>
      <w:r>
        <w:t xml:space="preserve"> depreciation amounts. </w:t>
      </w:r>
      <w:r w:rsidR="00CE1C3D">
        <w:t xml:space="preserve">The changes to depreciation resulted in a revised deprecation amount of $2,512,251 which can be found in the revised Appendix 2-CE </w:t>
      </w:r>
      <w:r w:rsidR="00DB734A">
        <w:t xml:space="preserve">in response to </w:t>
      </w:r>
      <w:r w:rsidR="00CE1C3D">
        <w:t xml:space="preserve">2-SEC-13 d). </w:t>
      </w:r>
      <w:r w:rsidR="00EF0E47">
        <w:br w:type="page"/>
      </w:r>
    </w:p>
    <w:p w:rsidR="0092252E" w:rsidRPr="008034B4" w:rsidRDefault="0092252E" w:rsidP="0092252E">
      <w:pPr>
        <w:pStyle w:val="TitleLCBoldUnderlined"/>
      </w:pPr>
      <w:r w:rsidRPr="008034B4">
        <w:lastRenderedPageBreak/>
        <w:t xml:space="preserve">North Bay Hydro </w:t>
      </w:r>
      <w:r>
        <w:t>Technical Conference Undertaking</w:t>
      </w:r>
      <w:r w:rsidRPr="008034B4">
        <w:t xml:space="preserve"> Responses</w:t>
      </w:r>
    </w:p>
    <w:p w:rsidR="008034B4" w:rsidRPr="0092252E" w:rsidRDefault="0092252E" w:rsidP="0047098D">
      <w:pPr>
        <w:pStyle w:val="NewTOCHeading"/>
      </w:pPr>
      <w:bookmarkStart w:id="5" w:name="_Toc419299749"/>
      <w:r w:rsidRPr="0092252E">
        <w:t>Undertaking NO. JT1.</w:t>
      </w:r>
      <w:r>
        <w:t>5</w:t>
      </w:r>
      <w:r w:rsidRPr="0092252E">
        <w:t>:</w:t>
      </w:r>
      <w:bookmarkEnd w:id="5"/>
      <w:r w:rsidR="00EF0373">
        <w:t xml:space="preserve"> </w:t>
      </w:r>
    </w:p>
    <w:p w:rsidR="008034B4" w:rsidRPr="008034B4" w:rsidRDefault="0092252E" w:rsidP="00D36543">
      <w:r w:rsidRPr="0092252E">
        <w:t>TO PROVIDE THE KILOMETRES OF TREE TRIMMING OF THE RIGHT-OF-WAYS FOR THE YEARS 2010-2014, AND 2015 FORECAST</w:t>
      </w:r>
      <w:r>
        <w:t>.</w:t>
      </w:r>
    </w:p>
    <w:p w:rsidR="008034B4" w:rsidRPr="008034B4" w:rsidRDefault="008034B4" w:rsidP="00D36543">
      <w:pPr>
        <w:pStyle w:val="Heading1"/>
      </w:pPr>
      <w:r w:rsidRPr="008034B4">
        <w:t>Response:</w:t>
      </w:r>
    </w:p>
    <w:p w:rsidR="007B396A" w:rsidRPr="008034B4" w:rsidRDefault="007B396A" w:rsidP="007B396A">
      <w:pPr>
        <w:pStyle w:val="Heading1"/>
        <w:spacing w:after="200"/>
        <w:ind w:left="0" w:firstLine="0"/>
      </w:pPr>
      <w:r>
        <w:rPr>
          <w:b w:val="0"/>
          <w:u w:val="none"/>
        </w:rPr>
        <w:t>The kilometres of tree trimming of the right of ways for the years 2010-2014, and the 2015 forecast are summarized in the table below:</w:t>
      </w:r>
    </w:p>
    <w:p w:rsidR="007B396A" w:rsidRDefault="00E83D57" w:rsidP="007B396A">
      <w:pPr>
        <w:pStyle w:val="Heading1"/>
        <w:numPr>
          <w:ilvl w:val="0"/>
          <w:numId w:val="0"/>
        </w:numPr>
        <w:spacing w:after="200"/>
      </w:pPr>
      <w:r w:rsidRPr="00E83D57">
        <w:rPr>
          <w:b w:val="0"/>
          <w:noProof/>
          <w:u w:val="none"/>
          <w:lang w:val="en-US"/>
        </w:rPr>
        <w:drawing>
          <wp:inline distT="0" distB="0" distL="0" distR="0" wp14:anchorId="48EF4CC1" wp14:editId="1F607284">
            <wp:extent cx="5943600" cy="44335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33570"/>
                    </a:xfrm>
                    <a:prstGeom prst="rect">
                      <a:avLst/>
                    </a:prstGeom>
                    <a:noFill/>
                    <a:ln>
                      <a:noFill/>
                    </a:ln>
                  </pic:spPr>
                </pic:pic>
              </a:graphicData>
            </a:graphic>
          </wp:inline>
        </w:drawing>
      </w:r>
    </w:p>
    <w:p w:rsidR="007B396A" w:rsidRDefault="007B396A" w:rsidP="007B396A">
      <w:pPr>
        <w:pStyle w:val="Heading1"/>
        <w:numPr>
          <w:ilvl w:val="0"/>
          <w:numId w:val="0"/>
        </w:numPr>
        <w:spacing w:after="200"/>
        <w:rPr>
          <w:b w:val="0"/>
          <w:u w:val="none"/>
        </w:rPr>
      </w:pPr>
      <w:r>
        <w:rPr>
          <w:b w:val="0"/>
          <w:u w:val="none"/>
        </w:rPr>
        <w:lastRenderedPageBreak/>
        <w:t>NBHDL prepared this table in response to this specific undertaking, but does not use this information as a metric or tool for the estimation of cycle costs. NBHDL does not believe the information to be indicative of the amount of work required, or the associated costs to perform the work required as the amount, type, size, and location of trees varies from cycle to cycle and from kilometer to kilometer. In addition, there can be a significant difference between the costs required to perform vegetation management activities in urban areas and rural areas. A few pictures have been included below illustrating the differences.</w:t>
      </w:r>
    </w:p>
    <w:p w:rsidR="007B396A" w:rsidRDefault="007B396A" w:rsidP="00B64457">
      <w:pPr>
        <w:pStyle w:val="Heading1"/>
        <w:numPr>
          <w:ilvl w:val="0"/>
          <w:numId w:val="0"/>
        </w:numPr>
        <w:spacing w:after="200"/>
        <w:jc w:val="center"/>
      </w:pPr>
      <w:r w:rsidRPr="00143612">
        <w:rPr>
          <w:b w:val="0"/>
          <w:noProof/>
          <w:u w:val="none"/>
          <w:lang w:val="en-US"/>
        </w:rPr>
        <w:drawing>
          <wp:inline distT="0" distB="0" distL="0" distR="0" wp14:anchorId="5BBB84D9" wp14:editId="43E468B3">
            <wp:extent cx="3316144" cy="4438650"/>
            <wp:effectExtent l="0" t="0" r="0" b="0"/>
            <wp:docPr id="5" name="Picture 5" descr="R:\Tree Trimming &amp; Forestry\2015 tree trimming\tree O.E.B - 2\pictures -2\30 Laroc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Tree Trimming &amp; Forestry\2015 tree trimming\tree O.E.B - 2\pictures -2\30 Larocqu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6144" cy="4438650"/>
                    </a:xfrm>
                    <a:prstGeom prst="rect">
                      <a:avLst/>
                    </a:prstGeom>
                    <a:noFill/>
                    <a:ln>
                      <a:noFill/>
                    </a:ln>
                  </pic:spPr>
                </pic:pic>
              </a:graphicData>
            </a:graphic>
          </wp:inline>
        </w:drawing>
      </w:r>
    </w:p>
    <w:p w:rsidR="007B396A" w:rsidRDefault="007B396A" w:rsidP="007B396A">
      <w:pPr>
        <w:pStyle w:val="Heading1"/>
        <w:numPr>
          <w:ilvl w:val="0"/>
          <w:numId w:val="0"/>
        </w:numPr>
        <w:spacing w:after="200"/>
        <w:rPr>
          <w:b w:val="0"/>
          <w:u w:val="none"/>
        </w:rPr>
      </w:pPr>
      <w:r>
        <w:rPr>
          <w:b w:val="0"/>
          <w:u w:val="none"/>
        </w:rPr>
        <w:t>Cycle 1, Section A – 1 span in a rural area requiring the removal of 4 -14” white pines, and 23-10” red pines</w:t>
      </w:r>
    </w:p>
    <w:p w:rsidR="007B396A" w:rsidRDefault="007B396A" w:rsidP="00B64457">
      <w:pPr>
        <w:pStyle w:val="Heading1"/>
        <w:numPr>
          <w:ilvl w:val="0"/>
          <w:numId w:val="0"/>
        </w:numPr>
        <w:spacing w:after="200"/>
        <w:jc w:val="center"/>
      </w:pPr>
      <w:r w:rsidRPr="00D91CA3">
        <w:rPr>
          <w:b w:val="0"/>
          <w:noProof/>
          <w:u w:val="none"/>
          <w:lang w:val="en-US"/>
        </w:rPr>
        <w:lastRenderedPageBreak/>
        <w:drawing>
          <wp:inline distT="0" distB="0" distL="0" distR="0" wp14:anchorId="2C917C23" wp14:editId="64540DC6">
            <wp:extent cx="3209925" cy="4296476"/>
            <wp:effectExtent l="0" t="0" r="0" b="8890"/>
            <wp:docPr id="6" name="Picture 6" descr="R:\Tree Trimming &amp; Forestry\2015 tree trimming\tree O.E.B - 2\pictures -2\Larocque Rd - example s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Tree Trimming &amp; Forestry\2015 tree trimming\tree O.E.B - 2\pictures -2\Larocque Rd - example spa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9925" cy="4296476"/>
                    </a:xfrm>
                    <a:prstGeom prst="rect">
                      <a:avLst/>
                    </a:prstGeom>
                    <a:noFill/>
                    <a:ln>
                      <a:noFill/>
                    </a:ln>
                  </pic:spPr>
                </pic:pic>
              </a:graphicData>
            </a:graphic>
          </wp:inline>
        </w:drawing>
      </w:r>
    </w:p>
    <w:p w:rsidR="007B396A" w:rsidRDefault="007B396A" w:rsidP="007B396A">
      <w:pPr>
        <w:pStyle w:val="Heading1"/>
        <w:numPr>
          <w:ilvl w:val="0"/>
          <w:numId w:val="0"/>
        </w:numPr>
        <w:spacing w:after="200"/>
        <w:rPr>
          <w:b w:val="0"/>
          <w:u w:val="none"/>
        </w:rPr>
      </w:pPr>
      <w:r>
        <w:rPr>
          <w:b w:val="0"/>
          <w:u w:val="none"/>
        </w:rPr>
        <w:t>Cycle 1, Section A – 1 span in a rural area requiring the removal 63 trees varying from 4” to 26” in diameter</w:t>
      </w:r>
    </w:p>
    <w:p w:rsidR="007B396A" w:rsidRDefault="007B396A" w:rsidP="00B64457">
      <w:pPr>
        <w:pStyle w:val="Heading1"/>
        <w:numPr>
          <w:ilvl w:val="0"/>
          <w:numId w:val="0"/>
        </w:numPr>
        <w:jc w:val="center"/>
      </w:pPr>
      <w:r w:rsidRPr="003C16B9">
        <w:rPr>
          <w:b w:val="0"/>
          <w:noProof/>
          <w:u w:val="none"/>
          <w:lang w:val="en-US"/>
        </w:rPr>
        <w:lastRenderedPageBreak/>
        <w:drawing>
          <wp:inline distT="0" distB="0" distL="0" distR="0" wp14:anchorId="41F89307" wp14:editId="782D4F2D">
            <wp:extent cx="3819525" cy="6693853"/>
            <wp:effectExtent l="0" t="0" r="0" b="0"/>
            <wp:docPr id="7" name="Picture 7" descr="R:\Tree Trimming &amp; Forestry\2015 tree trimming\tree O.E.B - 2\pictures -2\Katheryn-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Tree Trimming &amp; Forestry\2015 tree trimming\tree O.E.B - 2\pictures -2\Katheryn-1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22540" cy="6699136"/>
                    </a:xfrm>
                    <a:prstGeom prst="rect">
                      <a:avLst/>
                    </a:prstGeom>
                    <a:noFill/>
                    <a:ln>
                      <a:noFill/>
                    </a:ln>
                  </pic:spPr>
                </pic:pic>
              </a:graphicData>
            </a:graphic>
          </wp:inline>
        </w:drawing>
      </w:r>
    </w:p>
    <w:p w:rsidR="007B396A" w:rsidRDefault="007B396A" w:rsidP="007B396A">
      <w:r>
        <w:t>Cycle 1, Section A – 5 spans in an urban area requiring very minimal trimming</w:t>
      </w:r>
    </w:p>
    <w:p w:rsidR="008034B4" w:rsidRPr="008034B4" w:rsidRDefault="00EF0E47" w:rsidP="002146D9">
      <w:pPr>
        <w:pStyle w:val="Heading1"/>
        <w:numPr>
          <w:ilvl w:val="0"/>
          <w:numId w:val="0"/>
        </w:numPr>
      </w:pPr>
      <w:r>
        <w:br w:type="page"/>
      </w:r>
    </w:p>
    <w:p w:rsidR="0092252E" w:rsidRPr="008034B4" w:rsidRDefault="0092252E" w:rsidP="0092252E">
      <w:pPr>
        <w:pStyle w:val="TitleLCBoldUnderlined"/>
      </w:pPr>
      <w:r w:rsidRPr="008034B4">
        <w:lastRenderedPageBreak/>
        <w:t xml:space="preserve">North Bay Hydro </w:t>
      </w:r>
      <w:r>
        <w:t>Technical Conference Undertaking</w:t>
      </w:r>
      <w:r w:rsidRPr="008034B4">
        <w:t xml:space="preserve"> Responses</w:t>
      </w:r>
    </w:p>
    <w:p w:rsidR="008034B4" w:rsidRPr="0092252E" w:rsidRDefault="0092252E" w:rsidP="0047098D">
      <w:pPr>
        <w:pStyle w:val="NewTOCHeading"/>
      </w:pPr>
      <w:bookmarkStart w:id="6" w:name="_Toc419299750"/>
      <w:r w:rsidRPr="0092252E">
        <w:t>Undertaking NO. JT1.</w:t>
      </w:r>
      <w:r>
        <w:t>6</w:t>
      </w:r>
      <w:r w:rsidRPr="0092252E">
        <w:t>:</w:t>
      </w:r>
      <w:bookmarkEnd w:id="6"/>
      <w:r w:rsidR="00EF0373">
        <w:t xml:space="preserve"> </w:t>
      </w:r>
    </w:p>
    <w:p w:rsidR="008034B4" w:rsidRPr="008034B4" w:rsidRDefault="0092252E" w:rsidP="0092252E">
      <w:pPr>
        <w:pStyle w:val="Heading2"/>
        <w:numPr>
          <w:ilvl w:val="0"/>
          <w:numId w:val="0"/>
        </w:numPr>
      </w:pPr>
      <w:r w:rsidRPr="0092252E">
        <w:t>TO MAKE AN ATTEMPT TO FILL OUT THE TABLE, AND IF THERE ARE SOME BARRIERS TO REPORT BACK AS TO WHAT THOSE ARE.</w:t>
      </w:r>
    </w:p>
    <w:p w:rsidR="008034B4" w:rsidRPr="008034B4" w:rsidRDefault="004F32A6" w:rsidP="00E83D57">
      <w:pPr>
        <w:pStyle w:val="Heading1"/>
      </w:pPr>
      <w:r>
        <w:t>Response:</w:t>
      </w:r>
    </w:p>
    <w:p w:rsidR="00E55064" w:rsidRDefault="00E83D57" w:rsidP="00E83D57">
      <w:pPr>
        <w:spacing w:after="200"/>
        <w:rPr>
          <w:b/>
          <w:u w:val="single"/>
        </w:rPr>
      </w:pPr>
      <w:r>
        <w:rPr>
          <w:color w:val="000000"/>
          <w:lang w:val="en-US"/>
        </w:rPr>
        <w:t xml:space="preserve">NBHDL has completed the table circulated </w:t>
      </w:r>
      <w:r w:rsidR="00D36E77">
        <w:rPr>
          <w:color w:val="000000"/>
          <w:lang w:val="en-US"/>
        </w:rPr>
        <w:t>as Exhibit KT-1.2</w:t>
      </w:r>
      <w:r>
        <w:rPr>
          <w:color w:val="000000"/>
          <w:lang w:val="en-US"/>
        </w:rPr>
        <w:t xml:space="preserve"> to the best of its ability considering the data limitations with regards to the level of granularity NBHDL tracks at this point in time.</w:t>
      </w:r>
      <w:r w:rsidR="00D36E77">
        <w:rPr>
          <w:color w:val="000000"/>
          <w:lang w:val="en-US"/>
        </w:rPr>
        <w:t xml:space="preserve"> A live Excel spreadsheet has been provided </w:t>
      </w:r>
      <w:r w:rsidR="00B64457">
        <w:rPr>
          <w:color w:val="000000"/>
          <w:lang w:val="en-US"/>
        </w:rPr>
        <w:t>under</w:t>
      </w:r>
      <w:r w:rsidR="00D36E77">
        <w:rPr>
          <w:color w:val="000000"/>
          <w:lang w:val="en-US"/>
        </w:rPr>
        <w:t xml:space="preserve"> file name “NorthBa</w:t>
      </w:r>
      <w:r w:rsidR="00A01310">
        <w:rPr>
          <w:color w:val="000000"/>
          <w:lang w:val="en-US"/>
        </w:rPr>
        <w:t xml:space="preserve">y_Undertaking_Resp_JT1.6_KT-1.2 – </w:t>
      </w:r>
      <w:r w:rsidR="00D36E77">
        <w:t>SEC</w:t>
      </w:r>
      <w:r w:rsidR="00A01310">
        <w:rPr>
          <w:color w:val="000000"/>
          <w:lang w:val="en-US"/>
        </w:rPr>
        <w:t xml:space="preserve"> ACA </w:t>
      </w:r>
      <w:r w:rsidR="00D36E77" w:rsidRPr="00D36E77">
        <w:rPr>
          <w:color w:val="000000"/>
          <w:lang w:val="en-US"/>
        </w:rPr>
        <w:t>Summary</w:t>
      </w:r>
      <w:r w:rsidR="00D36E77">
        <w:rPr>
          <w:color w:val="000000"/>
          <w:lang w:val="en-US"/>
        </w:rPr>
        <w:t>_20150513”.</w:t>
      </w:r>
      <w:r>
        <w:rPr>
          <w:color w:val="000000"/>
          <w:lang w:val="en-US"/>
        </w:rPr>
        <w:t xml:space="preserve"> Notes have been provided at the bottom of the table detailing what information is available and what is not</w:t>
      </w:r>
      <w:r w:rsidR="00D36E77">
        <w:rPr>
          <w:color w:val="000000"/>
          <w:lang w:val="en-US"/>
        </w:rPr>
        <w:t>.</w:t>
      </w:r>
      <w:r w:rsidR="00E55064">
        <w:br w:type="page"/>
      </w:r>
    </w:p>
    <w:p w:rsidR="0092252E" w:rsidRPr="008034B4" w:rsidRDefault="0092252E" w:rsidP="0092252E">
      <w:pPr>
        <w:pStyle w:val="TitleLCBoldUnderlined"/>
      </w:pPr>
      <w:r w:rsidRPr="008034B4">
        <w:lastRenderedPageBreak/>
        <w:t xml:space="preserve">North Bay Hydro </w:t>
      </w:r>
      <w:r>
        <w:t>Technical Conference Undertaking</w:t>
      </w:r>
      <w:r w:rsidRPr="008034B4">
        <w:t xml:space="preserve"> Responses</w:t>
      </w:r>
    </w:p>
    <w:p w:rsidR="008034B4" w:rsidRPr="0092252E" w:rsidRDefault="0092252E" w:rsidP="0047098D">
      <w:pPr>
        <w:pStyle w:val="NewTOCHeading"/>
      </w:pPr>
      <w:bookmarkStart w:id="7" w:name="_Toc419299751"/>
      <w:r w:rsidRPr="0092252E">
        <w:t>Undertaking NO. JT1.</w:t>
      </w:r>
      <w:r>
        <w:t>7</w:t>
      </w:r>
      <w:r w:rsidRPr="0092252E">
        <w:t>:</w:t>
      </w:r>
      <w:bookmarkEnd w:id="7"/>
    </w:p>
    <w:p w:rsidR="008034B4" w:rsidRPr="008034B4" w:rsidRDefault="0092252E" w:rsidP="0092252E">
      <w:pPr>
        <w:pStyle w:val="Heading2"/>
        <w:numPr>
          <w:ilvl w:val="0"/>
          <w:numId w:val="0"/>
        </w:numPr>
      </w:pPr>
      <w:r w:rsidRPr="0092252E">
        <w:t>WITH REFERENCE TO 2-SEC-33, APPENDIX 2-AA, THE CAPITAL PROJECTS TABLE, TO PROVIDE THE BREAKDOWN OF THE NUMBER OF TRANSFORMER PURCHASES AS BETWEEN UNDERGROUND AND OVERHEAD FOR THE HISTORICAL PERIOD (BROKEN OUT BETWEEN OVERHEAD AND UNDERGROUND), AND THE FORECAST; TO PROVIDE A BREAKDOWN OF THE TWO LINE ITEMS UNDER SYSTEM SERVICE RELATED TO METER INSTALLMENTS BY NUMBER, AS WELL AS FOR THE HISTORICAL PERIOD AS WELL AS FOR THE FORECAST; TO PROVIDE THE NUMBER OF WOOD POLES REPLACED FOR THE HISTORICAL PERIOD AND THE FORECAST; TO PROVIDE THE NUMBER OF CIRCUIT BREAKERS REPLACED IN THE LAST FIVE YEARS, AND PLANNED FOR REPLACEMENT, WITH THE CORRESPONDING COST</w:t>
      </w:r>
      <w:r>
        <w:t>.</w:t>
      </w:r>
    </w:p>
    <w:p w:rsidR="008034B4" w:rsidRPr="008034B4" w:rsidRDefault="008034B4" w:rsidP="00D36543">
      <w:pPr>
        <w:pStyle w:val="Heading1"/>
      </w:pPr>
      <w:r w:rsidRPr="008034B4">
        <w:t>Response:</w:t>
      </w:r>
    </w:p>
    <w:p w:rsidR="00182DE2" w:rsidRDefault="00404E57" w:rsidP="00404E57">
      <w:pPr>
        <w:rPr>
          <w:rFonts w:eastAsiaTheme="majorEastAsia" w:cs="Times New Roman"/>
          <w:bCs/>
          <w:color w:val="000000"/>
          <w:szCs w:val="26"/>
          <w:lang w:eastAsia="en-CA"/>
        </w:rPr>
      </w:pPr>
      <w:r>
        <w:rPr>
          <w:rFonts w:eastAsiaTheme="majorEastAsia" w:cs="Times New Roman"/>
          <w:bCs/>
          <w:color w:val="000000"/>
          <w:szCs w:val="26"/>
          <w:lang w:eastAsia="en-CA"/>
        </w:rPr>
        <w:t>NBHDL has filled out the table provided in 2-SEC-33 to the best of its ability considering the data limitations with regards to the level of granularity NBHDL tracks at this point in time. A l</w:t>
      </w:r>
      <w:r w:rsidR="00182DE2">
        <w:rPr>
          <w:rFonts w:eastAsiaTheme="majorEastAsia" w:cs="Times New Roman"/>
          <w:bCs/>
          <w:color w:val="000000"/>
          <w:szCs w:val="26"/>
          <w:lang w:eastAsia="en-CA"/>
        </w:rPr>
        <w:t xml:space="preserve">ive version of the spreadsheet is provided </w:t>
      </w:r>
      <w:r w:rsidR="00182DE2" w:rsidRPr="00182DE2">
        <w:rPr>
          <w:rFonts w:eastAsiaTheme="majorEastAsia" w:cs="Times New Roman"/>
          <w:bCs/>
          <w:color w:val="000000"/>
          <w:szCs w:val="26"/>
          <w:lang w:eastAsia="en-CA"/>
        </w:rPr>
        <w:t>under file name</w:t>
      </w:r>
      <w:r w:rsidR="00182DE2">
        <w:rPr>
          <w:rFonts w:eastAsiaTheme="majorEastAsia" w:cs="Times New Roman"/>
          <w:bCs/>
          <w:color w:val="000000"/>
          <w:szCs w:val="26"/>
          <w:lang w:eastAsia="en-CA"/>
        </w:rPr>
        <w:t xml:space="preserve"> “</w:t>
      </w:r>
      <w:r w:rsidR="00E55064">
        <w:rPr>
          <w:rFonts w:eastAsiaTheme="majorEastAsia" w:cs="Times New Roman"/>
          <w:bCs/>
          <w:color w:val="000000"/>
          <w:szCs w:val="26"/>
          <w:lang w:eastAsia="en-CA"/>
        </w:rPr>
        <w:t>NorthBay_Undertaking_Resp_</w:t>
      </w:r>
      <w:r w:rsidR="00182DE2" w:rsidRPr="00182DE2">
        <w:rPr>
          <w:rFonts w:eastAsiaTheme="majorEastAsia" w:cs="Times New Roman"/>
          <w:bCs/>
          <w:color w:val="000000"/>
          <w:szCs w:val="26"/>
          <w:lang w:eastAsia="en-CA"/>
        </w:rPr>
        <w:t>JT1.7</w:t>
      </w:r>
      <w:r w:rsidR="00A004C2">
        <w:rPr>
          <w:rFonts w:eastAsiaTheme="majorEastAsia" w:cs="Times New Roman"/>
          <w:bCs/>
          <w:color w:val="000000"/>
          <w:szCs w:val="26"/>
          <w:lang w:eastAsia="en-CA"/>
        </w:rPr>
        <w:t xml:space="preserve"> </w:t>
      </w:r>
      <w:r w:rsidR="00182DE2" w:rsidRPr="00182DE2">
        <w:rPr>
          <w:rFonts w:eastAsiaTheme="majorEastAsia" w:cs="Times New Roman"/>
          <w:bCs/>
          <w:color w:val="000000"/>
          <w:szCs w:val="26"/>
          <w:lang w:eastAsia="en-CA"/>
        </w:rPr>
        <w:t>- 2-SEC-33 Table</w:t>
      </w:r>
      <w:r w:rsidR="00E55064">
        <w:rPr>
          <w:rFonts w:eastAsiaTheme="majorEastAsia" w:cs="Times New Roman"/>
          <w:bCs/>
          <w:color w:val="000000"/>
          <w:szCs w:val="26"/>
          <w:lang w:eastAsia="en-CA"/>
        </w:rPr>
        <w:t>_20150513</w:t>
      </w:r>
      <w:r w:rsidR="00182DE2">
        <w:rPr>
          <w:rFonts w:eastAsiaTheme="majorEastAsia" w:cs="Times New Roman"/>
          <w:bCs/>
          <w:color w:val="000000"/>
          <w:szCs w:val="26"/>
          <w:lang w:eastAsia="en-CA"/>
        </w:rPr>
        <w:t xml:space="preserve">”. </w:t>
      </w:r>
    </w:p>
    <w:p w:rsidR="00E55064" w:rsidRPr="007B396A" w:rsidRDefault="00182DE2" w:rsidP="002D2ECE">
      <w:r>
        <w:t xml:space="preserve">As explained in the technical conference, direct comparisons between a </w:t>
      </w:r>
      <w:r w:rsidR="00A004C2">
        <w:t>category of dollars</w:t>
      </w:r>
      <w:r w:rsidR="00744C8D">
        <w:t xml:space="preserve"> </w:t>
      </w:r>
      <w:r>
        <w:t>and a specific replacement cost cannot be made as there are more costs</w:t>
      </w:r>
      <w:r w:rsidR="004C0BFD">
        <w:t>/multiple activities</w:t>
      </w:r>
      <w:r>
        <w:t xml:space="preserve"> within a category than the specific unit</w:t>
      </w:r>
      <w:r w:rsidR="004C0BFD">
        <w:t>/replacement</w:t>
      </w:r>
      <w:r>
        <w:t xml:space="preserve"> cost. This is the case with the two line items under system service related to meter installations; </w:t>
      </w:r>
      <w:r w:rsidR="004C0BFD">
        <w:t>these two line items are various projects that encompass costs from multiple work orders and NBHDL does not track meter quantities by work order. For the purposes of the 2015 Test Year</w:t>
      </w:r>
      <w:r w:rsidR="00AB598A">
        <w:t xml:space="preserve"> forecast</w:t>
      </w:r>
      <w:r w:rsidR="004C0BFD">
        <w:t xml:space="preserve">, the amounts included for “Meter Installs and Upgrades-Smart Meters” </w:t>
      </w:r>
      <w:r w:rsidR="00AB598A">
        <w:t xml:space="preserve">of $15,000 represents an estimated meter cost of $75/meter for 200 </w:t>
      </w:r>
      <w:r w:rsidR="00F03B06">
        <w:lastRenderedPageBreak/>
        <w:t xml:space="preserve">residential smart </w:t>
      </w:r>
      <w:r w:rsidR="00AB598A">
        <w:t>meters. The miscellaneous</w:t>
      </w:r>
      <w:r w:rsidR="004C0BFD">
        <w:t xml:space="preserve"> “Meters” line </w:t>
      </w:r>
      <w:r w:rsidR="00AB598A">
        <w:t>represents an estimate of</w:t>
      </w:r>
      <w:r w:rsidR="004C0BFD">
        <w:t xml:space="preserve"> </w:t>
      </w:r>
      <w:r w:rsidR="00AB598A">
        <w:t>5</w:t>
      </w:r>
      <w:r w:rsidR="008F26D9">
        <w:t xml:space="preserve"> </w:t>
      </w:r>
      <w:r w:rsidR="00F03B06">
        <w:t xml:space="preserve">interval </w:t>
      </w:r>
      <w:r w:rsidR="008F26D9">
        <w:t>meters at a total estimate of $10,000.</w:t>
      </w:r>
      <w:r w:rsidR="00E55064">
        <w:br w:type="page"/>
      </w:r>
    </w:p>
    <w:p w:rsidR="00DF465D" w:rsidRPr="008034B4" w:rsidRDefault="00DF465D" w:rsidP="00DF465D">
      <w:pPr>
        <w:pStyle w:val="TitleLCBoldUnderlined"/>
      </w:pPr>
      <w:r w:rsidRPr="008034B4">
        <w:lastRenderedPageBreak/>
        <w:t xml:space="preserve">North Bay Hydro </w:t>
      </w:r>
      <w:r>
        <w:t>Technical Conference Undertaking</w:t>
      </w:r>
      <w:r w:rsidRPr="008034B4">
        <w:t xml:space="preserve"> Responses</w:t>
      </w:r>
    </w:p>
    <w:p w:rsidR="008034B4" w:rsidRPr="008034B4" w:rsidRDefault="00DF465D" w:rsidP="0047098D">
      <w:pPr>
        <w:pStyle w:val="NewTOCHeading"/>
      </w:pPr>
      <w:bookmarkStart w:id="8" w:name="_Toc419299752"/>
      <w:r w:rsidRPr="0092252E">
        <w:t>Undertaking NO. JT1.</w:t>
      </w:r>
      <w:r>
        <w:t>8</w:t>
      </w:r>
      <w:r w:rsidRPr="0092252E">
        <w:t>:</w:t>
      </w:r>
      <w:bookmarkEnd w:id="8"/>
    </w:p>
    <w:p w:rsidR="008034B4" w:rsidRPr="008034B4" w:rsidRDefault="00DF465D" w:rsidP="00DF465D">
      <w:pPr>
        <w:pStyle w:val="Heading2"/>
        <w:numPr>
          <w:ilvl w:val="0"/>
          <w:numId w:val="0"/>
        </w:numPr>
      </w:pPr>
      <w:r w:rsidRPr="00DF465D">
        <w:t>TO UPDATE THE COST OF POWER CALCULATION, ASSUMING IT IS A MATERIAL CHANGE, TO REFLECT THE LATEST FORECAST FOR RPP PRICES.</w:t>
      </w:r>
    </w:p>
    <w:p w:rsidR="003042EA" w:rsidRDefault="00DF465D" w:rsidP="00DF465D">
      <w:pPr>
        <w:pStyle w:val="Heading1"/>
      </w:pPr>
      <w:r>
        <w:t>Response:</w:t>
      </w:r>
    </w:p>
    <w:p w:rsidR="00F534DD" w:rsidRDefault="00F534DD" w:rsidP="00EF0373">
      <w:pPr>
        <w:spacing w:after="0"/>
        <w:rPr>
          <w:b/>
          <w:u w:val="single"/>
        </w:rPr>
      </w:pPr>
      <w:r>
        <w:rPr>
          <w:rFonts w:eastAsiaTheme="majorEastAsia" w:cs="Times New Roman"/>
          <w:bCs/>
          <w:color w:val="000000"/>
          <w:szCs w:val="28"/>
        </w:rPr>
        <w:t xml:space="preserve">NBHDL has updated the cost of power calculation to reflect </w:t>
      </w:r>
      <w:r w:rsidRPr="00F534DD">
        <w:rPr>
          <w:rFonts w:eastAsiaTheme="majorEastAsia" w:cs="Times New Roman"/>
          <w:bCs/>
          <w:color w:val="000000"/>
          <w:szCs w:val="28"/>
        </w:rPr>
        <w:t>the most</w:t>
      </w:r>
      <w:r>
        <w:rPr>
          <w:rFonts w:eastAsiaTheme="majorEastAsia" w:cs="Times New Roman"/>
          <w:bCs/>
          <w:color w:val="000000"/>
          <w:szCs w:val="28"/>
        </w:rPr>
        <w:t xml:space="preserve"> </w:t>
      </w:r>
      <w:r w:rsidRPr="00F534DD">
        <w:rPr>
          <w:rFonts w:eastAsiaTheme="majorEastAsia" w:cs="Times New Roman"/>
          <w:bCs/>
          <w:color w:val="000000"/>
          <w:szCs w:val="28"/>
        </w:rPr>
        <w:t>recent RPP and non-RPP price obtained from the Regulated Price Plan Price Report for the</w:t>
      </w:r>
      <w:r w:rsidR="00CB2E3D">
        <w:rPr>
          <w:rFonts w:eastAsiaTheme="majorEastAsia" w:cs="Times New Roman"/>
          <w:bCs/>
          <w:color w:val="000000"/>
          <w:szCs w:val="28"/>
        </w:rPr>
        <w:t xml:space="preserve"> </w:t>
      </w:r>
      <w:r w:rsidRPr="00F534DD">
        <w:rPr>
          <w:rFonts w:eastAsiaTheme="majorEastAsia" w:cs="Times New Roman"/>
          <w:bCs/>
          <w:color w:val="000000"/>
          <w:szCs w:val="28"/>
        </w:rPr>
        <w:t xml:space="preserve">period of </w:t>
      </w:r>
      <w:r w:rsidR="00CB2E3D">
        <w:rPr>
          <w:rFonts w:eastAsiaTheme="majorEastAsia" w:cs="Times New Roman"/>
          <w:bCs/>
          <w:color w:val="000000"/>
          <w:szCs w:val="28"/>
        </w:rPr>
        <w:t>May</w:t>
      </w:r>
      <w:r w:rsidRPr="00F534DD">
        <w:rPr>
          <w:rFonts w:eastAsiaTheme="majorEastAsia" w:cs="Times New Roman"/>
          <w:bCs/>
          <w:color w:val="000000"/>
          <w:szCs w:val="28"/>
        </w:rPr>
        <w:t xml:space="preserve"> 1, 201</w:t>
      </w:r>
      <w:r w:rsidR="00CB2E3D">
        <w:rPr>
          <w:rFonts w:eastAsiaTheme="majorEastAsia" w:cs="Times New Roman"/>
          <w:bCs/>
          <w:color w:val="000000"/>
          <w:szCs w:val="28"/>
        </w:rPr>
        <w:t>5</w:t>
      </w:r>
      <w:r w:rsidRPr="00F534DD">
        <w:rPr>
          <w:rFonts w:eastAsiaTheme="majorEastAsia" w:cs="Times New Roman"/>
          <w:bCs/>
          <w:color w:val="000000"/>
          <w:szCs w:val="28"/>
        </w:rPr>
        <w:t xml:space="preserve"> </w:t>
      </w:r>
      <w:r w:rsidR="00CB2E3D">
        <w:rPr>
          <w:rFonts w:eastAsiaTheme="majorEastAsia" w:cs="Times New Roman"/>
          <w:bCs/>
          <w:color w:val="000000"/>
          <w:szCs w:val="28"/>
        </w:rPr>
        <w:t>to April 30</w:t>
      </w:r>
      <w:r w:rsidRPr="00F534DD">
        <w:rPr>
          <w:rFonts w:eastAsiaTheme="majorEastAsia" w:cs="Times New Roman"/>
          <w:bCs/>
          <w:color w:val="000000"/>
          <w:szCs w:val="28"/>
        </w:rPr>
        <w:t>, 201</w:t>
      </w:r>
      <w:r w:rsidR="00CB2E3D">
        <w:rPr>
          <w:rFonts w:eastAsiaTheme="majorEastAsia" w:cs="Times New Roman"/>
          <w:bCs/>
          <w:color w:val="000000"/>
          <w:szCs w:val="28"/>
        </w:rPr>
        <w:t>6</w:t>
      </w:r>
      <w:r w:rsidRPr="00F534DD">
        <w:rPr>
          <w:rFonts w:eastAsiaTheme="majorEastAsia" w:cs="Times New Roman"/>
          <w:bCs/>
          <w:color w:val="000000"/>
          <w:szCs w:val="28"/>
        </w:rPr>
        <w:t xml:space="preserve"> published by the B</w:t>
      </w:r>
      <w:r w:rsidR="00E32109">
        <w:rPr>
          <w:rFonts w:eastAsiaTheme="majorEastAsia" w:cs="Times New Roman"/>
          <w:bCs/>
          <w:color w:val="000000"/>
          <w:szCs w:val="28"/>
        </w:rPr>
        <w:t>oard</w:t>
      </w:r>
      <w:r w:rsidRPr="00F534DD">
        <w:rPr>
          <w:rFonts w:eastAsiaTheme="majorEastAsia" w:cs="Times New Roman"/>
          <w:bCs/>
          <w:color w:val="000000"/>
          <w:szCs w:val="28"/>
        </w:rPr>
        <w:t xml:space="preserve"> </w:t>
      </w:r>
      <w:r w:rsidR="00CB2E3D">
        <w:rPr>
          <w:rFonts w:eastAsiaTheme="majorEastAsia" w:cs="Times New Roman"/>
          <w:bCs/>
          <w:color w:val="000000"/>
          <w:szCs w:val="28"/>
        </w:rPr>
        <w:t>April 20</w:t>
      </w:r>
      <w:r w:rsidRPr="00F534DD">
        <w:rPr>
          <w:rFonts w:eastAsiaTheme="majorEastAsia" w:cs="Times New Roman"/>
          <w:bCs/>
          <w:color w:val="000000"/>
          <w:szCs w:val="28"/>
        </w:rPr>
        <w:t>,</w:t>
      </w:r>
      <w:r w:rsidR="00CB2E3D">
        <w:rPr>
          <w:rFonts w:eastAsiaTheme="majorEastAsia" w:cs="Times New Roman"/>
          <w:bCs/>
          <w:color w:val="000000"/>
          <w:szCs w:val="28"/>
        </w:rPr>
        <w:t xml:space="preserve"> 2015. </w:t>
      </w:r>
      <w:r w:rsidRPr="00F534DD">
        <w:rPr>
          <w:rFonts w:eastAsiaTheme="majorEastAsia" w:cs="Times New Roman"/>
          <w:bCs/>
          <w:color w:val="000000"/>
          <w:szCs w:val="28"/>
        </w:rPr>
        <w:t>For the purposes of calculating the 2015 Test Year, NBHDL has used an estimate of</w:t>
      </w:r>
      <w:r w:rsidR="00CB2E3D">
        <w:rPr>
          <w:rFonts w:eastAsiaTheme="majorEastAsia" w:cs="Times New Roman"/>
          <w:bCs/>
          <w:color w:val="000000"/>
          <w:szCs w:val="28"/>
        </w:rPr>
        <w:t xml:space="preserve"> </w:t>
      </w:r>
      <w:r w:rsidRPr="00F534DD">
        <w:rPr>
          <w:rFonts w:eastAsiaTheme="majorEastAsia" w:cs="Times New Roman"/>
          <w:bCs/>
          <w:color w:val="000000"/>
          <w:szCs w:val="28"/>
        </w:rPr>
        <w:t>$.</w:t>
      </w:r>
      <w:r w:rsidR="00EF0373">
        <w:rPr>
          <w:rFonts w:eastAsiaTheme="majorEastAsia" w:cs="Times New Roman"/>
          <w:bCs/>
          <w:color w:val="000000"/>
          <w:szCs w:val="28"/>
        </w:rPr>
        <w:t>10210</w:t>
      </w:r>
      <w:r w:rsidRPr="00F534DD">
        <w:rPr>
          <w:rFonts w:eastAsiaTheme="majorEastAsia" w:cs="Times New Roman"/>
          <w:bCs/>
          <w:color w:val="000000"/>
          <w:szCs w:val="28"/>
        </w:rPr>
        <w:t xml:space="preserve"> per kWh for RPP customers. For non-RPP customers, NBHDL has used $.</w:t>
      </w:r>
      <w:r w:rsidR="00EF0373">
        <w:rPr>
          <w:rFonts w:eastAsiaTheme="majorEastAsia" w:cs="Times New Roman"/>
          <w:bCs/>
          <w:color w:val="000000"/>
          <w:szCs w:val="28"/>
        </w:rPr>
        <w:t>10186</w:t>
      </w:r>
      <w:r w:rsidRPr="00F534DD">
        <w:rPr>
          <w:rFonts w:eastAsiaTheme="majorEastAsia" w:cs="Times New Roman"/>
          <w:bCs/>
          <w:color w:val="000000"/>
          <w:szCs w:val="28"/>
        </w:rPr>
        <w:t>/kWh</w:t>
      </w:r>
      <w:r w:rsidR="00EF0373">
        <w:rPr>
          <w:rFonts w:eastAsiaTheme="majorEastAsia" w:cs="Times New Roman"/>
          <w:bCs/>
          <w:color w:val="000000"/>
          <w:szCs w:val="28"/>
        </w:rPr>
        <w:t xml:space="preserve"> </w:t>
      </w:r>
      <w:r w:rsidRPr="00F534DD">
        <w:rPr>
          <w:rFonts w:eastAsiaTheme="majorEastAsia" w:cs="Times New Roman"/>
          <w:bCs/>
          <w:color w:val="000000"/>
          <w:szCs w:val="28"/>
        </w:rPr>
        <w:t>which includes $.</w:t>
      </w:r>
      <w:r w:rsidR="00EF0373">
        <w:rPr>
          <w:rFonts w:eastAsiaTheme="majorEastAsia" w:cs="Times New Roman"/>
          <w:bCs/>
          <w:color w:val="000000"/>
          <w:szCs w:val="28"/>
        </w:rPr>
        <w:t>01992</w:t>
      </w:r>
      <w:r w:rsidRPr="00F534DD">
        <w:rPr>
          <w:rFonts w:eastAsiaTheme="majorEastAsia" w:cs="Times New Roman"/>
          <w:bCs/>
          <w:color w:val="000000"/>
          <w:szCs w:val="28"/>
        </w:rPr>
        <w:t xml:space="preserve"> per kWh for the </w:t>
      </w:r>
      <w:r w:rsidR="00DE729C">
        <w:rPr>
          <w:rFonts w:eastAsiaTheme="majorEastAsia" w:cs="Times New Roman"/>
          <w:bCs/>
          <w:color w:val="000000"/>
          <w:szCs w:val="28"/>
        </w:rPr>
        <w:t xml:space="preserve">Forecast </w:t>
      </w:r>
      <w:r w:rsidRPr="00F534DD">
        <w:rPr>
          <w:rFonts w:eastAsiaTheme="majorEastAsia" w:cs="Times New Roman"/>
          <w:bCs/>
          <w:color w:val="000000"/>
          <w:szCs w:val="28"/>
        </w:rPr>
        <w:t>Wholesale Electricity Price and $.0</w:t>
      </w:r>
      <w:r w:rsidR="00EF0373">
        <w:rPr>
          <w:rFonts w:eastAsiaTheme="majorEastAsia" w:cs="Times New Roman"/>
          <w:bCs/>
          <w:color w:val="000000"/>
          <w:szCs w:val="28"/>
        </w:rPr>
        <w:t>8194</w:t>
      </w:r>
      <w:r w:rsidRPr="00F534DD">
        <w:rPr>
          <w:rFonts w:eastAsiaTheme="majorEastAsia" w:cs="Times New Roman"/>
          <w:bCs/>
          <w:color w:val="000000"/>
          <w:szCs w:val="28"/>
        </w:rPr>
        <w:t xml:space="preserve"> per kWh for</w:t>
      </w:r>
      <w:r w:rsidR="00EF0373">
        <w:rPr>
          <w:rFonts w:eastAsiaTheme="majorEastAsia" w:cs="Times New Roman"/>
          <w:bCs/>
          <w:color w:val="000000"/>
          <w:szCs w:val="28"/>
        </w:rPr>
        <w:t xml:space="preserve"> </w:t>
      </w:r>
      <w:r w:rsidR="00DE729C">
        <w:rPr>
          <w:rFonts w:eastAsiaTheme="majorEastAsia" w:cs="Times New Roman"/>
          <w:bCs/>
          <w:color w:val="000000"/>
          <w:szCs w:val="28"/>
        </w:rPr>
        <w:t xml:space="preserve">the Impact of the </w:t>
      </w:r>
      <w:r w:rsidRPr="00F534DD">
        <w:rPr>
          <w:rFonts w:eastAsiaTheme="majorEastAsia" w:cs="Times New Roman"/>
          <w:bCs/>
          <w:color w:val="000000"/>
          <w:szCs w:val="28"/>
        </w:rPr>
        <w:t>Global Adjustment charges.</w:t>
      </w:r>
      <w:r w:rsidR="00EF0373">
        <w:rPr>
          <w:rFonts w:eastAsiaTheme="majorEastAsia" w:cs="Times New Roman"/>
          <w:bCs/>
          <w:color w:val="000000"/>
          <w:szCs w:val="28"/>
        </w:rPr>
        <w:t xml:space="preserve"> The calculation was derived using </w:t>
      </w:r>
      <w:r w:rsidR="00EF0373" w:rsidRPr="00EF0373">
        <w:rPr>
          <w:rFonts w:eastAsiaTheme="majorEastAsia" w:cs="Times New Roman"/>
          <w:bCs/>
          <w:color w:val="000000"/>
          <w:szCs w:val="28"/>
        </w:rPr>
        <w:t>the proposed 2015 load forecast for the purposes of determining NBHDL’s 2015 proposed rates</w:t>
      </w:r>
      <w:r w:rsidR="00EF0373">
        <w:rPr>
          <w:rFonts w:eastAsiaTheme="majorEastAsia" w:cs="Times New Roman"/>
          <w:bCs/>
          <w:color w:val="000000"/>
          <w:szCs w:val="28"/>
        </w:rPr>
        <w:t xml:space="preserve"> as provided in Undertaking </w:t>
      </w:r>
      <w:r w:rsidR="00BE5025">
        <w:rPr>
          <w:rFonts w:eastAsiaTheme="majorEastAsia" w:cs="Times New Roman"/>
          <w:bCs/>
          <w:color w:val="000000"/>
          <w:szCs w:val="28"/>
        </w:rPr>
        <w:t xml:space="preserve">NO. </w:t>
      </w:r>
      <w:r w:rsidR="00EF0373">
        <w:rPr>
          <w:rFonts w:eastAsiaTheme="majorEastAsia" w:cs="Times New Roman"/>
          <w:bCs/>
          <w:color w:val="000000"/>
          <w:szCs w:val="28"/>
        </w:rPr>
        <w:t>JT1.14</w:t>
      </w:r>
      <w:r w:rsidR="00EF0373" w:rsidRPr="00EF0373">
        <w:rPr>
          <w:rFonts w:eastAsiaTheme="majorEastAsia" w:cs="Times New Roman"/>
          <w:bCs/>
          <w:color w:val="000000"/>
          <w:szCs w:val="28"/>
        </w:rPr>
        <w:t>.</w:t>
      </w:r>
      <w:r w:rsidR="00EF0373">
        <w:rPr>
          <w:rFonts w:eastAsiaTheme="majorEastAsia" w:cs="Times New Roman"/>
          <w:bCs/>
          <w:color w:val="000000"/>
          <w:szCs w:val="28"/>
        </w:rPr>
        <w:t xml:space="preserve"> The following table has been provided to summarize the</w:t>
      </w:r>
      <w:r w:rsidR="00E32109">
        <w:rPr>
          <w:rFonts w:eastAsiaTheme="majorEastAsia" w:cs="Times New Roman"/>
          <w:bCs/>
          <w:color w:val="000000"/>
          <w:szCs w:val="28"/>
        </w:rPr>
        <w:t xml:space="preserve"> proposed</w:t>
      </w:r>
      <w:r w:rsidR="00EF0373">
        <w:rPr>
          <w:rFonts w:eastAsiaTheme="majorEastAsia" w:cs="Times New Roman"/>
          <w:bCs/>
          <w:color w:val="000000"/>
          <w:szCs w:val="28"/>
        </w:rPr>
        <w:t xml:space="preserve"> cost of power expense.</w:t>
      </w:r>
    </w:p>
    <w:p w:rsidR="00EF0373" w:rsidRDefault="00EF0373" w:rsidP="00EF0373">
      <w:pPr>
        <w:spacing w:after="200" w:line="276" w:lineRule="auto"/>
        <w:rPr>
          <w:b/>
          <w:u w:val="single"/>
        </w:rPr>
        <w:sectPr w:rsidR="00EF0373" w:rsidSect="007B2AFB">
          <w:headerReference w:type="default" r:id="rId18"/>
          <w:pgSz w:w="12240" w:h="15840"/>
          <w:pgMar w:top="1440" w:right="1440" w:bottom="1440" w:left="1440" w:header="708" w:footer="708" w:gutter="0"/>
          <w:lnNumType w:countBy="1"/>
          <w:cols w:space="708"/>
          <w:docGrid w:linePitch="360"/>
        </w:sectPr>
      </w:pPr>
    </w:p>
    <w:p w:rsidR="00EF0373" w:rsidRDefault="00EF0373" w:rsidP="00EF0373">
      <w:pPr>
        <w:spacing w:after="200" w:line="276" w:lineRule="auto"/>
        <w:rPr>
          <w:b/>
          <w:u w:val="single"/>
        </w:rPr>
        <w:sectPr w:rsidR="00EF0373" w:rsidSect="00EF0373">
          <w:pgSz w:w="12240" w:h="15840"/>
          <w:pgMar w:top="720" w:right="720" w:bottom="0" w:left="720" w:header="708" w:footer="708" w:gutter="0"/>
          <w:lnNumType w:countBy="1"/>
          <w:cols w:space="708"/>
          <w:docGrid w:linePitch="360"/>
        </w:sectPr>
      </w:pPr>
      <w:r w:rsidRPr="00EF0373">
        <w:rPr>
          <w:noProof/>
          <w:lang w:val="en-US"/>
        </w:rPr>
        <w:lastRenderedPageBreak/>
        <w:drawing>
          <wp:inline distT="0" distB="0" distL="0" distR="0" wp14:anchorId="02122EF8" wp14:editId="0EA087CF">
            <wp:extent cx="6991004" cy="7913716"/>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91004" cy="7913716"/>
                    </a:xfrm>
                    <a:prstGeom prst="rect">
                      <a:avLst/>
                    </a:prstGeom>
                    <a:noFill/>
                    <a:ln>
                      <a:noFill/>
                    </a:ln>
                  </pic:spPr>
                </pic:pic>
              </a:graphicData>
            </a:graphic>
          </wp:inline>
        </w:drawing>
      </w:r>
    </w:p>
    <w:p w:rsidR="00DF465D" w:rsidRPr="008034B4" w:rsidRDefault="00DF465D" w:rsidP="00DF465D">
      <w:pPr>
        <w:pStyle w:val="TitleLCBoldUnderlined"/>
      </w:pPr>
      <w:r w:rsidRPr="008034B4">
        <w:lastRenderedPageBreak/>
        <w:t xml:space="preserve">North Bay Hydro </w:t>
      </w:r>
      <w:r>
        <w:t>Technical Conference Undertaking</w:t>
      </w:r>
      <w:r w:rsidRPr="008034B4">
        <w:t xml:space="preserve"> Responses</w:t>
      </w:r>
    </w:p>
    <w:p w:rsidR="008034B4" w:rsidRPr="008034B4" w:rsidRDefault="00DF465D" w:rsidP="0047098D">
      <w:pPr>
        <w:pStyle w:val="NewTOCHeading"/>
      </w:pPr>
      <w:bookmarkStart w:id="9" w:name="_Toc419299753"/>
      <w:r w:rsidRPr="0092252E">
        <w:t>Undertaking NO. JT1.</w:t>
      </w:r>
      <w:r>
        <w:t>9</w:t>
      </w:r>
      <w:r w:rsidRPr="002E4B54">
        <w:t>:</w:t>
      </w:r>
      <w:bookmarkEnd w:id="9"/>
    </w:p>
    <w:p w:rsidR="008034B4" w:rsidRPr="008034B4" w:rsidRDefault="00DF465D" w:rsidP="00D36543">
      <w:r w:rsidRPr="00DF465D">
        <w:t>TO PROVIDE THE IMPACT ON TAXABLE INCOME IN THE TEST YEAR, IF THE 2014 AND '15 ADDITIONS IN COMPUTER SOFTWARE WERE REMOVED FROM CCA CLASS 50 AND PUT IN CCA CLASS 12.</w:t>
      </w:r>
    </w:p>
    <w:p w:rsidR="008034B4" w:rsidRPr="008034B4" w:rsidRDefault="008034B4" w:rsidP="00D36543">
      <w:pPr>
        <w:pStyle w:val="Heading1"/>
      </w:pPr>
      <w:r w:rsidRPr="008034B4">
        <w:t>Response:</w:t>
      </w:r>
    </w:p>
    <w:p w:rsidR="00351A0B" w:rsidRDefault="00B4559F" w:rsidP="00351A0B">
      <w:pPr>
        <w:spacing w:after="200"/>
      </w:pPr>
      <w:r>
        <w:t>During the analysis for this undertaking NBHDL note</w:t>
      </w:r>
      <w:r w:rsidR="00D4079B">
        <w:t>d</w:t>
      </w:r>
      <w:r>
        <w:t xml:space="preserve"> that a project amounting to $9,000 was included as Computer Hardware </w:t>
      </w:r>
      <w:r w:rsidR="00351A0B">
        <w:t xml:space="preserve">(Acct 1920) </w:t>
      </w:r>
      <w:r>
        <w:t>in the 2015 Continuity Schedule</w:t>
      </w:r>
      <w:r w:rsidR="00351A0B">
        <w:t>, but should be included in the additions for Computer Software (Acct 1611 – formally Acct 1925)</w:t>
      </w:r>
      <w:r>
        <w:t>. As this amount is immaterial</w:t>
      </w:r>
      <w:r w:rsidR="007B396A">
        <w:t>,</w:t>
      </w:r>
      <w:r>
        <w:t xml:space="preserve"> NBHDL </w:t>
      </w:r>
      <w:r w:rsidR="008D2C44">
        <w:t xml:space="preserve">proposes to update the </w:t>
      </w:r>
      <w:r w:rsidR="00351A0B">
        <w:t xml:space="preserve">continuity schedule for 2015 </w:t>
      </w:r>
      <w:r w:rsidR="003730A7">
        <w:t>when final rates are determined</w:t>
      </w:r>
      <w:r w:rsidR="00351A0B">
        <w:t>. For clarity, the additions to Computer Software (Acct 1611) for the 2015 Test Year should be $37,250 and additions to Computer Hardware (Acct 1920) for the 2015 Test Year should be $126,800.</w:t>
      </w:r>
      <w:r>
        <w:t xml:space="preserve"> </w:t>
      </w:r>
    </w:p>
    <w:p w:rsidR="00E178EA" w:rsidRDefault="006C7544" w:rsidP="00404E57">
      <w:pPr>
        <w:spacing w:after="200"/>
      </w:pPr>
      <w:r>
        <w:t xml:space="preserve">If the 2014 </w:t>
      </w:r>
      <w:r w:rsidR="00E178EA">
        <w:t>(</w:t>
      </w:r>
      <w:r>
        <w:t>actual</w:t>
      </w:r>
      <w:r w:rsidR="00B4559F">
        <w:t xml:space="preserve"> - $86,870</w:t>
      </w:r>
      <w:r w:rsidR="00E178EA">
        <w:t>)</w:t>
      </w:r>
      <w:r>
        <w:t xml:space="preserve"> and 2015 </w:t>
      </w:r>
      <w:r w:rsidR="00E178EA">
        <w:t>(</w:t>
      </w:r>
      <w:r>
        <w:t>forecasted</w:t>
      </w:r>
      <w:r w:rsidR="00B4559F">
        <w:t xml:space="preserve"> - $37,250</w:t>
      </w:r>
      <w:r w:rsidR="00E178EA">
        <w:t>)</w:t>
      </w:r>
      <w:r>
        <w:t xml:space="preserve"> computer software additions </w:t>
      </w:r>
      <w:r w:rsidR="00A80FC4">
        <w:t>are</w:t>
      </w:r>
      <w:r>
        <w:t xml:space="preserve"> re-allocated to CCA Class 12, from CCA class 50, there would be a ($2</w:t>
      </w:r>
      <w:r w:rsidR="00B4559F">
        <w:t>3</w:t>
      </w:r>
      <w:r>
        <w:t>,</w:t>
      </w:r>
      <w:r w:rsidR="00B4559F">
        <w:t>370</w:t>
      </w:r>
      <w:r>
        <w:t>) reduction to taxable income in the 2015 Test Year.</w:t>
      </w:r>
    </w:p>
    <w:p w:rsidR="00D4079B" w:rsidRDefault="00E178EA" w:rsidP="00404E57">
      <w:pPr>
        <w:spacing w:after="200"/>
      </w:pPr>
      <w:r>
        <w:t>In reviewing the capital additions for 2014 and 2015 in more detail against the CCA Class definitions in the context of the comments made by Mr. Aiken in the Technical Conference</w:t>
      </w:r>
      <w:r w:rsidR="00B23716">
        <w:rPr>
          <w:rStyle w:val="FootnoteReference"/>
        </w:rPr>
        <w:footnoteReference w:id="2"/>
      </w:r>
      <w:r>
        <w:t xml:space="preserve">, NBHDL has determined that a re-allocation of 2014 actual additions of $86,870 </w:t>
      </w:r>
      <w:r w:rsidR="00351A0B">
        <w:t xml:space="preserve">and 2015 forecasted additions of $37,250 </w:t>
      </w:r>
      <w:r>
        <w:t xml:space="preserve">to Class </w:t>
      </w:r>
      <w:r w:rsidR="008D2C44">
        <w:t>12</w:t>
      </w:r>
      <w:r>
        <w:t xml:space="preserve"> is appropriate</w:t>
      </w:r>
      <w:r w:rsidR="00D4079B">
        <w:t xml:space="preserve">. </w:t>
      </w:r>
      <w:r>
        <w:t xml:space="preserve">NBHDL has made this revision and included </w:t>
      </w:r>
      <w:r w:rsidR="00A80FC4">
        <w:t xml:space="preserve">the </w:t>
      </w:r>
      <w:r w:rsidR="002E4B54">
        <w:t>changes</w:t>
      </w:r>
      <w:r w:rsidR="00A80FC4">
        <w:t xml:space="preserve"> </w:t>
      </w:r>
      <w:r>
        <w:t xml:space="preserve">in the response to </w:t>
      </w:r>
      <w:r w:rsidRPr="00E178EA">
        <w:t>Undertaking NO. JT1.1</w:t>
      </w:r>
      <w:r>
        <w:t xml:space="preserve">. </w:t>
      </w:r>
      <w:r w:rsidR="00D4079B">
        <w:t>NBHDL is</w:t>
      </w:r>
      <w:r>
        <w:t xml:space="preserve"> propos</w:t>
      </w:r>
      <w:r w:rsidR="00D4079B">
        <w:t xml:space="preserve">ing </w:t>
      </w:r>
      <w:r>
        <w:t>a ($</w:t>
      </w:r>
      <w:r w:rsidR="00D4079B">
        <w:t>2</w:t>
      </w:r>
      <w:r w:rsidR="00351A0B">
        <w:t>3</w:t>
      </w:r>
      <w:r>
        <w:t>,</w:t>
      </w:r>
      <w:r w:rsidR="00351A0B">
        <w:t>370</w:t>
      </w:r>
      <w:r>
        <w:t>) reduction to taxable income in the 2015 Test Year.</w:t>
      </w:r>
      <w:r w:rsidR="00D4079B">
        <w:t xml:space="preserve"> </w:t>
      </w:r>
    </w:p>
    <w:p w:rsidR="00DF465D" w:rsidRPr="008034B4" w:rsidRDefault="00DF465D" w:rsidP="00DF465D">
      <w:pPr>
        <w:pStyle w:val="TitleLCBoldUnderlined"/>
      </w:pPr>
      <w:r w:rsidRPr="008034B4">
        <w:lastRenderedPageBreak/>
        <w:t xml:space="preserve">North Bay Hydro </w:t>
      </w:r>
      <w:r>
        <w:t>Technical Conference Undertaking</w:t>
      </w:r>
      <w:r w:rsidRPr="008034B4">
        <w:t xml:space="preserve"> Responses</w:t>
      </w:r>
    </w:p>
    <w:p w:rsidR="00DF465D" w:rsidRPr="00DF465D" w:rsidRDefault="00DF465D" w:rsidP="0047098D">
      <w:pPr>
        <w:pStyle w:val="NewTOCHeading"/>
      </w:pPr>
      <w:bookmarkStart w:id="10" w:name="_Toc419299754"/>
      <w:r w:rsidRPr="00DF465D">
        <w:t>Undertaking NO. JT1.</w:t>
      </w:r>
      <w:r>
        <w:t>10</w:t>
      </w:r>
      <w:r w:rsidRPr="00DF465D">
        <w:t>:</w:t>
      </w:r>
      <w:bookmarkEnd w:id="10"/>
    </w:p>
    <w:p w:rsidR="008034B4" w:rsidRPr="008034B4" w:rsidRDefault="00DF465D" w:rsidP="00DF465D">
      <w:pPr>
        <w:pStyle w:val="Heading2"/>
        <w:numPr>
          <w:ilvl w:val="0"/>
          <w:numId w:val="0"/>
        </w:numPr>
      </w:pPr>
      <w:r w:rsidRPr="00DF465D">
        <w:t>TO REFILE UPDATED SCHEDULES 2-JA, 2-JB AND 2-JC FOR 2014 ACTUALS</w:t>
      </w:r>
      <w:r>
        <w:t>.</w:t>
      </w:r>
    </w:p>
    <w:p w:rsidR="008034B4" w:rsidRPr="008034B4" w:rsidRDefault="008034B4" w:rsidP="00D36543">
      <w:pPr>
        <w:pStyle w:val="Heading1"/>
      </w:pPr>
      <w:r w:rsidRPr="008034B4">
        <w:t>Response:</w:t>
      </w:r>
    </w:p>
    <w:p w:rsidR="00BE72D6" w:rsidRDefault="00BE72D6" w:rsidP="00D36543">
      <w:r>
        <w:t>Tables 2-JA, 2-JB and 2-JC are</w:t>
      </w:r>
      <w:r w:rsidRPr="00BE72D6">
        <w:t xml:space="preserve"> provided</w:t>
      </w:r>
      <w:r>
        <w:t xml:space="preserve"> in a live Excel spreadsheet </w:t>
      </w:r>
      <w:r w:rsidRPr="00BE72D6">
        <w:t>named “</w:t>
      </w:r>
      <w:r w:rsidR="00E55064">
        <w:t>NorthBay_Undertaking_Resp_</w:t>
      </w:r>
      <w:r w:rsidRPr="00BE72D6">
        <w:t>JT1.10 - Tables 2-JA_2-JB_2-JC</w:t>
      </w:r>
      <w:r w:rsidR="00A01310">
        <w:t xml:space="preserve"> - </w:t>
      </w:r>
      <w:r w:rsidRPr="00BE72D6">
        <w:t>IRR 2-SEC-35</w:t>
      </w:r>
      <w:r w:rsidR="00E55064">
        <w:t>_20150513</w:t>
      </w:r>
      <w:r w:rsidRPr="00BE72D6">
        <w:t>”</w:t>
      </w:r>
      <w:r>
        <w:t xml:space="preserve">. </w:t>
      </w:r>
    </w:p>
    <w:p w:rsidR="00EC4B3A" w:rsidRDefault="00EC4B3A" w:rsidP="00EC4B3A">
      <w:pPr>
        <w:spacing w:after="200" w:line="276" w:lineRule="auto"/>
        <w:sectPr w:rsidR="00EC4B3A" w:rsidSect="007B2AFB">
          <w:pgSz w:w="12240" w:h="15840"/>
          <w:pgMar w:top="1440" w:right="1440" w:bottom="1440" w:left="1440" w:header="708" w:footer="708" w:gutter="0"/>
          <w:lnNumType w:countBy="1"/>
          <w:cols w:space="708"/>
          <w:docGrid w:linePitch="360"/>
        </w:sectPr>
      </w:pPr>
    </w:p>
    <w:p w:rsidR="00DF465D" w:rsidRPr="008034B4" w:rsidRDefault="00DF465D" w:rsidP="00DF465D">
      <w:pPr>
        <w:pStyle w:val="TitleLCBoldUnderlined"/>
      </w:pPr>
      <w:r w:rsidRPr="008034B4">
        <w:lastRenderedPageBreak/>
        <w:t xml:space="preserve">North Bay Hydro </w:t>
      </w:r>
      <w:r>
        <w:t>Technical Conference Undertaking</w:t>
      </w:r>
      <w:r w:rsidRPr="008034B4">
        <w:t xml:space="preserve"> Responses</w:t>
      </w:r>
    </w:p>
    <w:p w:rsidR="00DF465D" w:rsidRPr="00DF465D" w:rsidRDefault="00DF465D" w:rsidP="0047098D">
      <w:pPr>
        <w:pStyle w:val="NewTOCHeading"/>
      </w:pPr>
      <w:bookmarkStart w:id="11" w:name="_Toc419299755"/>
      <w:r w:rsidRPr="00DF465D">
        <w:t>Undertaking NO. JT1.</w:t>
      </w:r>
      <w:r>
        <w:t>11</w:t>
      </w:r>
      <w:r w:rsidRPr="00DF465D">
        <w:t>:</w:t>
      </w:r>
      <w:bookmarkEnd w:id="11"/>
    </w:p>
    <w:p w:rsidR="008034B4" w:rsidRPr="008034B4" w:rsidRDefault="00DF465D" w:rsidP="00D36543">
      <w:r w:rsidRPr="00DF465D">
        <w:t>TO EXPAND THE TABLE AND PROVIDE A RESPONSE TO PART A TO INCLUDE 2014 ACTUALS FOR THE CUSTOMER THAT CLOSED SHOP IN 2014.</w:t>
      </w:r>
    </w:p>
    <w:p w:rsidR="008034B4" w:rsidRPr="008034B4" w:rsidRDefault="008034B4" w:rsidP="00D36543">
      <w:pPr>
        <w:pStyle w:val="Heading1"/>
      </w:pPr>
      <w:r w:rsidRPr="008034B4">
        <w:t>Response:</w:t>
      </w:r>
    </w:p>
    <w:p w:rsidR="00CC6453" w:rsidRDefault="00CC6453" w:rsidP="00CC6453">
      <w:pPr>
        <w:pStyle w:val="Heading1"/>
        <w:numPr>
          <w:ilvl w:val="0"/>
          <w:numId w:val="0"/>
        </w:numPr>
        <w:rPr>
          <w:b w:val="0"/>
          <w:u w:val="none"/>
        </w:rPr>
      </w:pPr>
      <w:r>
        <w:rPr>
          <w:b w:val="0"/>
          <w:u w:val="none"/>
        </w:rPr>
        <w:t xml:space="preserve">The table provided in </w:t>
      </w:r>
      <w:r w:rsidRPr="00CC6453">
        <w:rPr>
          <w:b w:val="0"/>
          <w:u w:val="none"/>
        </w:rPr>
        <w:t>3-Energy Probe-37</w:t>
      </w:r>
      <w:r>
        <w:rPr>
          <w:b w:val="0"/>
          <w:u w:val="none"/>
        </w:rPr>
        <w:t xml:space="preserve"> a) has been updated below to include 2014 actual kWh and kW for the customer in the GS 3,000 to 4,999 kW class that has shut down its operations in North Bay.</w:t>
      </w:r>
    </w:p>
    <w:p w:rsidR="00DF465D" w:rsidRPr="00CC6453" w:rsidRDefault="00CC6453" w:rsidP="00CC6453">
      <w:pPr>
        <w:pStyle w:val="Heading1"/>
        <w:numPr>
          <w:ilvl w:val="0"/>
          <w:numId w:val="0"/>
        </w:numPr>
        <w:jc w:val="center"/>
        <w:rPr>
          <w:b w:val="0"/>
          <w:u w:val="none"/>
        </w:rPr>
      </w:pPr>
      <w:r w:rsidRPr="00CC6453">
        <w:rPr>
          <w:b w:val="0"/>
          <w:noProof/>
          <w:u w:val="none"/>
          <w:lang w:val="en-US"/>
        </w:rPr>
        <w:drawing>
          <wp:inline distT="0" distB="0" distL="0" distR="0" wp14:anchorId="0B574E39" wp14:editId="2F608AAB">
            <wp:extent cx="4551680" cy="723265"/>
            <wp:effectExtent l="0" t="0" r="127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51680" cy="723265"/>
                    </a:xfrm>
                    <a:prstGeom prst="rect">
                      <a:avLst/>
                    </a:prstGeom>
                    <a:noFill/>
                    <a:ln>
                      <a:noFill/>
                    </a:ln>
                  </pic:spPr>
                </pic:pic>
              </a:graphicData>
            </a:graphic>
          </wp:inline>
        </w:drawing>
      </w:r>
      <w:r w:rsidR="00EF0E47">
        <w:br w:type="page"/>
      </w:r>
    </w:p>
    <w:p w:rsidR="00DF465D" w:rsidRPr="008034B4" w:rsidRDefault="00DF465D" w:rsidP="00DF465D">
      <w:pPr>
        <w:pStyle w:val="TitleLCBoldUnderlined"/>
      </w:pPr>
      <w:r w:rsidRPr="008034B4">
        <w:lastRenderedPageBreak/>
        <w:t xml:space="preserve">North Bay Hydro </w:t>
      </w:r>
      <w:r>
        <w:t>Technical Conference Undertaking</w:t>
      </w:r>
      <w:r w:rsidRPr="008034B4">
        <w:t xml:space="preserve"> Responses</w:t>
      </w:r>
    </w:p>
    <w:p w:rsidR="00DF465D" w:rsidRDefault="00DF465D" w:rsidP="0047098D">
      <w:pPr>
        <w:pStyle w:val="NewTOCHeading"/>
      </w:pPr>
      <w:bookmarkStart w:id="12" w:name="_Toc419299756"/>
      <w:r w:rsidRPr="00DF465D">
        <w:t>Undertaking NO. JT1.</w:t>
      </w:r>
      <w:r>
        <w:t>12</w:t>
      </w:r>
      <w:r w:rsidRPr="00DF465D">
        <w:t>:</w:t>
      </w:r>
      <w:bookmarkEnd w:id="12"/>
    </w:p>
    <w:p w:rsidR="008034B4" w:rsidRPr="008034B4" w:rsidRDefault="00DF465D" w:rsidP="00D36543">
      <w:r w:rsidRPr="00DF465D">
        <w:t>TO UPDATE THE EQUATION IN ENERGY PROBE 35(B) ADD IN TWO ADDITIONAL EXPLANATORY VARIABLES, ONE OF WHICH -- THE FIRST ONE OF WHICH IS A DUMMY VARIABLE WITH A VALUE OF 1 IN AUGUST OF 2003 FOR THE BLACKOUT AND ZERO ELSEWHERE AND THE EMPLOYMENT VARIABLE, AND THE 8 MILLION CDM ADJUSTMENT (THE CURRENT NUMBERS) IN ONE LIVE EXCEL SPREADSHEET, AS IN 35(B)</w:t>
      </w:r>
      <w:r>
        <w:t>.</w:t>
      </w:r>
    </w:p>
    <w:p w:rsidR="008034B4" w:rsidRPr="008034B4" w:rsidRDefault="008034B4" w:rsidP="00D36543">
      <w:pPr>
        <w:pStyle w:val="Heading1"/>
      </w:pPr>
      <w:r w:rsidRPr="008034B4">
        <w:t>Response:</w:t>
      </w:r>
    </w:p>
    <w:p w:rsidR="0016732C" w:rsidRDefault="0016732C" w:rsidP="0016732C">
      <w:r>
        <w:t>The requested live Excel spreadsheet has been provided in the file named “NorthBay</w:t>
      </w:r>
      <w:r w:rsidR="00E55064">
        <w:t xml:space="preserve">_Undertaking_Resp_JT1.12 - </w:t>
      </w:r>
      <w:r>
        <w:t>2015 Load Forecast Model</w:t>
      </w:r>
      <w:r w:rsidR="00E55064">
        <w:t>_20150513</w:t>
      </w:r>
      <w:r>
        <w:t>”. This version of the load forecast is the load forecast provided in response to Undertaking</w:t>
      </w:r>
      <w:r w:rsidR="00E55064">
        <w:t xml:space="preserve"> NO.</w:t>
      </w:r>
      <w:r>
        <w:t xml:space="preserve"> JT1.14 with the following changes.</w:t>
      </w:r>
    </w:p>
    <w:p w:rsidR="0016732C" w:rsidRDefault="0016732C" w:rsidP="0016732C">
      <w:r>
        <w:t>1)</w:t>
      </w:r>
      <w:r>
        <w:tab/>
        <w:t>The North Bay Economy variable has been set to zero for August 2003.</w:t>
      </w:r>
    </w:p>
    <w:p w:rsidR="0016732C" w:rsidRDefault="0016732C" w:rsidP="0016732C">
      <w:r>
        <w:t>2)</w:t>
      </w:r>
      <w:r>
        <w:tab/>
        <w:t>The Blackout Flag variable has been added and set to 1 for August 2003. All other months are set to zero.</w:t>
      </w:r>
    </w:p>
    <w:p w:rsidR="00DF465D" w:rsidRDefault="0016732C" w:rsidP="0016732C">
      <w:r>
        <w:t>3)</w:t>
      </w:r>
      <w:r>
        <w:tab/>
        <w:t>The Northeastern Employment variabl</w:t>
      </w:r>
      <w:r w:rsidR="00445E03">
        <w:t xml:space="preserve">e used in response to 3-VECC-17 </w:t>
      </w:r>
      <w:r>
        <w:t>d).</w:t>
      </w:r>
      <w:r w:rsidR="00EF0E47">
        <w:br w:type="page"/>
      </w:r>
    </w:p>
    <w:p w:rsidR="00DF465D" w:rsidRPr="008034B4" w:rsidRDefault="00DF465D" w:rsidP="00DF465D">
      <w:pPr>
        <w:pStyle w:val="TitleLCBoldUnderlined"/>
      </w:pPr>
      <w:r w:rsidRPr="008034B4">
        <w:lastRenderedPageBreak/>
        <w:t xml:space="preserve">North Bay Hydro </w:t>
      </w:r>
      <w:r>
        <w:t>Technical Conference Undertaking</w:t>
      </w:r>
      <w:r w:rsidRPr="008034B4">
        <w:t xml:space="preserve"> Responses</w:t>
      </w:r>
    </w:p>
    <w:p w:rsidR="00DF465D" w:rsidRDefault="00DF465D" w:rsidP="0047098D">
      <w:pPr>
        <w:pStyle w:val="NewTOCHeading"/>
      </w:pPr>
      <w:bookmarkStart w:id="13" w:name="_Toc419299757"/>
      <w:r w:rsidRPr="00DF465D">
        <w:t>Undertaking NO. JT1.</w:t>
      </w:r>
      <w:r>
        <w:t>13</w:t>
      </w:r>
      <w:r w:rsidRPr="00DF465D">
        <w:t>:</w:t>
      </w:r>
      <w:bookmarkEnd w:id="13"/>
      <w:r w:rsidR="00CC6453">
        <w:t xml:space="preserve"> </w:t>
      </w:r>
    </w:p>
    <w:p w:rsidR="008034B4" w:rsidRPr="008034B4" w:rsidRDefault="00DF465D" w:rsidP="00D36543">
      <w:r>
        <w:t>T</w:t>
      </w:r>
      <w:r w:rsidRPr="00DF465D">
        <w:t>O DESCRIBE THE RELATIVE CHANGES IN RESIDENTIAL CDM ADJUSTMENT</w:t>
      </w:r>
      <w:r>
        <w:t>.</w:t>
      </w:r>
    </w:p>
    <w:p w:rsidR="00DF465D" w:rsidRDefault="00DF465D" w:rsidP="00DF465D">
      <w:pPr>
        <w:pStyle w:val="Heading1"/>
      </w:pPr>
      <w:r>
        <w:t>Response:</w:t>
      </w:r>
    </w:p>
    <w:p w:rsidR="00744C8D" w:rsidRPr="00744C8D" w:rsidRDefault="00744C8D" w:rsidP="00744C8D">
      <w:pPr>
        <w:pStyle w:val="Heading1"/>
        <w:numPr>
          <w:ilvl w:val="0"/>
          <w:numId w:val="0"/>
        </w:numPr>
        <w:rPr>
          <w:b w:val="0"/>
          <w:u w:val="none"/>
        </w:rPr>
      </w:pPr>
      <w:r w:rsidRPr="00744C8D">
        <w:rPr>
          <w:b w:val="0"/>
          <w:u w:val="none"/>
        </w:rPr>
        <w:t>The CDM adjustment is a function of two factors: the estimated savings from CDM and the weighting factor used for the load forecast.</w:t>
      </w:r>
    </w:p>
    <w:p w:rsidR="00744C8D" w:rsidRPr="00744C8D" w:rsidRDefault="00744C8D" w:rsidP="00744C8D">
      <w:pPr>
        <w:pStyle w:val="Heading1"/>
        <w:numPr>
          <w:ilvl w:val="0"/>
          <w:numId w:val="0"/>
        </w:numPr>
        <w:rPr>
          <w:b w:val="0"/>
          <w:u w:val="none"/>
        </w:rPr>
      </w:pPr>
      <w:r w:rsidRPr="00744C8D">
        <w:rPr>
          <w:b w:val="0"/>
          <w:u w:val="none"/>
        </w:rPr>
        <w:t>For results from 2011, 2012 and 2013 programs in 2015, there were minor changes to ensure consistency with OPA reported results (after adjustments), as documented in the final table provided in the response to VECC-53. These values do not affect the forecast, as these years are given a weighting factor of 0. In the original submission, a weighting factor of 0.5 was used for 2013 as the forecast did not originally use 2014 actual data. Because the revised forecast did make use of actual 2014 data, the weighting factor for 2013 was reduced from 0.5 to 0.</w:t>
      </w:r>
    </w:p>
    <w:p w:rsidR="00744C8D" w:rsidRPr="00744C8D" w:rsidRDefault="00744C8D" w:rsidP="00744C8D">
      <w:pPr>
        <w:pStyle w:val="Heading1"/>
        <w:numPr>
          <w:ilvl w:val="0"/>
          <w:numId w:val="0"/>
        </w:numPr>
        <w:rPr>
          <w:b w:val="0"/>
          <w:u w:val="none"/>
        </w:rPr>
      </w:pPr>
      <w:r w:rsidRPr="00744C8D">
        <w:rPr>
          <w:b w:val="0"/>
          <w:u w:val="none"/>
        </w:rPr>
        <w:t>For 2014, estimated savings at the time of the original submission were revised from estimated savings to the amount necessary to meet NBHDL’s OEB specified 2011-2014 target, consistent with the instruction on Appendix 2-I Load Forecast CDM Adjustment Work Form (2015). The preliminary results for 2014 from the IESO suggest that NBHDL will realize savings close to the targets, but NBHDL expects that final results will indicate additional savings not captured in the preliminary results. As suggested by Energy Probe in its IR number 36, NBHL has estimated persistence of 2014 programs into 2015, even though the OEB’s Appendix 2-I Load Forecast CDM Adjustment Work Form (2015) does not do so. Because the revised forecast used actual 2014 energy use data, the appropriate weighting factor for 2014 program results in 2015 was reduced from 1.0 to 0.5.</w:t>
      </w:r>
    </w:p>
    <w:p w:rsidR="00744C8D" w:rsidRPr="00744C8D" w:rsidRDefault="00744C8D" w:rsidP="00744C8D">
      <w:pPr>
        <w:pStyle w:val="Heading1"/>
        <w:numPr>
          <w:ilvl w:val="0"/>
          <w:numId w:val="0"/>
        </w:numPr>
        <w:rPr>
          <w:b w:val="0"/>
          <w:u w:val="none"/>
        </w:rPr>
      </w:pPr>
      <w:r w:rsidRPr="00744C8D">
        <w:rPr>
          <w:b w:val="0"/>
          <w:u w:val="none"/>
        </w:rPr>
        <w:lastRenderedPageBreak/>
        <w:t>For 2015, the target is expressed more precisely (20,258,133 kWh versus 20,300,000). As the programs from 2011 to 2014 are continuing in 2015, the share across rate classes is more likely to be consistent with that seen for 2013 when these programs were relatively mature, and this results in a greater allocation to the residential rate class, as discussed further below. Estimated savings in 2015 are based on the completion of the cogeneration project, and realization of one-sixth of the remaining 2020 target.</w:t>
      </w:r>
    </w:p>
    <w:p w:rsidR="00744C8D" w:rsidRPr="00744C8D" w:rsidRDefault="00744C8D" w:rsidP="00744C8D">
      <w:pPr>
        <w:pStyle w:val="Heading1"/>
        <w:numPr>
          <w:ilvl w:val="0"/>
          <w:numId w:val="0"/>
        </w:numPr>
        <w:rPr>
          <w:b w:val="0"/>
          <w:u w:val="none"/>
        </w:rPr>
      </w:pPr>
      <w:r w:rsidRPr="00744C8D">
        <w:rPr>
          <w:b w:val="0"/>
          <w:u w:val="none"/>
        </w:rPr>
        <w:t>There is no change to the weighting factor for 2015 programs in 2015; it remains at 0.5.</w:t>
      </w:r>
    </w:p>
    <w:p w:rsidR="00744C8D" w:rsidRPr="00744C8D" w:rsidRDefault="00744C8D" w:rsidP="00744C8D">
      <w:pPr>
        <w:pStyle w:val="Heading1"/>
        <w:numPr>
          <w:ilvl w:val="0"/>
          <w:numId w:val="0"/>
        </w:numPr>
        <w:rPr>
          <w:b w:val="0"/>
          <w:u w:val="none"/>
        </w:rPr>
      </w:pPr>
      <w:r w:rsidRPr="00744C8D">
        <w:rPr>
          <w:b w:val="0"/>
          <w:u w:val="none"/>
        </w:rPr>
        <w:t xml:space="preserve">Looking at individual classes, beginning with the Residential class, the anticipated CDM savings in 2013, 2014 and 2015 programs in 2015 are higher than originally estimated, even after incorporating loss of persistence of programs from 2013 and 2014. This is primarily due to higher than originally anticipated savings in 2014 and 2015 in this class, resulting in savings in 2015 from 2015 programs and 2013 and 2014 program persistence of </w:t>
      </w:r>
      <w:r w:rsidR="003A4324" w:rsidRPr="00744C8D">
        <w:rPr>
          <w:b w:val="0"/>
          <w:u w:val="none"/>
        </w:rPr>
        <w:t>2,725,796 kWh</w:t>
      </w:r>
      <w:r w:rsidRPr="00744C8D">
        <w:rPr>
          <w:b w:val="0"/>
          <w:u w:val="none"/>
        </w:rPr>
        <w:t xml:space="preserve"> versus the original estimate of 1,562,200 kWh. Where originally the residential class was anticipated to be responsible for 20% of overall savings, based on 2013 results that number is closer to 44% (excluding street</w:t>
      </w:r>
      <w:r w:rsidR="003A4324">
        <w:rPr>
          <w:b w:val="0"/>
          <w:u w:val="none"/>
        </w:rPr>
        <w:t xml:space="preserve"> </w:t>
      </w:r>
      <w:r w:rsidRPr="00744C8D">
        <w:rPr>
          <w:b w:val="0"/>
          <w:u w:val="none"/>
        </w:rPr>
        <w:t>lighting and GS 3000 – 4999 classes). However, by incorporating actual 2014 usage data into the load forecast, and thereby changing the weighting factors from 0.5, 1.0, and 0.5 in 2013, 2014 and 2015 respectively to 0.0</w:t>
      </w:r>
      <w:r w:rsidR="001B6451" w:rsidRPr="00744C8D">
        <w:rPr>
          <w:b w:val="0"/>
          <w:u w:val="none"/>
        </w:rPr>
        <w:t>, 0.5</w:t>
      </w:r>
      <w:r w:rsidRPr="00744C8D">
        <w:rPr>
          <w:b w:val="0"/>
          <w:u w:val="none"/>
        </w:rPr>
        <w:t xml:space="preserve"> and 0.5 in 2013, 2014 and 2015 respectively, the average weighting factor went from 0.628 for the three years in the original forecast to 0.325 in the revised forecast. Consequently, the load factor adjustment in the residential sector went from 981,146 kWh in the original forecast to 884,849 in the revised forecast.</w:t>
      </w:r>
    </w:p>
    <w:p w:rsidR="00744C8D" w:rsidRPr="00744C8D" w:rsidRDefault="00744C8D" w:rsidP="00744C8D">
      <w:pPr>
        <w:pStyle w:val="Heading1"/>
        <w:numPr>
          <w:ilvl w:val="0"/>
          <w:numId w:val="0"/>
        </w:numPr>
        <w:rPr>
          <w:b w:val="0"/>
          <w:u w:val="none"/>
        </w:rPr>
      </w:pPr>
      <w:r w:rsidRPr="00744C8D">
        <w:rPr>
          <w:b w:val="0"/>
          <w:u w:val="none"/>
        </w:rPr>
        <w:t xml:space="preserve">In the case of the GS&lt;50 rate class, there was a more significant reduction in anticipated savings over the three years. The 2013 results used to estimate the 2015 allocation across rate classes are showing about 25% of savings in this rate class, whereas it had previously been estimated at 35% (not including the REM). In addition, the overall savings across all rate classes in 2014 was reduced to just meet the 2011-2014 target. Thus the estimated savings before applying weighting factors for the adjustment were reduced from 2.7 GWh to 1.5 GWh. Due to the inclusion of the 2014 actual data in the load forecast, the  average weighting factor for the three years for this rate </w:t>
      </w:r>
      <w:r w:rsidRPr="00744C8D">
        <w:rPr>
          <w:b w:val="0"/>
          <w:u w:val="none"/>
        </w:rPr>
        <w:lastRenderedPageBreak/>
        <w:t>class dropped from 0.628 to 0.327. Consequently, the adjustment factor needed went from 1.7 GWh to 0.5 GWh.</w:t>
      </w:r>
    </w:p>
    <w:p w:rsidR="00744C8D" w:rsidRPr="00744C8D" w:rsidRDefault="00744C8D" w:rsidP="00744C8D">
      <w:pPr>
        <w:pStyle w:val="Heading1"/>
        <w:numPr>
          <w:ilvl w:val="0"/>
          <w:numId w:val="0"/>
        </w:numPr>
        <w:rPr>
          <w:b w:val="0"/>
          <w:u w:val="none"/>
        </w:rPr>
      </w:pPr>
      <w:r w:rsidRPr="00744C8D">
        <w:rPr>
          <w:b w:val="0"/>
          <w:u w:val="none"/>
        </w:rPr>
        <w:t>For the GS 50 to 2999 rate class, the overall reduction in 2014 estimated savings, the incorporation of loss of persistence for 2013 and 2014 programs, and the smaller share of total savings in this class observed in 2013 and used for 2015 estimates meant that the estimated savings for the three years of programs in 2015 fell from 17.3 GWh  to 14.1 GWh. Significant savings (2.16 GWh) were anticipated from a program of Roving Energy Managers (REM) in 2014, but those are not being shown in the preliminary OPA report for 2014 so have been excluded. The cogeneration facility is still expected to come on stream in 2015. With the inclusion of the 2014 actuals in the load forecast, the average weighting factor for this rate class fell from 0.589 to 0.476 and the size of the manual adjustment required to the load forecast went from 10.2 GWh to 6.7 GWh.</w:t>
      </w:r>
    </w:p>
    <w:p w:rsidR="00744C8D" w:rsidRPr="00744C8D" w:rsidRDefault="00744C8D" w:rsidP="00744C8D">
      <w:pPr>
        <w:pStyle w:val="Heading1"/>
        <w:numPr>
          <w:ilvl w:val="0"/>
          <w:numId w:val="0"/>
        </w:numPr>
        <w:rPr>
          <w:b w:val="0"/>
          <w:u w:val="none"/>
        </w:rPr>
      </w:pPr>
      <w:r w:rsidRPr="00744C8D">
        <w:rPr>
          <w:b w:val="0"/>
          <w:u w:val="none"/>
        </w:rPr>
        <w:t>Finally, the original forecast included estimated savings from the GS 3000 to 4999 rate class and for the street lighting program.  Both of these are now excluded from the load forecast, and the manual adjustment for these rate classes is 0.</w:t>
      </w:r>
    </w:p>
    <w:p w:rsidR="00744C8D" w:rsidRPr="00744C8D" w:rsidRDefault="00744C8D" w:rsidP="00744C8D">
      <w:pPr>
        <w:pStyle w:val="Heading1"/>
        <w:numPr>
          <w:ilvl w:val="0"/>
          <w:numId w:val="0"/>
        </w:numPr>
        <w:rPr>
          <w:b w:val="0"/>
          <w:u w:val="none"/>
        </w:rPr>
      </w:pPr>
      <w:r w:rsidRPr="00744C8D">
        <w:rPr>
          <w:b w:val="0"/>
          <w:u w:val="none"/>
        </w:rPr>
        <w:t>The following tables summarize these changes:</w:t>
      </w:r>
    </w:p>
    <w:p w:rsidR="006F0F67" w:rsidRPr="006F0F67" w:rsidRDefault="00744C8D" w:rsidP="006F0F67">
      <w:pPr>
        <w:pStyle w:val="Heading1"/>
        <w:numPr>
          <w:ilvl w:val="0"/>
          <w:numId w:val="0"/>
        </w:numPr>
        <w:rPr>
          <w:b w:val="0"/>
          <w:u w:val="none"/>
        </w:rPr>
        <w:sectPr w:rsidR="006F0F67" w:rsidRPr="006F0F67" w:rsidSect="00453092">
          <w:pgSz w:w="12240" w:h="15840"/>
          <w:pgMar w:top="1440" w:right="1440" w:bottom="1440" w:left="1440" w:header="708" w:footer="708" w:gutter="0"/>
          <w:lnNumType w:countBy="1"/>
          <w:cols w:space="708"/>
          <w:docGrid w:linePitch="360"/>
        </w:sectPr>
      </w:pPr>
      <w:r w:rsidRPr="00744C8D">
        <w:rPr>
          <w:rFonts w:ascii="Cambria" w:eastAsia="MS Mincho" w:hAnsi="Cambria"/>
          <w:b w:val="0"/>
          <w:bCs w:val="0"/>
          <w:noProof/>
          <w:color w:val="auto"/>
          <w:szCs w:val="24"/>
          <w:u w:val="none"/>
          <w:lang w:val="en-US"/>
        </w:rPr>
        <w:lastRenderedPageBreak/>
        <w:drawing>
          <wp:inline distT="0" distB="0" distL="0" distR="0" wp14:anchorId="084BD2BC" wp14:editId="5FE03E60">
            <wp:extent cx="5687249" cy="526732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5099" cy="5274595"/>
                    </a:xfrm>
                    <a:prstGeom prst="rect">
                      <a:avLst/>
                    </a:prstGeom>
                    <a:noFill/>
                    <a:ln>
                      <a:noFill/>
                    </a:ln>
                  </pic:spPr>
                </pic:pic>
              </a:graphicData>
            </a:graphic>
          </wp:inline>
        </w:drawing>
      </w:r>
    </w:p>
    <w:p w:rsidR="00DF465D" w:rsidRPr="008034B4" w:rsidRDefault="00DF465D" w:rsidP="00DF465D">
      <w:pPr>
        <w:pStyle w:val="TitleLCBoldUnderlined"/>
      </w:pPr>
      <w:r w:rsidRPr="008034B4">
        <w:lastRenderedPageBreak/>
        <w:t xml:space="preserve">North Bay Hydro </w:t>
      </w:r>
      <w:r>
        <w:t>Technical Conference Undertaking</w:t>
      </w:r>
      <w:r w:rsidRPr="008034B4">
        <w:t xml:space="preserve"> Responses</w:t>
      </w:r>
    </w:p>
    <w:p w:rsidR="00DF465D" w:rsidRPr="00DF465D" w:rsidRDefault="00DF465D" w:rsidP="0047098D">
      <w:pPr>
        <w:pStyle w:val="NewTOCHeading"/>
        <w:rPr>
          <w:rStyle w:val="Heading1Char"/>
          <w:b/>
        </w:rPr>
      </w:pPr>
      <w:bookmarkStart w:id="14" w:name="_Toc419299758"/>
      <w:r w:rsidRPr="00DF465D">
        <w:t>Undertaking NO. JT1.1</w:t>
      </w:r>
      <w:r>
        <w:t>4</w:t>
      </w:r>
      <w:r w:rsidRPr="00DF465D">
        <w:t>:</w:t>
      </w:r>
      <w:bookmarkEnd w:id="14"/>
    </w:p>
    <w:p w:rsidR="008034B4" w:rsidRPr="008034B4" w:rsidRDefault="00DF465D" w:rsidP="00DF465D">
      <w:pPr>
        <w:pStyle w:val="Heading2"/>
        <w:numPr>
          <w:ilvl w:val="0"/>
          <w:numId w:val="0"/>
        </w:numPr>
      </w:pPr>
      <w:r w:rsidRPr="00DF465D">
        <w:t>TO PROVIDE A REVISED VERSION OF TABLE 3-18 BASED ON THE MOST RECENT FORECAST VALUES</w:t>
      </w:r>
      <w:r>
        <w:t>.</w:t>
      </w:r>
    </w:p>
    <w:p w:rsidR="00464CE8" w:rsidRDefault="004F32A6" w:rsidP="00464CE8">
      <w:pPr>
        <w:pStyle w:val="Heading1"/>
        <w:jc w:val="left"/>
      </w:pPr>
      <w:r>
        <w:t>Response:</w:t>
      </w:r>
    </w:p>
    <w:p w:rsidR="0051466A" w:rsidRDefault="0051466A" w:rsidP="00EF0373">
      <w:pPr>
        <w:spacing w:after="200"/>
      </w:pPr>
      <w:r w:rsidRPr="0051466A">
        <w:t>The requested revised Table 3-18 is provided below. The version of the load forecast which supports this table is the revised version of the proposed 2015 load forecast for the purposes of determining NBHDL’s 2015 proposed rates. In this regard, a live Excel spreadsheet which is the revised proposed load forecast is provided under file name “NorthBay</w:t>
      </w:r>
      <w:r w:rsidR="00E55064">
        <w:t>_Undertaking_Resp_JT1.14 - 2</w:t>
      </w:r>
      <w:r w:rsidRPr="0051466A">
        <w:t>015 Load Forecast Model_</w:t>
      </w:r>
      <w:r w:rsidR="00E55064">
        <w:t>20150513</w:t>
      </w:r>
      <w:r w:rsidRPr="0051466A">
        <w:t>”</w:t>
      </w:r>
      <w:r>
        <w:t>.</w:t>
      </w:r>
    </w:p>
    <w:p w:rsidR="00407FC4" w:rsidRPr="0051466A" w:rsidRDefault="0051466A" w:rsidP="00EF0373">
      <w:pPr>
        <w:spacing w:after="200"/>
      </w:pPr>
      <w:r w:rsidRPr="00BD691F">
        <w:rPr>
          <w:noProof/>
          <w:lang w:val="en-US"/>
        </w:rPr>
        <w:drawing>
          <wp:inline distT="0" distB="0" distL="0" distR="0" wp14:anchorId="5A397C33" wp14:editId="6A5E9F6B">
            <wp:extent cx="6551540" cy="2241395"/>
            <wp:effectExtent l="0" t="0" r="190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51540" cy="2241395"/>
                    </a:xfrm>
                    <a:prstGeom prst="rect">
                      <a:avLst/>
                    </a:prstGeom>
                    <a:noFill/>
                    <a:ln>
                      <a:noFill/>
                    </a:ln>
                  </pic:spPr>
                </pic:pic>
              </a:graphicData>
            </a:graphic>
          </wp:inline>
        </w:drawing>
      </w:r>
      <w:r w:rsidR="00407FC4">
        <w:br w:type="page"/>
      </w:r>
    </w:p>
    <w:p w:rsidR="00DF465D" w:rsidRDefault="00DF465D" w:rsidP="00DF465D">
      <w:pPr>
        <w:pStyle w:val="Heading1"/>
        <w:jc w:val="center"/>
      </w:pPr>
      <w:r>
        <w:lastRenderedPageBreak/>
        <w:t>North Bay Hydro Technical Conference Undertaking Responses</w:t>
      </w:r>
    </w:p>
    <w:p w:rsidR="00DF465D" w:rsidRDefault="00DF465D" w:rsidP="0047098D">
      <w:pPr>
        <w:pStyle w:val="NewTOCHeading"/>
      </w:pPr>
      <w:bookmarkStart w:id="15" w:name="_Toc419299759"/>
      <w:r>
        <w:t>Undertaking NO. JT1.15</w:t>
      </w:r>
      <w:r w:rsidR="00CC6453" w:rsidRPr="00DF465D">
        <w:t>:</w:t>
      </w:r>
      <w:bookmarkEnd w:id="15"/>
    </w:p>
    <w:p w:rsidR="008034B4" w:rsidRPr="008034B4" w:rsidRDefault="00DF465D" w:rsidP="00D36543">
      <w:r w:rsidRPr="00DF465D">
        <w:t>TO UPDATE VECC 26 BASED ON THE NEW CDM ESTIMATES, BOTH IN TOTAL AND HOW YOU APPLIED THE HALF YEAR AND FULL YEAR RULES</w:t>
      </w:r>
      <w:r>
        <w:t>.</w:t>
      </w:r>
    </w:p>
    <w:p w:rsidR="008034B4" w:rsidRPr="008034B4" w:rsidRDefault="004F32A6" w:rsidP="00D36543">
      <w:pPr>
        <w:pStyle w:val="Heading1"/>
      </w:pPr>
      <w:r>
        <w:t>Response:</w:t>
      </w:r>
    </w:p>
    <w:p w:rsidR="00464CE8" w:rsidRDefault="006F0F67" w:rsidP="00464CE8">
      <w:r w:rsidRPr="006F0F67">
        <w:t>The following tables are provided with the updated 2015 CDM adjustments to be incorporated into the updated load forecast.</w:t>
      </w:r>
    </w:p>
    <w:p w:rsidR="006F0F67" w:rsidRDefault="000D17FA" w:rsidP="00464CE8">
      <w:r w:rsidRPr="000D17FA">
        <w:rPr>
          <w:noProof/>
          <w:lang w:val="en-US"/>
        </w:rPr>
        <w:drawing>
          <wp:inline distT="0" distB="0" distL="0" distR="0" wp14:anchorId="446B1906" wp14:editId="5BABC848">
            <wp:extent cx="6605528" cy="141922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08928" cy="1419956"/>
                    </a:xfrm>
                    <a:prstGeom prst="rect">
                      <a:avLst/>
                    </a:prstGeom>
                    <a:noFill/>
                    <a:ln>
                      <a:noFill/>
                    </a:ln>
                  </pic:spPr>
                </pic:pic>
              </a:graphicData>
            </a:graphic>
          </wp:inline>
        </w:drawing>
      </w:r>
    </w:p>
    <w:p w:rsidR="000D17FA" w:rsidRDefault="000D17FA" w:rsidP="000D17FA">
      <w:pPr>
        <w:pStyle w:val="Heading1"/>
        <w:numPr>
          <w:ilvl w:val="0"/>
          <w:numId w:val="0"/>
        </w:numPr>
        <w:rPr>
          <w:b w:val="0"/>
          <w:u w:val="none"/>
        </w:rPr>
      </w:pPr>
      <w:r w:rsidRPr="000D17FA">
        <w:rPr>
          <w:b w:val="0"/>
          <w:u w:val="none"/>
        </w:rPr>
        <w:t>For all rate classes, a weighting factor of 0 has been used for years 2011 to 2013 since the CDM savings from programs in these years are captured by the use of actual energy use through 2014 in the load forecast. A weighting factor of 0.5 is used for 2014 persistence into 2015 to account for only about one-half of 2015 savings from 2014 programs being captured in the 2014 actual data due to the half-year rule, and a weighting factor of 0.5 is also used for 2015 since the actual impact on load is approximately one-half of the amount the IESO is expected to report, again based on the half-year rule.</w:t>
      </w:r>
    </w:p>
    <w:p w:rsidR="000D17FA" w:rsidRDefault="000D17FA" w:rsidP="000D17FA">
      <w:pPr>
        <w:pStyle w:val="Heading1"/>
        <w:numPr>
          <w:ilvl w:val="0"/>
          <w:numId w:val="0"/>
        </w:numPr>
      </w:pPr>
      <w:r w:rsidRPr="000D17FA">
        <w:rPr>
          <w:b w:val="0"/>
          <w:noProof/>
          <w:u w:val="none"/>
          <w:lang w:val="en-US"/>
        </w:rPr>
        <w:lastRenderedPageBreak/>
        <w:drawing>
          <wp:inline distT="0" distB="0" distL="0" distR="0" wp14:anchorId="796016C8" wp14:editId="7656E6C9">
            <wp:extent cx="6605528" cy="141922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05528" cy="1419225"/>
                    </a:xfrm>
                    <a:prstGeom prst="rect">
                      <a:avLst/>
                    </a:prstGeom>
                    <a:noFill/>
                    <a:ln>
                      <a:noFill/>
                    </a:ln>
                  </pic:spPr>
                </pic:pic>
              </a:graphicData>
            </a:graphic>
          </wp:inline>
        </w:drawing>
      </w:r>
    </w:p>
    <w:p w:rsidR="000D17FA" w:rsidRDefault="000D17FA" w:rsidP="000D17FA">
      <w:pPr>
        <w:pStyle w:val="Heading1"/>
        <w:numPr>
          <w:ilvl w:val="0"/>
          <w:numId w:val="0"/>
        </w:numPr>
      </w:pPr>
      <w:r w:rsidRPr="000D17FA">
        <w:rPr>
          <w:b w:val="0"/>
          <w:noProof/>
          <w:u w:val="none"/>
          <w:lang w:val="en-US"/>
        </w:rPr>
        <w:drawing>
          <wp:inline distT="0" distB="0" distL="0" distR="0" wp14:anchorId="774031C8" wp14:editId="74C2B1B3">
            <wp:extent cx="6605528" cy="141922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05528" cy="1419225"/>
                    </a:xfrm>
                    <a:prstGeom prst="rect">
                      <a:avLst/>
                    </a:prstGeom>
                    <a:noFill/>
                    <a:ln>
                      <a:noFill/>
                    </a:ln>
                  </pic:spPr>
                </pic:pic>
              </a:graphicData>
            </a:graphic>
          </wp:inline>
        </w:drawing>
      </w:r>
    </w:p>
    <w:p w:rsidR="000D17FA" w:rsidRDefault="009B6A3E" w:rsidP="000D17FA">
      <w:pPr>
        <w:pStyle w:val="Heading1"/>
        <w:numPr>
          <w:ilvl w:val="0"/>
          <w:numId w:val="0"/>
        </w:numPr>
      </w:pPr>
      <w:r w:rsidRPr="009B6A3E">
        <w:rPr>
          <w:b w:val="0"/>
          <w:noProof/>
          <w:u w:val="none"/>
          <w:lang w:val="en-US"/>
        </w:rPr>
        <w:drawing>
          <wp:inline distT="0" distB="0" distL="0" distR="0" wp14:anchorId="7A61147D" wp14:editId="795C03A8">
            <wp:extent cx="6549656" cy="1291399"/>
            <wp:effectExtent l="0" t="0" r="381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49605" cy="1291389"/>
                    </a:xfrm>
                    <a:prstGeom prst="rect">
                      <a:avLst/>
                    </a:prstGeom>
                    <a:noFill/>
                    <a:ln>
                      <a:noFill/>
                    </a:ln>
                  </pic:spPr>
                </pic:pic>
              </a:graphicData>
            </a:graphic>
          </wp:inline>
        </w:drawing>
      </w:r>
    </w:p>
    <w:p w:rsidR="009B6A3E" w:rsidRDefault="009B6A3E" w:rsidP="000D17FA">
      <w:pPr>
        <w:pStyle w:val="Heading1"/>
        <w:numPr>
          <w:ilvl w:val="0"/>
          <w:numId w:val="0"/>
        </w:numPr>
        <w:rPr>
          <w:b w:val="0"/>
          <w:u w:val="none"/>
        </w:rPr>
      </w:pPr>
      <w:r w:rsidRPr="009B6A3E">
        <w:rPr>
          <w:b w:val="0"/>
          <w:u w:val="none"/>
        </w:rPr>
        <w:t>For completeness, the comparable table for the Street Lighting rate class follows, but because no new CDM programs are anticipated for this rate class, and the programs implemented in 2012 and 2013 are fully captured by the use of actual data through 2014, there is no manual adjustment required, and no claim for lost revenues for this rate class is expected.</w:t>
      </w:r>
    </w:p>
    <w:p w:rsidR="009B6A3E" w:rsidRDefault="009B6A3E" w:rsidP="000D17FA">
      <w:pPr>
        <w:pStyle w:val="Heading1"/>
        <w:numPr>
          <w:ilvl w:val="0"/>
          <w:numId w:val="0"/>
        </w:numPr>
        <w:rPr>
          <w:b w:val="0"/>
          <w:u w:val="none"/>
        </w:rPr>
      </w:pPr>
      <w:r w:rsidRPr="009B6A3E">
        <w:rPr>
          <w:b w:val="0"/>
          <w:noProof/>
          <w:u w:val="none"/>
          <w:lang w:val="en-US"/>
        </w:rPr>
        <w:drawing>
          <wp:inline distT="0" distB="0" distL="0" distR="0" wp14:anchorId="40C5B978" wp14:editId="7C690808">
            <wp:extent cx="6600825" cy="132332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00825" cy="1323327"/>
                    </a:xfrm>
                    <a:prstGeom prst="rect">
                      <a:avLst/>
                    </a:prstGeom>
                    <a:noFill/>
                    <a:ln>
                      <a:noFill/>
                    </a:ln>
                  </pic:spPr>
                </pic:pic>
              </a:graphicData>
            </a:graphic>
          </wp:inline>
        </w:drawing>
      </w:r>
    </w:p>
    <w:p w:rsidR="00DF465D" w:rsidRDefault="00DF465D" w:rsidP="000D17FA">
      <w:pPr>
        <w:pStyle w:val="Heading1"/>
        <w:numPr>
          <w:ilvl w:val="0"/>
          <w:numId w:val="0"/>
        </w:numPr>
      </w:pPr>
      <w:r>
        <w:lastRenderedPageBreak/>
        <w:t>North Bay Hydro Technical Conference Undertaking Responses</w:t>
      </w:r>
    </w:p>
    <w:p w:rsidR="00DF465D" w:rsidRPr="00DF465D" w:rsidRDefault="00DF465D" w:rsidP="0047098D">
      <w:pPr>
        <w:pStyle w:val="NewTOCHeading"/>
      </w:pPr>
      <w:bookmarkStart w:id="16" w:name="_Toc419299760"/>
      <w:r w:rsidRPr="00DF465D">
        <w:t>Undertaking NO. JT1.1</w:t>
      </w:r>
      <w:r>
        <w:t>6</w:t>
      </w:r>
      <w:r w:rsidRPr="00DF465D">
        <w:t>:</w:t>
      </w:r>
      <w:r w:rsidR="002D2ECE">
        <w:t xml:space="preserve"> </w:t>
      </w:r>
      <w:bookmarkEnd w:id="16"/>
    </w:p>
    <w:p w:rsidR="008034B4" w:rsidRPr="008034B4" w:rsidRDefault="00DF465D" w:rsidP="00D36543">
      <w:r w:rsidRPr="00DF465D">
        <w:t>TO PROVIDE A VERSION OF APPENDIX 2-EB THAT REFLECTS A THREE-YEAR DISPOSITION PERIOD AND THEN, BASED ON THIS THREE-YEAR DISPOSITION PERIOD, CALCULATE THE AMOUNT TO BE RETURNED EACH YEAR AND THE APPROXIMATE IMPACT ON RATES FOR EACH OF 2015, '16, AND '17, AND TO EXPLAIN WHY NORTH BAY HYDRO'S PROPOSING A ONE-YEAR DISPOSITION PERIOD RATHER THAN A TWO- OR THREE-YEAR DISPOSITION PERIOD.</w:t>
      </w:r>
    </w:p>
    <w:p w:rsidR="008034B4" w:rsidRPr="008034B4" w:rsidRDefault="004F32A6" w:rsidP="00D36543">
      <w:pPr>
        <w:pStyle w:val="Heading1"/>
      </w:pPr>
      <w:r>
        <w:t>Response:</w:t>
      </w:r>
    </w:p>
    <w:p w:rsidR="00C86A38" w:rsidRDefault="00CC6453" w:rsidP="00DF465D">
      <w:pPr>
        <w:pStyle w:val="Heading2"/>
        <w:numPr>
          <w:ilvl w:val="0"/>
          <w:numId w:val="0"/>
        </w:numPr>
      </w:pPr>
      <w:r>
        <w:t xml:space="preserve">In preparing the response to this undertaking NBHDL noted that the WACC % used in </w:t>
      </w:r>
      <w:r w:rsidRPr="00CC6453">
        <w:t>9-Staff-26</w:t>
      </w:r>
      <w:r>
        <w:t xml:space="preserve"> b) </w:t>
      </w:r>
      <w:r w:rsidR="00C86A38">
        <w:t xml:space="preserve">to determine the revised amount proposed for disposition in Account 1576 </w:t>
      </w:r>
      <w:r>
        <w:t>was the WACC % NBHDL utilized in the application as submitted December 12, 2014</w:t>
      </w:r>
      <w:r w:rsidR="00C86A38">
        <w:t xml:space="preserve"> of 6.28%</w:t>
      </w:r>
      <w:r>
        <w:t xml:space="preserve">. </w:t>
      </w:r>
      <w:r w:rsidR="00C86A38">
        <w:t>NBHDL has revised the amount proposed for disposition in Account 1576 using the proposed WACC of 6.18% as provided in the updated Revenue Requirement Work Form in Undertaking NO. JT1.1. NBHDL has updated the EDDVAR model for the change to the proposed disposition amount and to reflect changes to the load forecast as explained in Undertaking NO. JT1.14; the live Excel file is named “</w:t>
      </w:r>
      <w:r w:rsidR="00E55064">
        <w:t>NorthBay_Undertaking_Resp_</w:t>
      </w:r>
      <w:r w:rsidR="00C86A38" w:rsidRPr="00C86A38">
        <w:t>JT1.16 - North Bay 2015_EDDVAR_Continuity_Schedule_20150513</w:t>
      </w:r>
      <w:r w:rsidR="00C86A38">
        <w:t>”.</w:t>
      </w:r>
    </w:p>
    <w:p w:rsidR="00C86A38" w:rsidRDefault="00C86A38" w:rsidP="002A5205">
      <w:pPr>
        <w:pStyle w:val="Heading2"/>
        <w:numPr>
          <w:ilvl w:val="0"/>
          <w:numId w:val="0"/>
        </w:numPr>
      </w:pPr>
      <w:r>
        <w:t xml:space="preserve">For ease of reference the revised proposed disposition amount </w:t>
      </w:r>
      <w:r w:rsidR="0063115D">
        <w:t xml:space="preserve">of ($3,650,089) </w:t>
      </w:r>
      <w:r>
        <w:t>for Account 1576</w:t>
      </w:r>
      <w:r w:rsidR="00445E03">
        <w:t>,</w:t>
      </w:r>
      <w:r w:rsidR="006052A9">
        <w:t xml:space="preserve"> for the purposes</w:t>
      </w:r>
      <w:r>
        <w:t xml:space="preserve"> </w:t>
      </w:r>
      <w:r w:rsidR="006052A9">
        <w:t xml:space="preserve">of determining rates, </w:t>
      </w:r>
      <w:r>
        <w:t>is provided in the following amended Table 2-EB.</w:t>
      </w:r>
      <w:r w:rsidR="00DE15B3">
        <w:t xml:space="preserve"> </w:t>
      </w:r>
      <w:r w:rsidR="002A5205">
        <w:t>NBHDL is proposing to refund this amount to customers in a timely manner</w:t>
      </w:r>
      <w:r w:rsidR="0063115D">
        <w:t xml:space="preserve"> over a one-year disposition period. C</w:t>
      </w:r>
      <w:r w:rsidR="002A5205">
        <w:t>onsiderations</w:t>
      </w:r>
      <w:r w:rsidR="0063115D">
        <w:t xml:space="preserve"> for NBHDL’s proposal</w:t>
      </w:r>
      <w:r w:rsidR="002A5205">
        <w:t xml:space="preserve"> are explained in </w:t>
      </w:r>
      <w:r w:rsidR="00DE15B3">
        <w:t>Exhibit 9</w:t>
      </w:r>
      <w:r w:rsidR="00421DEB">
        <w:t xml:space="preserve"> (</w:t>
      </w:r>
      <w:r w:rsidR="002A5205">
        <w:t>page 30</w:t>
      </w:r>
      <w:r w:rsidR="00421DEB">
        <w:t>)</w:t>
      </w:r>
      <w:r w:rsidR="00DE15B3">
        <w:t xml:space="preserve"> of the application</w:t>
      </w:r>
      <w:r w:rsidR="002A5205">
        <w:t>.</w:t>
      </w:r>
    </w:p>
    <w:p w:rsidR="00DE15B3" w:rsidRDefault="00DE15B3" w:rsidP="00DF465D">
      <w:pPr>
        <w:pStyle w:val="Heading2"/>
        <w:numPr>
          <w:ilvl w:val="0"/>
          <w:numId w:val="0"/>
        </w:numPr>
        <w:sectPr w:rsidR="00DE15B3" w:rsidSect="00FF22F2">
          <w:headerReference w:type="default" r:id="rId28"/>
          <w:pgSz w:w="12240" w:h="15840"/>
          <w:pgMar w:top="1440" w:right="1440" w:bottom="1440" w:left="1440" w:header="708" w:footer="708" w:gutter="0"/>
          <w:lnNumType w:countBy="1"/>
          <w:cols w:space="708"/>
          <w:docGrid w:linePitch="360"/>
        </w:sectPr>
      </w:pPr>
    </w:p>
    <w:p w:rsidR="00C86A38" w:rsidRDefault="00C86A38" w:rsidP="00C86A38">
      <w:pPr>
        <w:pStyle w:val="Heading1"/>
        <w:numPr>
          <w:ilvl w:val="0"/>
          <w:numId w:val="0"/>
        </w:numPr>
        <w:sectPr w:rsidR="00C86A38" w:rsidSect="00C86A38">
          <w:pgSz w:w="15840" w:h="12240" w:orient="landscape"/>
          <w:pgMar w:top="1440" w:right="1440" w:bottom="1440" w:left="1440" w:header="708" w:footer="708" w:gutter="0"/>
          <w:lnNumType w:countBy="1"/>
          <w:cols w:space="708"/>
          <w:docGrid w:linePitch="360"/>
        </w:sectPr>
      </w:pPr>
      <w:r w:rsidRPr="00717828">
        <w:rPr>
          <w:b w:val="0"/>
          <w:noProof/>
          <w:u w:val="none"/>
          <w:lang w:val="en-US"/>
        </w:rPr>
        <w:lastRenderedPageBreak/>
        <w:drawing>
          <wp:inline distT="0" distB="0" distL="0" distR="0" wp14:anchorId="155F90E0" wp14:editId="0E459561">
            <wp:extent cx="8169310" cy="5239881"/>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62410" cy="5235456"/>
                    </a:xfrm>
                    <a:prstGeom prst="rect">
                      <a:avLst/>
                    </a:prstGeom>
                    <a:noFill/>
                    <a:ln>
                      <a:noFill/>
                    </a:ln>
                  </pic:spPr>
                </pic:pic>
              </a:graphicData>
            </a:graphic>
          </wp:inline>
        </w:drawing>
      </w:r>
    </w:p>
    <w:p w:rsidR="00717828" w:rsidRDefault="00717828" w:rsidP="00717828">
      <w:pPr>
        <w:pStyle w:val="Heading1"/>
        <w:numPr>
          <w:ilvl w:val="0"/>
          <w:numId w:val="0"/>
        </w:numPr>
        <w:spacing w:after="200"/>
        <w:rPr>
          <w:b w:val="0"/>
          <w:u w:val="none"/>
        </w:rPr>
      </w:pPr>
      <w:r>
        <w:rPr>
          <w:b w:val="0"/>
          <w:u w:val="none"/>
        </w:rPr>
        <w:lastRenderedPageBreak/>
        <w:t xml:space="preserve">A revised version of Appendix 2-EB is provided below </w:t>
      </w:r>
      <w:r w:rsidR="006052A9">
        <w:rPr>
          <w:b w:val="0"/>
          <w:u w:val="none"/>
        </w:rPr>
        <w:t>–</w:t>
      </w:r>
      <w:r>
        <w:rPr>
          <w:b w:val="0"/>
          <w:u w:val="none"/>
        </w:rPr>
        <w:t xml:space="preserve"> </w:t>
      </w:r>
      <w:r w:rsidR="006052A9">
        <w:rPr>
          <w:b w:val="0"/>
          <w:u w:val="none"/>
        </w:rPr>
        <w:t xml:space="preserve">for illustrative purposes, </w:t>
      </w:r>
      <w:r w:rsidRPr="00717828">
        <w:rPr>
          <w:b w:val="0"/>
          <w:u w:val="none"/>
        </w:rPr>
        <w:t xml:space="preserve">NBHDL has revised the amount in Account 1576 using the proposed WACC of 6.18% </w:t>
      </w:r>
      <w:r>
        <w:rPr>
          <w:b w:val="0"/>
          <w:u w:val="none"/>
        </w:rPr>
        <w:t>and a 3 year disposition term as requested in th</w:t>
      </w:r>
      <w:r w:rsidR="00445E03">
        <w:rPr>
          <w:b w:val="0"/>
          <w:u w:val="none"/>
        </w:rPr>
        <w:t>is</w:t>
      </w:r>
      <w:r>
        <w:rPr>
          <w:b w:val="0"/>
          <w:u w:val="none"/>
        </w:rPr>
        <w:t xml:space="preserve"> undertaking. Bill impacts on rates for each of 2015, 2016 and 2017 </w:t>
      </w:r>
      <w:r w:rsidR="00DE729C">
        <w:rPr>
          <w:b w:val="0"/>
          <w:u w:val="none"/>
        </w:rPr>
        <w:t xml:space="preserve">are </w:t>
      </w:r>
      <w:r w:rsidR="00BE2BC6">
        <w:rPr>
          <w:b w:val="0"/>
          <w:u w:val="none"/>
        </w:rPr>
        <w:t xml:space="preserve">also </w:t>
      </w:r>
      <w:r w:rsidR="00DE729C">
        <w:rPr>
          <w:b w:val="0"/>
          <w:u w:val="none"/>
        </w:rPr>
        <w:t>provided below</w:t>
      </w:r>
      <w:r>
        <w:rPr>
          <w:b w:val="0"/>
          <w:u w:val="none"/>
        </w:rPr>
        <w:t xml:space="preserve">. The assumptions made in order to provide the bill impacts are as follows: </w:t>
      </w:r>
    </w:p>
    <w:p w:rsidR="007340EF" w:rsidRDefault="00717828" w:rsidP="007340EF">
      <w:pPr>
        <w:pStyle w:val="Heading1"/>
        <w:numPr>
          <w:ilvl w:val="0"/>
          <w:numId w:val="47"/>
        </w:numPr>
        <w:spacing w:after="200"/>
        <w:rPr>
          <w:b w:val="0"/>
          <w:u w:val="none"/>
        </w:rPr>
      </w:pPr>
      <w:r w:rsidRPr="007340EF">
        <w:rPr>
          <w:b w:val="0"/>
          <w:u w:val="none"/>
        </w:rPr>
        <w:t>2016 through 2017 distribution rates (i.e.; fixed and volumetric rates only) were increased by a Price Cap Index % only to reflect the IRM position that NBHDL will be in through that period. The increase was based on the assumption that the proposed 2015 rates</w:t>
      </w:r>
      <w:r w:rsidR="007340EF" w:rsidRPr="007340EF">
        <w:rPr>
          <w:b w:val="0"/>
          <w:u w:val="none"/>
        </w:rPr>
        <w:t xml:space="preserve"> </w:t>
      </w:r>
      <w:r w:rsidRPr="007340EF">
        <w:rPr>
          <w:b w:val="0"/>
          <w:u w:val="none"/>
        </w:rPr>
        <w:t>would be approved by the Board.</w:t>
      </w:r>
    </w:p>
    <w:p w:rsidR="007340EF" w:rsidRDefault="00717828" w:rsidP="007340EF">
      <w:pPr>
        <w:pStyle w:val="Heading1"/>
        <w:numPr>
          <w:ilvl w:val="0"/>
          <w:numId w:val="47"/>
        </w:numPr>
        <w:spacing w:after="200"/>
        <w:rPr>
          <w:b w:val="0"/>
          <w:u w:val="none"/>
        </w:rPr>
      </w:pPr>
      <w:r w:rsidRPr="007340EF">
        <w:rPr>
          <w:b w:val="0"/>
          <w:u w:val="none"/>
        </w:rPr>
        <w:t>NBHDL assumed a PCI of 1.</w:t>
      </w:r>
      <w:r w:rsidR="00DE729C">
        <w:rPr>
          <w:b w:val="0"/>
          <w:u w:val="none"/>
        </w:rPr>
        <w:t>3</w:t>
      </w:r>
      <w:r w:rsidRPr="007340EF">
        <w:rPr>
          <w:b w:val="0"/>
          <w:u w:val="none"/>
        </w:rPr>
        <w:t>% based on the 201</w:t>
      </w:r>
      <w:r w:rsidR="00DE729C">
        <w:rPr>
          <w:b w:val="0"/>
          <w:u w:val="none"/>
        </w:rPr>
        <w:t>5</w:t>
      </w:r>
      <w:r w:rsidRPr="007340EF">
        <w:rPr>
          <w:b w:val="0"/>
          <w:u w:val="none"/>
        </w:rPr>
        <w:t xml:space="preserve"> IRM rate proceeding.</w:t>
      </w:r>
    </w:p>
    <w:p w:rsidR="007340EF" w:rsidRDefault="00717828" w:rsidP="007340EF">
      <w:pPr>
        <w:pStyle w:val="Heading1"/>
        <w:numPr>
          <w:ilvl w:val="0"/>
          <w:numId w:val="47"/>
        </w:numPr>
        <w:spacing w:after="200"/>
        <w:rPr>
          <w:b w:val="0"/>
          <w:u w:val="none"/>
        </w:rPr>
      </w:pPr>
      <w:r w:rsidRPr="007340EF">
        <w:rPr>
          <w:b w:val="0"/>
          <w:u w:val="none"/>
        </w:rPr>
        <w:t>All rate riders</w:t>
      </w:r>
      <w:r w:rsidR="00DE729C">
        <w:rPr>
          <w:b w:val="0"/>
          <w:u w:val="none"/>
        </w:rPr>
        <w:t xml:space="preserve">, excluding Account 1576, </w:t>
      </w:r>
      <w:r w:rsidRPr="007340EF">
        <w:rPr>
          <w:b w:val="0"/>
          <w:u w:val="none"/>
        </w:rPr>
        <w:t>would have a one-year term</w:t>
      </w:r>
      <w:r w:rsidR="00DE729C">
        <w:rPr>
          <w:b w:val="0"/>
          <w:u w:val="none"/>
        </w:rPr>
        <w:t xml:space="preserve"> and expire in 2016.</w:t>
      </w:r>
    </w:p>
    <w:p w:rsidR="009B6A3E" w:rsidRPr="00404E57" w:rsidRDefault="00717828" w:rsidP="00404E57">
      <w:pPr>
        <w:pStyle w:val="Heading1"/>
        <w:numPr>
          <w:ilvl w:val="0"/>
          <w:numId w:val="47"/>
        </w:numPr>
        <w:spacing w:after="200"/>
        <w:rPr>
          <w:b w:val="0"/>
          <w:u w:val="none"/>
        </w:rPr>
      </w:pPr>
      <w:r w:rsidRPr="00404E57">
        <w:rPr>
          <w:b w:val="0"/>
          <w:u w:val="none"/>
        </w:rPr>
        <w:t>Costs outside of NBHDL’s control (i.e.; TOU, WMS, Network, 1 DRC, etc.) remained</w:t>
      </w:r>
      <w:r w:rsidR="007340EF" w:rsidRPr="00404E57">
        <w:rPr>
          <w:b w:val="0"/>
          <w:u w:val="none"/>
        </w:rPr>
        <w:t xml:space="preserve"> </w:t>
      </w:r>
      <w:r w:rsidRPr="00404E57">
        <w:rPr>
          <w:b w:val="0"/>
          <w:u w:val="none"/>
        </w:rPr>
        <w:t>static at 2015 amounts.</w:t>
      </w:r>
    </w:p>
    <w:p w:rsidR="00BE2BC6" w:rsidRDefault="00BE2BC6" w:rsidP="00717828">
      <w:pPr>
        <w:pStyle w:val="Heading1"/>
        <w:numPr>
          <w:ilvl w:val="0"/>
          <w:numId w:val="0"/>
        </w:numPr>
        <w:spacing w:after="200"/>
        <w:rPr>
          <w:u w:val="none"/>
        </w:rPr>
        <w:sectPr w:rsidR="00BE2BC6" w:rsidSect="00FF22F2">
          <w:pgSz w:w="12240" w:h="15840"/>
          <w:pgMar w:top="1440" w:right="1440" w:bottom="1440" w:left="1440" w:header="708" w:footer="708" w:gutter="0"/>
          <w:lnNumType w:countBy="1"/>
          <w:cols w:space="708"/>
          <w:docGrid w:linePitch="360"/>
        </w:sectPr>
      </w:pPr>
    </w:p>
    <w:p w:rsidR="00717828" w:rsidRDefault="00717828" w:rsidP="00717828">
      <w:pPr>
        <w:pStyle w:val="Heading1"/>
        <w:numPr>
          <w:ilvl w:val="0"/>
          <w:numId w:val="0"/>
        </w:numPr>
        <w:spacing w:after="200"/>
        <w:rPr>
          <w:b w:val="0"/>
          <w:u w:val="none"/>
        </w:rPr>
      </w:pPr>
      <w:r w:rsidRPr="00445E03">
        <w:rPr>
          <w:b w:val="0"/>
          <w:noProof/>
          <w:u w:val="none"/>
          <w:lang w:val="en-US"/>
        </w:rPr>
        <w:lastRenderedPageBreak/>
        <w:drawing>
          <wp:inline distT="0" distB="0" distL="0" distR="0" wp14:anchorId="4265D462" wp14:editId="579193F5">
            <wp:extent cx="8123274" cy="5423838"/>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23274" cy="5423838"/>
                    </a:xfrm>
                    <a:prstGeom prst="rect">
                      <a:avLst/>
                    </a:prstGeom>
                    <a:noFill/>
                    <a:ln>
                      <a:noFill/>
                    </a:ln>
                  </pic:spPr>
                </pic:pic>
              </a:graphicData>
            </a:graphic>
          </wp:inline>
        </w:drawing>
      </w:r>
    </w:p>
    <w:p w:rsidR="00BE2BC6" w:rsidRPr="00717828" w:rsidRDefault="00BE2BC6" w:rsidP="00717828">
      <w:pPr>
        <w:pStyle w:val="Heading1"/>
        <w:numPr>
          <w:ilvl w:val="0"/>
          <w:numId w:val="0"/>
        </w:numPr>
        <w:spacing w:after="200"/>
        <w:rPr>
          <w:b w:val="0"/>
          <w:u w:val="none"/>
        </w:rPr>
        <w:sectPr w:rsidR="00BE2BC6" w:rsidRPr="00717828" w:rsidSect="00717828">
          <w:pgSz w:w="15840" w:h="12240" w:orient="landscape"/>
          <w:pgMar w:top="1440" w:right="1440" w:bottom="1440" w:left="1440" w:header="708" w:footer="708" w:gutter="0"/>
          <w:lnNumType w:countBy="1"/>
          <w:cols w:space="708"/>
          <w:docGrid w:linePitch="360"/>
        </w:sectPr>
      </w:pPr>
      <w:r w:rsidRPr="00BE2BC6">
        <w:rPr>
          <w:b w:val="0"/>
          <w:noProof/>
          <w:u w:val="none"/>
          <w:lang w:val="en-US"/>
        </w:rPr>
        <w:lastRenderedPageBreak/>
        <w:drawing>
          <wp:inline distT="0" distB="0" distL="0" distR="0" wp14:anchorId="0252C97F" wp14:editId="3D08B1B4">
            <wp:extent cx="7917847" cy="538007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17847" cy="5380075"/>
                    </a:xfrm>
                    <a:prstGeom prst="rect">
                      <a:avLst/>
                    </a:prstGeom>
                    <a:noFill/>
                    <a:ln>
                      <a:noFill/>
                    </a:ln>
                  </pic:spPr>
                </pic:pic>
              </a:graphicData>
            </a:graphic>
          </wp:inline>
        </w:drawing>
      </w:r>
    </w:p>
    <w:p w:rsidR="00DF465D" w:rsidRDefault="00DF465D" w:rsidP="00DF465D">
      <w:pPr>
        <w:pStyle w:val="Heading1"/>
        <w:jc w:val="center"/>
      </w:pPr>
      <w:r>
        <w:lastRenderedPageBreak/>
        <w:t>North Bay Hydro Technical Conference Undertaking Responses</w:t>
      </w:r>
    </w:p>
    <w:p w:rsidR="00DF465D" w:rsidRPr="00407FC4" w:rsidRDefault="00DF465D" w:rsidP="0047098D">
      <w:pPr>
        <w:pStyle w:val="NewTOCHeading"/>
      </w:pPr>
      <w:bookmarkStart w:id="17" w:name="_Toc419299761"/>
      <w:r w:rsidRPr="00407FC4">
        <w:t>Undertaking NO. JT1.1</w:t>
      </w:r>
      <w:r w:rsidR="00407FC4">
        <w:t>7</w:t>
      </w:r>
      <w:r w:rsidRPr="00407FC4">
        <w:t>:</w:t>
      </w:r>
      <w:bookmarkEnd w:id="17"/>
    </w:p>
    <w:p w:rsidR="008034B4" w:rsidRPr="00407FC4" w:rsidRDefault="00407FC4" w:rsidP="00D36543">
      <w:r w:rsidRPr="00407FC4">
        <w:t>TO UPDATE THE RETAIL TRANSMISSION SERVICE RATES TO REFLECT ANY CHANGES TO THE SUB-TRANSMISSION.</w:t>
      </w:r>
    </w:p>
    <w:p w:rsidR="008034B4" w:rsidRPr="008034B4" w:rsidRDefault="008034B4" w:rsidP="00D36543">
      <w:pPr>
        <w:pStyle w:val="Heading1"/>
      </w:pPr>
      <w:r w:rsidRPr="008034B4">
        <w:t>Response:</w:t>
      </w:r>
    </w:p>
    <w:p w:rsidR="008034B4" w:rsidRPr="008034B4" w:rsidRDefault="00BE5025" w:rsidP="00D36543">
      <w:r>
        <w:t>NBHDL has utilized the most recent Retail Transmission Service Rates in the cost of power calculation provided in Undertaking NO. JT1.8.</w:t>
      </w:r>
      <w:r w:rsidR="00DE729C">
        <w:t xml:space="preserve"> NBHDL has provided a live version of the RTSR model under the file name “</w:t>
      </w:r>
      <w:r w:rsidR="002D2ECE">
        <w:t>NorthBay_Undertaking_Resp_</w:t>
      </w:r>
      <w:r w:rsidR="00DE729C">
        <w:t xml:space="preserve">JT1.17 - </w:t>
      </w:r>
      <w:r w:rsidR="00DE729C" w:rsidRPr="00DE729C">
        <w:t>North Bay 2015_RTSR MODEL_V4</w:t>
      </w:r>
      <w:r w:rsidR="00DE729C" w:rsidRPr="006669FA">
        <w:t>_0_201</w:t>
      </w:r>
      <w:r w:rsidR="006669FA" w:rsidRPr="006669FA">
        <w:t>50513</w:t>
      </w:r>
      <w:r w:rsidR="00DE729C">
        <w:t>”.</w:t>
      </w:r>
    </w:p>
    <w:p w:rsidR="00407FC4" w:rsidRDefault="00EF0E47" w:rsidP="00407FC4">
      <w:pPr>
        <w:pStyle w:val="Heading1"/>
        <w:jc w:val="center"/>
      </w:pPr>
      <w:r>
        <w:br w:type="page"/>
      </w:r>
      <w:r w:rsidR="00407FC4">
        <w:lastRenderedPageBreak/>
        <w:t>North Bay Hydro Technical Conference Undertaking Responses</w:t>
      </w:r>
    </w:p>
    <w:p w:rsidR="00407FC4" w:rsidRPr="00407FC4" w:rsidRDefault="00407FC4" w:rsidP="0047098D">
      <w:pPr>
        <w:pStyle w:val="NewTOCHeading"/>
      </w:pPr>
      <w:bookmarkStart w:id="18" w:name="_Toc419299762"/>
      <w:r w:rsidRPr="00407FC4">
        <w:t>Undertaking NO. JT1.1</w:t>
      </w:r>
      <w:r>
        <w:t>8</w:t>
      </w:r>
      <w:r w:rsidRPr="00407FC4">
        <w:t>:</w:t>
      </w:r>
      <w:bookmarkEnd w:id="18"/>
    </w:p>
    <w:p w:rsidR="008034B4" w:rsidRPr="00407FC4" w:rsidRDefault="00407FC4" w:rsidP="00D36543">
      <w:r w:rsidRPr="00407FC4">
        <w:t>WITH REFERENCE TO APPENDIX 2-BA, TO EXPLAIN THE DIFFERENCE IN NET ADDITIONS AND NET DEPRECIATION BETWEEN OLD CGAAP AND MODIFIED IFRS</w:t>
      </w:r>
      <w:r>
        <w:t>.</w:t>
      </w:r>
    </w:p>
    <w:p w:rsidR="008034B4" w:rsidRDefault="008034B4" w:rsidP="00D36543">
      <w:pPr>
        <w:pStyle w:val="Heading1"/>
      </w:pPr>
      <w:r w:rsidRPr="008034B4">
        <w:t>Response:</w:t>
      </w:r>
    </w:p>
    <w:p w:rsidR="003059F2" w:rsidRDefault="003059F2" w:rsidP="003059F2">
      <w:pPr>
        <w:pStyle w:val="Heading1"/>
        <w:numPr>
          <w:ilvl w:val="0"/>
          <w:numId w:val="0"/>
        </w:numPr>
        <w:rPr>
          <w:b w:val="0"/>
          <w:u w:val="none"/>
        </w:rPr>
      </w:pPr>
      <w:r>
        <w:rPr>
          <w:b w:val="0"/>
          <w:u w:val="none"/>
        </w:rPr>
        <w:t>NBHDL understands that this undertaking is in relation to Table 9-9 of NBHDL’s application, specifically Appendix 2-EA for Account 1575, and the difference in the net additions between CGAAP and MIFRS. The difference in net additions is a reflection of the dispositions in distribution assets that NBHDL will record under MIFRS that would not be recorded under CGAAP. Table 9-8 within Exhibit 9 of NBHDL provides the disposition entry by USoA Account.</w:t>
      </w:r>
    </w:p>
    <w:p w:rsidR="003059F2" w:rsidRDefault="003059F2" w:rsidP="003059F2">
      <w:pPr>
        <w:pStyle w:val="Heading1"/>
        <w:numPr>
          <w:ilvl w:val="0"/>
          <w:numId w:val="0"/>
        </w:numPr>
        <w:rPr>
          <w:b w:val="0"/>
          <w:u w:val="none"/>
        </w:rPr>
      </w:pPr>
      <w:r>
        <w:rPr>
          <w:b w:val="0"/>
          <w:u w:val="none"/>
        </w:rPr>
        <w:t>For ease of reference, NBHDL has included a revised Table 2-EA to account for 2014 actuals and to exclude WIP from the Net Book Value amount. The difference in net additions by USoA is provided below.</w:t>
      </w:r>
    </w:p>
    <w:p w:rsidR="000B0648" w:rsidRDefault="000B0648" w:rsidP="000B0648">
      <w:pPr>
        <w:pStyle w:val="Heading1"/>
        <w:numPr>
          <w:ilvl w:val="0"/>
          <w:numId w:val="0"/>
        </w:numPr>
      </w:pPr>
      <w:r w:rsidRPr="000B0648">
        <w:rPr>
          <w:b w:val="0"/>
          <w:noProof/>
          <w:u w:val="none"/>
          <w:lang w:val="en-US"/>
        </w:rPr>
        <w:drawing>
          <wp:inline distT="0" distB="0" distL="0" distR="0" wp14:anchorId="5A7AE46D" wp14:editId="3799FF64">
            <wp:extent cx="6215863" cy="198957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613" cy="1987894"/>
                    </a:xfrm>
                    <a:prstGeom prst="rect">
                      <a:avLst/>
                    </a:prstGeom>
                    <a:noFill/>
                    <a:ln>
                      <a:noFill/>
                    </a:ln>
                  </pic:spPr>
                </pic:pic>
              </a:graphicData>
            </a:graphic>
          </wp:inline>
        </w:drawing>
      </w:r>
    </w:p>
    <w:p w:rsidR="000B0648" w:rsidRDefault="000B0648" w:rsidP="000B0648">
      <w:pPr>
        <w:pStyle w:val="Heading1"/>
        <w:numPr>
          <w:ilvl w:val="0"/>
          <w:numId w:val="0"/>
        </w:numPr>
      </w:pPr>
    </w:p>
    <w:p w:rsidR="000B0648" w:rsidRDefault="000B0648" w:rsidP="000B0648">
      <w:pPr>
        <w:pStyle w:val="Heading1"/>
        <w:numPr>
          <w:ilvl w:val="0"/>
          <w:numId w:val="0"/>
        </w:numPr>
        <w:rPr>
          <w:b w:val="0"/>
          <w:u w:val="none"/>
        </w:rPr>
      </w:pPr>
      <w:r>
        <w:rPr>
          <w:b w:val="0"/>
          <w:u w:val="none"/>
        </w:rPr>
        <w:lastRenderedPageBreak/>
        <w:t>The reconciliation between Net Additions under CGAAP and Net Additions under MIFRS is as follows:</w:t>
      </w:r>
    </w:p>
    <w:p w:rsidR="000B0648" w:rsidRDefault="000B0648" w:rsidP="000B0648">
      <w:pPr>
        <w:pStyle w:val="Heading1"/>
        <w:numPr>
          <w:ilvl w:val="0"/>
          <w:numId w:val="0"/>
        </w:numPr>
        <w:rPr>
          <w:b w:val="0"/>
          <w:u w:val="none"/>
        </w:rPr>
      </w:pPr>
      <w:r w:rsidRPr="000B0648">
        <w:rPr>
          <w:b w:val="0"/>
          <w:noProof/>
          <w:u w:val="none"/>
          <w:lang w:val="en-US"/>
        </w:rPr>
        <w:drawing>
          <wp:inline distT="0" distB="0" distL="0" distR="0" wp14:anchorId="6276F234" wp14:editId="0836964D">
            <wp:extent cx="3707765" cy="944245"/>
            <wp:effectExtent l="0" t="0" r="698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07765" cy="944245"/>
                    </a:xfrm>
                    <a:prstGeom prst="rect">
                      <a:avLst/>
                    </a:prstGeom>
                    <a:noFill/>
                    <a:ln>
                      <a:noFill/>
                    </a:ln>
                  </pic:spPr>
                </pic:pic>
              </a:graphicData>
            </a:graphic>
          </wp:inline>
        </w:drawing>
      </w:r>
    </w:p>
    <w:p w:rsidR="000B0648" w:rsidRDefault="000B0648" w:rsidP="000B0648">
      <w:pPr>
        <w:pStyle w:val="Heading1"/>
        <w:numPr>
          <w:ilvl w:val="0"/>
          <w:numId w:val="0"/>
        </w:numPr>
        <w:rPr>
          <w:b w:val="0"/>
          <w:u w:val="none"/>
        </w:rPr>
      </w:pPr>
      <w:r>
        <w:rPr>
          <w:b w:val="0"/>
          <w:u w:val="none"/>
        </w:rPr>
        <w:t>A revised Table 2-EA to account for 2014 actuals and to exclude WIP from the Net Book Value amount is provided below.</w:t>
      </w:r>
    </w:p>
    <w:p w:rsidR="000B0648" w:rsidRPr="000B0648" w:rsidRDefault="000B0648" w:rsidP="000B0648">
      <w:pPr>
        <w:pStyle w:val="Heading1"/>
        <w:numPr>
          <w:ilvl w:val="0"/>
          <w:numId w:val="0"/>
        </w:numPr>
        <w:rPr>
          <w:b w:val="0"/>
          <w:u w:val="none"/>
        </w:rPr>
        <w:sectPr w:rsidR="000B0648" w:rsidRPr="000B0648" w:rsidSect="00FF22F2">
          <w:pgSz w:w="12240" w:h="15840"/>
          <w:pgMar w:top="1440" w:right="1440" w:bottom="1440" w:left="1440" w:header="708" w:footer="708" w:gutter="0"/>
          <w:lnNumType w:countBy="1"/>
          <w:cols w:space="708"/>
          <w:docGrid w:linePitch="360"/>
        </w:sectPr>
      </w:pPr>
    </w:p>
    <w:p w:rsidR="000B0648" w:rsidRDefault="000B0648" w:rsidP="000B0648">
      <w:pPr>
        <w:pStyle w:val="Heading1"/>
        <w:numPr>
          <w:ilvl w:val="0"/>
          <w:numId w:val="0"/>
        </w:numPr>
      </w:pPr>
      <w:r w:rsidRPr="00445E03">
        <w:rPr>
          <w:b w:val="0"/>
          <w:noProof/>
          <w:u w:val="none"/>
          <w:lang w:val="en-US"/>
        </w:rPr>
        <w:lastRenderedPageBreak/>
        <w:drawing>
          <wp:inline distT="0" distB="0" distL="0" distR="0" wp14:anchorId="1BBB5A96" wp14:editId="7D8EEAE7">
            <wp:extent cx="8430567" cy="5450759"/>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433966" cy="5452957"/>
                    </a:xfrm>
                    <a:prstGeom prst="rect">
                      <a:avLst/>
                    </a:prstGeom>
                    <a:noFill/>
                    <a:ln>
                      <a:noFill/>
                    </a:ln>
                  </pic:spPr>
                </pic:pic>
              </a:graphicData>
            </a:graphic>
          </wp:inline>
        </w:drawing>
      </w:r>
    </w:p>
    <w:sectPr w:rsidR="000B0648" w:rsidSect="000B0648">
      <w:pgSz w:w="15840" w:h="12240" w:orient="landscape"/>
      <w:pgMar w:top="1440" w:right="1440" w:bottom="1440" w:left="1440" w:header="708" w:footer="708" w:gutter="0"/>
      <w:lnNumType w:countBy="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606A" w:rsidRDefault="007D606A" w:rsidP="008034B4">
      <w:pPr>
        <w:spacing w:after="0" w:line="240" w:lineRule="auto"/>
      </w:pPr>
      <w:r>
        <w:separator/>
      </w:r>
    </w:p>
  </w:endnote>
  <w:endnote w:type="continuationSeparator" w:id="0">
    <w:p w:rsidR="007D606A" w:rsidRDefault="007D606A" w:rsidP="00803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606A" w:rsidRDefault="007D606A" w:rsidP="008034B4">
      <w:pPr>
        <w:spacing w:after="0" w:line="240" w:lineRule="auto"/>
      </w:pPr>
      <w:r>
        <w:separator/>
      </w:r>
    </w:p>
  </w:footnote>
  <w:footnote w:type="continuationSeparator" w:id="0">
    <w:p w:rsidR="007D606A" w:rsidRDefault="007D606A" w:rsidP="008034B4">
      <w:pPr>
        <w:spacing w:after="0" w:line="240" w:lineRule="auto"/>
      </w:pPr>
      <w:r>
        <w:continuationSeparator/>
      </w:r>
    </w:p>
  </w:footnote>
  <w:footnote w:id="1">
    <w:p w:rsidR="00A004C2" w:rsidRPr="00A004C2" w:rsidRDefault="00A004C2">
      <w:pPr>
        <w:pStyle w:val="FootnoteText"/>
        <w:rPr>
          <w:lang w:val="en-US"/>
        </w:rPr>
      </w:pPr>
      <w:r>
        <w:rPr>
          <w:rStyle w:val="FootnoteReference"/>
        </w:rPr>
        <w:footnoteRef/>
      </w:r>
      <w:r>
        <w:t xml:space="preserve"> </w:t>
      </w:r>
      <w:r>
        <w:rPr>
          <w:lang w:val="en-US"/>
        </w:rPr>
        <w:t>EB-2014-0099 Technical Conference – May 4, 2015 – page 10, line 17</w:t>
      </w:r>
    </w:p>
  </w:footnote>
  <w:footnote w:id="2">
    <w:p w:rsidR="00B23716" w:rsidRPr="00B23716" w:rsidRDefault="00B23716">
      <w:pPr>
        <w:pStyle w:val="FootnoteText"/>
        <w:rPr>
          <w:lang w:val="en-US"/>
        </w:rPr>
      </w:pPr>
      <w:r>
        <w:rPr>
          <w:rStyle w:val="FootnoteReference"/>
        </w:rPr>
        <w:footnoteRef/>
      </w:r>
      <w:r>
        <w:t xml:space="preserve"> </w:t>
      </w:r>
      <w:r w:rsidRPr="00B23716">
        <w:t xml:space="preserve">EB-2014-0099 Technical Conference – May 4, 2015 – page </w:t>
      </w:r>
      <w:r>
        <w:t>77, line 16-19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6BB" w:rsidRDefault="006D56BB" w:rsidP="00BA7CDF">
    <w:pPr>
      <w:pStyle w:val="Header"/>
      <w:spacing w:line="240" w:lineRule="auto"/>
      <w:jc w:val="right"/>
    </w:pPr>
    <w:r>
      <w:t>EB-2014-0099</w:t>
    </w:r>
  </w:p>
  <w:p w:rsidR="006D56BB" w:rsidRDefault="006D56BB" w:rsidP="00BA7CDF">
    <w:pPr>
      <w:pStyle w:val="Header"/>
      <w:spacing w:line="240" w:lineRule="auto"/>
      <w:jc w:val="right"/>
    </w:pPr>
    <w:r>
      <w:t>NBHDL Interrogatory Responses</w:t>
    </w:r>
  </w:p>
  <w:p w:rsidR="006D56BB" w:rsidRDefault="006D56BB" w:rsidP="00BA7CDF">
    <w:pPr>
      <w:pStyle w:val="Header"/>
      <w:spacing w:line="240" w:lineRule="auto"/>
      <w:jc w:val="right"/>
    </w:pPr>
    <w:r w:rsidRPr="008034B4">
      <w:t xml:space="preserve">Page </w:t>
    </w:r>
    <w:r>
      <w:fldChar w:fldCharType="begin"/>
    </w:r>
    <w:r>
      <w:instrText xml:space="preserve"> PAGE   \* MERGEFORMAT </w:instrText>
    </w:r>
    <w:r>
      <w:fldChar w:fldCharType="separate"/>
    </w:r>
    <w:r w:rsidR="00574F8E">
      <w:rPr>
        <w:noProof/>
      </w:rPr>
      <w:t>3</w:t>
    </w:r>
    <w:r>
      <w:rPr>
        <w:noProof/>
      </w:rPr>
      <w:fldChar w:fldCharType="end"/>
    </w:r>
    <w:r w:rsidRPr="008034B4">
      <w:t xml:space="preserve"> of </w:t>
    </w:r>
    <w:fldSimple w:instr=" NUMPAGES   \* MERGEFORMAT ">
      <w:r w:rsidR="00D52ED6">
        <w:rPr>
          <w:noProof/>
        </w:rPr>
        <w:t>38</w:t>
      </w:r>
    </w:fldSimple>
  </w:p>
  <w:p w:rsidR="006D56BB" w:rsidRDefault="006D56BB" w:rsidP="00BA7CDF">
    <w:pPr>
      <w:pStyle w:val="Header"/>
      <w:spacing w:line="240" w:lineRule="auto"/>
      <w:jc w:val="right"/>
    </w:pPr>
    <w:r>
      <w:t>Filed: April 24, 2015</w:t>
    </w:r>
  </w:p>
  <w:p w:rsidR="006D56BB" w:rsidRPr="008034B4" w:rsidRDefault="006D56BB" w:rsidP="005C3224">
    <w:pPr>
      <w:pStyle w:val="Header"/>
      <w:pBdr>
        <w:bottom w:val="single" w:sz="4" w:space="1" w:color="auto"/>
      </w:pBdr>
      <w:spacing w:line="240" w:lineRule="auto"/>
      <w:jc w:val="right"/>
    </w:pPr>
  </w:p>
  <w:p w:rsidR="006D56BB" w:rsidRDefault="006D56B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6BB" w:rsidRDefault="006D56B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6BB" w:rsidRDefault="006D56BB" w:rsidP="005C3224">
    <w:pPr>
      <w:pStyle w:val="Header"/>
      <w:spacing w:line="240" w:lineRule="auto"/>
      <w:jc w:val="right"/>
    </w:pPr>
    <w:r>
      <w:t>EB-2014-0099</w:t>
    </w:r>
  </w:p>
  <w:p w:rsidR="006D56BB" w:rsidRDefault="006D56BB" w:rsidP="005C3224">
    <w:pPr>
      <w:pStyle w:val="Header"/>
      <w:spacing w:line="240" w:lineRule="auto"/>
      <w:jc w:val="right"/>
    </w:pPr>
    <w:r>
      <w:t>NBHDL Technical Conference Undertaking Responses</w:t>
    </w:r>
  </w:p>
  <w:p w:rsidR="006D56BB" w:rsidRDefault="006D56BB" w:rsidP="005C3224">
    <w:pPr>
      <w:pStyle w:val="Header"/>
      <w:spacing w:line="240" w:lineRule="auto"/>
      <w:jc w:val="right"/>
    </w:pPr>
    <w:r w:rsidRPr="008034B4">
      <w:t xml:space="preserve">Page </w:t>
    </w:r>
    <w:r>
      <w:fldChar w:fldCharType="begin"/>
    </w:r>
    <w:r>
      <w:instrText xml:space="preserve"> PAGE   \* MERGEFORMAT </w:instrText>
    </w:r>
    <w:r>
      <w:fldChar w:fldCharType="separate"/>
    </w:r>
    <w:r w:rsidR="00421DEB">
      <w:rPr>
        <w:noProof/>
      </w:rPr>
      <w:t>25</w:t>
    </w:r>
    <w:r>
      <w:rPr>
        <w:noProof/>
      </w:rPr>
      <w:fldChar w:fldCharType="end"/>
    </w:r>
    <w:r w:rsidRPr="008034B4">
      <w:t xml:space="preserve"> of </w:t>
    </w:r>
    <w:fldSimple w:instr=" NUMPAGES   \* MERGEFORMAT ">
      <w:r w:rsidR="00421DEB">
        <w:rPr>
          <w:noProof/>
        </w:rPr>
        <w:t>25</w:t>
      </w:r>
    </w:fldSimple>
  </w:p>
  <w:p w:rsidR="006D56BB" w:rsidRPr="008034B4" w:rsidRDefault="006D56BB" w:rsidP="005C3224">
    <w:pPr>
      <w:pStyle w:val="Header"/>
      <w:pBdr>
        <w:bottom w:val="single" w:sz="4" w:space="1" w:color="auto"/>
      </w:pBdr>
      <w:spacing w:line="240" w:lineRule="auto"/>
      <w:jc w:val="right"/>
    </w:pPr>
    <w:r>
      <w:t>Filed: May 13, 2015</w:t>
    </w:r>
  </w:p>
  <w:p w:rsidR="006D56BB" w:rsidRDefault="006D56B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2804154"/>
      <w:docPartObj>
        <w:docPartGallery w:val="Page Numbers (Top of Page)"/>
        <w:docPartUnique/>
      </w:docPartObj>
    </w:sdtPr>
    <w:sdtEndPr/>
    <w:sdtContent>
      <w:p w:rsidR="006D56BB" w:rsidRDefault="006D56BB" w:rsidP="00D36543">
        <w:pPr>
          <w:pStyle w:val="Header"/>
          <w:spacing w:line="240" w:lineRule="auto"/>
          <w:jc w:val="right"/>
        </w:pPr>
        <w:r>
          <w:t>EB-2014-0099</w:t>
        </w:r>
      </w:p>
      <w:p w:rsidR="006D56BB" w:rsidRDefault="006D56BB" w:rsidP="00D36543">
        <w:pPr>
          <w:pStyle w:val="Header"/>
          <w:spacing w:line="240" w:lineRule="auto"/>
          <w:jc w:val="right"/>
        </w:pPr>
        <w:r>
          <w:t>NBHDL Interrogatory Responses</w:t>
        </w:r>
      </w:p>
      <w:p w:rsidR="006D56BB" w:rsidRPr="00BF0855" w:rsidRDefault="006D56BB" w:rsidP="00D36543">
        <w:pPr>
          <w:pStyle w:val="Header"/>
          <w:spacing w:line="240" w:lineRule="auto"/>
          <w:jc w:val="right"/>
          <w:rPr>
            <w:b/>
            <w:bCs/>
            <w:szCs w:val="24"/>
          </w:rPr>
        </w:pPr>
        <w:r w:rsidRPr="00BF0855">
          <w:t xml:space="preserve">Page </w:t>
        </w:r>
        <w:r w:rsidRPr="00BF0855">
          <w:rPr>
            <w:bCs/>
            <w:szCs w:val="24"/>
          </w:rPr>
          <w:fldChar w:fldCharType="begin"/>
        </w:r>
        <w:r w:rsidRPr="00BF0855">
          <w:rPr>
            <w:bCs/>
          </w:rPr>
          <w:instrText xml:space="preserve"> PAGE </w:instrText>
        </w:r>
        <w:r w:rsidRPr="00BF0855">
          <w:rPr>
            <w:bCs/>
            <w:szCs w:val="24"/>
          </w:rPr>
          <w:fldChar w:fldCharType="separate"/>
        </w:r>
        <w:r w:rsidR="00421DEB">
          <w:rPr>
            <w:bCs/>
            <w:noProof/>
          </w:rPr>
          <w:t>29</w:t>
        </w:r>
        <w:r w:rsidRPr="00BF0855">
          <w:rPr>
            <w:bCs/>
            <w:szCs w:val="24"/>
          </w:rPr>
          <w:fldChar w:fldCharType="end"/>
        </w:r>
        <w:r w:rsidRPr="00BF0855">
          <w:t xml:space="preserve"> of</w:t>
        </w:r>
        <w:r>
          <w:t xml:space="preserve"> </w:t>
        </w:r>
        <w:r>
          <w:rPr>
            <w:bCs/>
            <w:szCs w:val="24"/>
          </w:rPr>
          <w:fldChar w:fldCharType="begin"/>
        </w:r>
        <w:r>
          <w:rPr>
            <w:bCs/>
            <w:szCs w:val="24"/>
          </w:rPr>
          <w:instrText xml:space="preserve"> NUMPAGES   \* MERGEFORMAT </w:instrText>
        </w:r>
        <w:r>
          <w:rPr>
            <w:bCs/>
            <w:szCs w:val="24"/>
          </w:rPr>
          <w:fldChar w:fldCharType="separate"/>
        </w:r>
        <w:r w:rsidR="00421DEB">
          <w:rPr>
            <w:bCs/>
            <w:noProof/>
            <w:szCs w:val="24"/>
          </w:rPr>
          <w:t>37</w:t>
        </w:r>
        <w:r>
          <w:rPr>
            <w:bCs/>
            <w:szCs w:val="24"/>
          </w:rPr>
          <w:fldChar w:fldCharType="end"/>
        </w:r>
      </w:p>
      <w:p w:rsidR="006D56BB" w:rsidRDefault="006D56BB" w:rsidP="00D36543">
        <w:pPr>
          <w:pStyle w:val="Header"/>
          <w:spacing w:line="240" w:lineRule="auto"/>
        </w:pPr>
        <w:r w:rsidRPr="00BF0855">
          <w:rPr>
            <w:bCs/>
            <w:szCs w:val="24"/>
            <w:u w:val="single"/>
          </w:rPr>
          <w:tab/>
        </w:r>
        <w:r w:rsidRPr="00BF0855">
          <w:rPr>
            <w:bCs/>
            <w:szCs w:val="24"/>
            <w:u w:val="single"/>
          </w:rPr>
          <w:tab/>
          <w:t>Filed: April 24, 2015</w:t>
        </w:r>
      </w:p>
    </w:sdtContent>
  </w:sdt>
  <w:p w:rsidR="006D56BB" w:rsidRDefault="006D56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7780"/>
    <w:multiLevelType w:val="hybridMultilevel"/>
    <w:tmpl w:val="8D8C9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FE2634"/>
    <w:multiLevelType w:val="hybridMultilevel"/>
    <w:tmpl w:val="C7547D76"/>
    <w:lvl w:ilvl="0" w:tplc="991C692A">
      <w:numFmt w:val="bullet"/>
      <w:lvlText w:val="•"/>
      <w:lvlJc w:val="left"/>
      <w:pPr>
        <w:ind w:left="1080" w:hanging="72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3963CCE"/>
    <w:multiLevelType w:val="hybridMultilevel"/>
    <w:tmpl w:val="DB90B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A354F8"/>
    <w:multiLevelType w:val="multilevel"/>
    <w:tmpl w:val="E6725C00"/>
    <w:lvl w:ilvl="0">
      <w:start w:val="1"/>
      <w:numFmt w:val="bullet"/>
      <w:lvlText w:val=""/>
      <w:lvlJc w:val="left"/>
      <w:pPr>
        <w:ind w:left="1440" w:hanging="720"/>
      </w:pPr>
      <w:rPr>
        <w:rFonts w:ascii="Symbol" w:hAnsi="Symbol" w:hint="default"/>
        <w:b w:val="0"/>
        <w:i w:val="0"/>
        <w:caps w:val="0"/>
        <w:color w:val="010000"/>
        <w:u w:val="none"/>
      </w:rPr>
    </w:lvl>
    <w:lvl w:ilvl="1">
      <w:start w:val="1"/>
      <w:numFmt w:val="lowerLetter"/>
      <w:lvlText w:val="%2)"/>
      <w:lvlJc w:val="left"/>
      <w:pPr>
        <w:ind w:left="720" w:firstLine="0"/>
      </w:pPr>
      <w:rPr>
        <w:rFonts w:ascii="Times New Roman" w:eastAsiaTheme="minorHAnsi" w:hAnsi="Times New Roman" w:cstheme="minorBidi"/>
        <w:b w:val="0"/>
        <w:i w:val="0"/>
        <w:caps w:val="0"/>
        <w:color w:val="010000"/>
        <w:u w:val="none"/>
      </w:rPr>
    </w:lvl>
    <w:lvl w:ilvl="2">
      <w:start w:val="1"/>
      <w:numFmt w:val="bullet"/>
      <w:lvlText w:val=""/>
      <w:lvlJc w:val="left"/>
      <w:pPr>
        <w:tabs>
          <w:tab w:val="num" w:pos="1440"/>
        </w:tabs>
        <w:ind w:left="2160" w:hanging="720"/>
      </w:pPr>
      <w:rPr>
        <w:rFonts w:ascii="Symbol" w:hAnsi="Symbol" w:hint="default"/>
        <w:caps w:val="0"/>
        <w:color w:val="010000"/>
        <w:u w:val="none"/>
      </w:rPr>
    </w:lvl>
    <w:lvl w:ilvl="3">
      <w:start w:val="1"/>
      <w:numFmt w:val="decimal"/>
      <w:lvlText w:val="%4."/>
      <w:lvlJc w:val="left"/>
      <w:pPr>
        <w:tabs>
          <w:tab w:val="num" w:pos="1440"/>
        </w:tabs>
        <w:ind w:left="2160" w:hanging="1080"/>
      </w:pPr>
      <w:rPr>
        <w:rFonts w:hint="default"/>
        <w:caps w:val="0"/>
        <w:color w:val="010000"/>
        <w:u w:val="none"/>
      </w:rPr>
    </w:lvl>
    <w:lvl w:ilvl="4">
      <w:start w:val="1"/>
      <w:numFmt w:val="bullet"/>
      <w:lvlText w:val="-"/>
      <w:lvlJc w:val="left"/>
      <w:pPr>
        <w:tabs>
          <w:tab w:val="num" w:pos="1440"/>
        </w:tabs>
        <w:ind w:left="2160" w:hanging="720"/>
      </w:pPr>
      <w:rPr>
        <w:rFonts w:ascii="Symbol" w:hAnsi="Symbol" w:hint="default"/>
        <w:caps w:val="0"/>
        <w:color w:val="auto"/>
        <w:u w:val="none"/>
      </w:rPr>
    </w:lvl>
    <w:lvl w:ilvl="5">
      <w:start w:val="1"/>
      <w:numFmt w:val="lowerRoman"/>
      <w:lvlText w:val="%6."/>
      <w:lvlJc w:val="left"/>
      <w:pPr>
        <w:tabs>
          <w:tab w:val="num" w:pos="1440"/>
        </w:tabs>
        <w:ind w:left="1440" w:hanging="720"/>
      </w:pPr>
      <w:rPr>
        <w:rFonts w:hint="default"/>
        <w:caps w:val="0"/>
        <w:color w:val="010000"/>
        <w:u w:val="none"/>
      </w:rPr>
    </w:lvl>
    <w:lvl w:ilvl="6">
      <w:start w:val="1"/>
      <w:numFmt w:val="decimal"/>
      <w:lvlText w:val="%7)"/>
      <w:lvlJc w:val="left"/>
      <w:pPr>
        <w:tabs>
          <w:tab w:val="num" w:pos="5760"/>
        </w:tabs>
        <w:ind w:left="5760" w:hanging="720"/>
      </w:pPr>
      <w:rPr>
        <w:rFonts w:hint="default"/>
        <w:caps w:val="0"/>
        <w:color w:val="010000"/>
        <w:u w:val="none"/>
      </w:rPr>
    </w:lvl>
    <w:lvl w:ilvl="7">
      <w:start w:val="1"/>
      <w:numFmt w:val="lowerLetter"/>
      <w:lvlText w:val="%8)"/>
      <w:lvlJc w:val="left"/>
      <w:pPr>
        <w:tabs>
          <w:tab w:val="num" w:pos="6480"/>
        </w:tabs>
        <w:ind w:left="6480" w:hanging="720"/>
      </w:pPr>
      <w:rPr>
        <w:rFonts w:hint="default"/>
        <w:caps w:val="0"/>
        <w:color w:val="010000"/>
        <w:u w:val="none"/>
      </w:rPr>
    </w:lvl>
    <w:lvl w:ilvl="8">
      <w:start w:val="1"/>
      <w:numFmt w:val="lowerRoman"/>
      <w:lvlText w:val="%9)"/>
      <w:lvlJc w:val="left"/>
      <w:pPr>
        <w:tabs>
          <w:tab w:val="num" w:pos="7200"/>
        </w:tabs>
        <w:ind w:left="7200" w:hanging="720"/>
      </w:pPr>
      <w:rPr>
        <w:rFonts w:hint="default"/>
        <w:caps w:val="0"/>
        <w:color w:val="010000"/>
        <w:u w:val="none"/>
      </w:rPr>
    </w:lvl>
  </w:abstractNum>
  <w:abstractNum w:abstractNumId="4">
    <w:nsid w:val="078116F8"/>
    <w:multiLevelType w:val="hybridMultilevel"/>
    <w:tmpl w:val="870C62B4"/>
    <w:lvl w:ilvl="0" w:tplc="C3B20D3E">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0B4D422D"/>
    <w:multiLevelType w:val="hybridMultilevel"/>
    <w:tmpl w:val="DC3A2952"/>
    <w:lvl w:ilvl="0" w:tplc="991C692A">
      <w:numFmt w:val="bullet"/>
      <w:lvlText w:val="•"/>
      <w:lvlJc w:val="left"/>
      <w:pPr>
        <w:ind w:left="1080" w:hanging="72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0DD30160"/>
    <w:multiLevelType w:val="hybridMultilevel"/>
    <w:tmpl w:val="E8F23E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10332D43"/>
    <w:multiLevelType w:val="hybridMultilevel"/>
    <w:tmpl w:val="1F9A9F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1535889"/>
    <w:multiLevelType w:val="hybridMultilevel"/>
    <w:tmpl w:val="893C2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E667A4"/>
    <w:multiLevelType w:val="hybridMultilevel"/>
    <w:tmpl w:val="8A16E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B72215"/>
    <w:multiLevelType w:val="hybridMultilevel"/>
    <w:tmpl w:val="6C989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433357"/>
    <w:multiLevelType w:val="hybridMultilevel"/>
    <w:tmpl w:val="F0CEB6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151F741E"/>
    <w:multiLevelType w:val="hybridMultilevel"/>
    <w:tmpl w:val="EE62E95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nsid w:val="1B9254FF"/>
    <w:multiLevelType w:val="multilevel"/>
    <w:tmpl w:val="DA322FB8"/>
    <w:lvl w:ilvl="0">
      <w:start w:val="1"/>
      <w:numFmt w:val="none"/>
      <w:suff w:val="nothing"/>
      <w:lvlText w:val=""/>
      <w:lvlJc w:val="left"/>
      <w:pPr>
        <w:ind w:left="720" w:hanging="720"/>
      </w:pPr>
      <w:rPr>
        <w:rFonts w:hint="default"/>
        <w:b/>
        <w:i w:val="0"/>
        <w:caps w:val="0"/>
        <w:color w:val="010000"/>
        <w:u w:val="single"/>
      </w:rPr>
    </w:lvl>
    <w:lvl w:ilvl="1">
      <w:numFmt w:val="bullet"/>
      <w:lvlText w:val="•"/>
      <w:lvlJc w:val="left"/>
      <w:pPr>
        <w:ind w:left="0" w:firstLine="0"/>
      </w:pPr>
      <w:rPr>
        <w:rFonts w:ascii="Times New Roman" w:eastAsiaTheme="minorHAnsi" w:hAnsi="Times New Roman" w:cs="Times New Roman" w:hint="default"/>
        <w:b w:val="0"/>
        <w:i w:val="0"/>
        <w:caps w:val="0"/>
        <w:color w:val="010000"/>
        <w:u w:val="none"/>
      </w:rPr>
    </w:lvl>
    <w:lvl w:ilvl="2">
      <w:start w:val="1"/>
      <w:numFmt w:val="bullet"/>
      <w:lvlText w:val=""/>
      <w:lvlJc w:val="left"/>
      <w:pPr>
        <w:tabs>
          <w:tab w:val="num" w:pos="720"/>
        </w:tabs>
        <w:ind w:left="1440" w:hanging="720"/>
      </w:pPr>
      <w:rPr>
        <w:rFonts w:ascii="Symbol" w:hAnsi="Symbol" w:hint="default"/>
        <w:caps w:val="0"/>
        <w:color w:val="010000"/>
        <w:u w:val="none"/>
      </w:rPr>
    </w:lvl>
    <w:lvl w:ilvl="3">
      <w:start w:val="1"/>
      <w:numFmt w:val="decimal"/>
      <w:lvlText w:val="%4."/>
      <w:lvlJc w:val="left"/>
      <w:pPr>
        <w:tabs>
          <w:tab w:val="num" w:pos="720"/>
        </w:tabs>
        <w:ind w:left="1440" w:hanging="1080"/>
      </w:pPr>
      <w:rPr>
        <w:rFonts w:hint="default"/>
        <w:caps w:val="0"/>
        <w:color w:val="010000"/>
        <w:u w:val="none"/>
      </w:rPr>
    </w:lvl>
    <w:lvl w:ilvl="4">
      <w:start w:val="1"/>
      <w:numFmt w:val="bullet"/>
      <w:lvlText w:val="-"/>
      <w:lvlJc w:val="left"/>
      <w:pPr>
        <w:tabs>
          <w:tab w:val="num" w:pos="720"/>
        </w:tabs>
        <w:ind w:left="1440" w:hanging="720"/>
      </w:pPr>
      <w:rPr>
        <w:rFonts w:ascii="Symbol" w:hAnsi="Symbol" w:hint="default"/>
        <w:caps w:val="0"/>
        <w:color w:val="auto"/>
        <w:u w:val="none"/>
      </w:rPr>
    </w:lvl>
    <w:lvl w:ilvl="5">
      <w:start w:val="1"/>
      <w:numFmt w:val="lowerRoman"/>
      <w:lvlText w:val="%6."/>
      <w:lvlJc w:val="left"/>
      <w:pPr>
        <w:tabs>
          <w:tab w:val="num" w:pos="720"/>
        </w:tabs>
        <w:ind w:left="720" w:hanging="720"/>
      </w:pPr>
      <w:rPr>
        <w:rFonts w:hint="default"/>
        <w:caps w:val="0"/>
        <w:color w:val="010000"/>
        <w:u w:val="none"/>
      </w:rPr>
    </w:lvl>
    <w:lvl w:ilvl="6">
      <w:start w:val="1"/>
      <w:numFmt w:val="decimal"/>
      <w:lvlText w:val="%7)"/>
      <w:lvlJc w:val="left"/>
      <w:pPr>
        <w:tabs>
          <w:tab w:val="num" w:pos="5040"/>
        </w:tabs>
        <w:ind w:left="5040" w:hanging="720"/>
      </w:pPr>
      <w:rPr>
        <w:rFonts w:hint="default"/>
        <w:caps w:val="0"/>
        <w:color w:val="010000"/>
        <w:u w:val="none"/>
      </w:rPr>
    </w:lvl>
    <w:lvl w:ilvl="7">
      <w:start w:val="1"/>
      <w:numFmt w:val="lowerLetter"/>
      <w:lvlText w:val="%8)"/>
      <w:lvlJc w:val="left"/>
      <w:pPr>
        <w:tabs>
          <w:tab w:val="num" w:pos="5760"/>
        </w:tabs>
        <w:ind w:left="5760" w:hanging="720"/>
      </w:pPr>
      <w:rPr>
        <w:rFonts w:hint="default"/>
        <w:caps w:val="0"/>
        <w:color w:val="010000"/>
        <w:u w:val="none"/>
      </w:rPr>
    </w:lvl>
    <w:lvl w:ilvl="8">
      <w:start w:val="1"/>
      <w:numFmt w:val="lowerRoman"/>
      <w:lvlText w:val="%9)"/>
      <w:lvlJc w:val="left"/>
      <w:pPr>
        <w:tabs>
          <w:tab w:val="num" w:pos="6480"/>
        </w:tabs>
        <w:ind w:left="6480" w:hanging="720"/>
      </w:pPr>
      <w:rPr>
        <w:rFonts w:hint="default"/>
        <w:caps w:val="0"/>
        <w:color w:val="010000"/>
        <w:u w:val="none"/>
      </w:rPr>
    </w:lvl>
  </w:abstractNum>
  <w:abstractNum w:abstractNumId="14">
    <w:nsid w:val="1E4328FB"/>
    <w:multiLevelType w:val="hybridMultilevel"/>
    <w:tmpl w:val="D9F4E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1B1061"/>
    <w:multiLevelType w:val="hybridMultilevel"/>
    <w:tmpl w:val="FDA2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387D13"/>
    <w:multiLevelType w:val="multilevel"/>
    <w:tmpl w:val="097649FE"/>
    <w:lvl w:ilvl="0">
      <w:start w:val="1"/>
      <w:numFmt w:val="none"/>
      <w:pStyle w:val="Heading1"/>
      <w:suff w:val="nothing"/>
      <w:lvlText w:val=""/>
      <w:lvlJc w:val="left"/>
      <w:pPr>
        <w:ind w:left="720" w:hanging="720"/>
      </w:pPr>
      <w:rPr>
        <w:rFonts w:hint="default"/>
        <w:b/>
        <w:i w:val="0"/>
        <w:caps w:val="0"/>
        <w:color w:val="010000"/>
        <w:u w:val="single"/>
      </w:rPr>
    </w:lvl>
    <w:lvl w:ilvl="1">
      <w:start w:val="1"/>
      <w:numFmt w:val="lowerLetter"/>
      <w:pStyle w:val="Heading2"/>
      <w:lvlText w:val="%2)"/>
      <w:lvlJc w:val="left"/>
      <w:pPr>
        <w:ind w:left="0" w:firstLine="0"/>
      </w:pPr>
      <w:rPr>
        <w:rFonts w:ascii="Times New Roman" w:eastAsiaTheme="minorHAnsi" w:hAnsi="Times New Roman" w:cstheme="minorBidi"/>
        <w:b w:val="0"/>
        <w:i w:val="0"/>
        <w:caps w:val="0"/>
        <w:color w:val="010000"/>
        <w:u w:val="none"/>
      </w:rPr>
    </w:lvl>
    <w:lvl w:ilvl="2">
      <w:start w:val="1"/>
      <w:numFmt w:val="bullet"/>
      <w:pStyle w:val="Heading3"/>
      <w:lvlText w:val=""/>
      <w:lvlJc w:val="left"/>
      <w:pPr>
        <w:tabs>
          <w:tab w:val="num" w:pos="720"/>
        </w:tabs>
        <w:ind w:left="1440" w:hanging="720"/>
      </w:pPr>
      <w:rPr>
        <w:rFonts w:ascii="Symbol" w:hAnsi="Symbol" w:hint="default"/>
        <w:caps w:val="0"/>
        <w:color w:val="010000"/>
        <w:u w:val="none"/>
      </w:rPr>
    </w:lvl>
    <w:lvl w:ilvl="3">
      <w:start w:val="1"/>
      <w:numFmt w:val="decimal"/>
      <w:pStyle w:val="Heading4"/>
      <w:lvlText w:val="%4."/>
      <w:lvlJc w:val="left"/>
      <w:pPr>
        <w:tabs>
          <w:tab w:val="num" w:pos="720"/>
        </w:tabs>
        <w:ind w:left="1440" w:hanging="1080"/>
      </w:pPr>
      <w:rPr>
        <w:rFonts w:hint="default"/>
        <w:caps w:val="0"/>
        <w:color w:val="010000"/>
        <w:u w:val="none"/>
      </w:rPr>
    </w:lvl>
    <w:lvl w:ilvl="4">
      <w:start w:val="1"/>
      <w:numFmt w:val="bullet"/>
      <w:pStyle w:val="Heading5"/>
      <w:lvlText w:val="-"/>
      <w:lvlJc w:val="left"/>
      <w:pPr>
        <w:tabs>
          <w:tab w:val="num" w:pos="720"/>
        </w:tabs>
        <w:ind w:left="1440" w:hanging="720"/>
      </w:pPr>
      <w:rPr>
        <w:rFonts w:ascii="Symbol" w:hAnsi="Symbol" w:hint="default"/>
        <w:caps w:val="0"/>
        <w:color w:val="auto"/>
        <w:u w:val="none"/>
      </w:rPr>
    </w:lvl>
    <w:lvl w:ilvl="5">
      <w:start w:val="1"/>
      <w:numFmt w:val="lowerRoman"/>
      <w:pStyle w:val="Heading6"/>
      <w:lvlText w:val="%6."/>
      <w:lvlJc w:val="left"/>
      <w:pPr>
        <w:tabs>
          <w:tab w:val="num" w:pos="720"/>
        </w:tabs>
        <w:ind w:left="720" w:hanging="720"/>
      </w:pPr>
      <w:rPr>
        <w:rFonts w:hint="default"/>
        <w:caps w:val="0"/>
        <w:color w:val="010000"/>
        <w:u w:val="none"/>
      </w:rPr>
    </w:lvl>
    <w:lvl w:ilvl="6">
      <w:start w:val="1"/>
      <w:numFmt w:val="decimal"/>
      <w:pStyle w:val="Heading7"/>
      <w:lvlText w:val="%7)"/>
      <w:lvlJc w:val="left"/>
      <w:pPr>
        <w:tabs>
          <w:tab w:val="num" w:pos="5040"/>
        </w:tabs>
        <w:ind w:left="5040" w:hanging="720"/>
      </w:pPr>
      <w:rPr>
        <w:rFonts w:hint="default"/>
        <w:caps w:val="0"/>
        <w:color w:val="010000"/>
        <w:u w:val="none"/>
      </w:rPr>
    </w:lvl>
    <w:lvl w:ilvl="7">
      <w:start w:val="1"/>
      <w:numFmt w:val="lowerLetter"/>
      <w:pStyle w:val="Heading8"/>
      <w:lvlText w:val="%8)"/>
      <w:lvlJc w:val="left"/>
      <w:pPr>
        <w:tabs>
          <w:tab w:val="num" w:pos="5760"/>
        </w:tabs>
        <w:ind w:left="5760" w:hanging="720"/>
      </w:pPr>
      <w:rPr>
        <w:rFonts w:hint="default"/>
        <w:caps w:val="0"/>
        <w:color w:val="010000"/>
        <w:u w:val="none"/>
      </w:rPr>
    </w:lvl>
    <w:lvl w:ilvl="8">
      <w:start w:val="1"/>
      <w:numFmt w:val="lowerRoman"/>
      <w:pStyle w:val="Heading9"/>
      <w:lvlText w:val="%9)"/>
      <w:lvlJc w:val="left"/>
      <w:pPr>
        <w:tabs>
          <w:tab w:val="num" w:pos="6480"/>
        </w:tabs>
        <w:ind w:left="6480" w:hanging="720"/>
      </w:pPr>
      <w:rPr>
        <w:rFonts w:hint="default"/>
        <w:caps w:val="0"/>
        <w:color w:val="010000"/>
        <w:u w:val="none"/>
      </w:rPr>
    </w:lvl>
  </w:abstractNum>
  <w:abstractNum w:abstractNumId="17">
    <w:nsid w:val="293101E5"/>
    <w:multiLevelType w:val="hybridMultilevel"/>
    <w:tmpl w:val="BD829E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29B9583F"/>
    <w:multiLevelType w:val="multilevel"/>
    <w:tmpl w:val="BB4863B4"/>
    <w:lvl w:ilvl="0">
      <w:start w:val="1"/>
      <w:numFmt w:val="none"/>
      <w:suff w:val="nothing"/>
      <w:lvlText w:val=""/>
      <w:lvlJc w:val="left"/>
      <w:pPr>
        <w:ind w:left="0" w:firstLine="0"/>
      </w:pPr>
      <w:rPr>
        <w:rFonts w:ascii="Times New Roman" w:hAnsi="Times New Roman" w:hint="default"/>
        <w:b w:val="0"/>
        <w:i w:val="0"/>
        <w:caps w:val="0"/>
        <w:color w:val="010000"/>
        <w:u w:val="none"/>
      </w:rPr>
    </w:lvl>
    <w:lvl w:ilvl="1">
      <w:start w:val="1"/>
      <w:numFmt w:val="lowerLetter"/>
      <w:lvlText w:val="%2)"/>
      <w:lvlJc w:val="left"/>
      <w:pPr>
        <w:tabs>
          <w:tab w:val="num" w:pos="720"/>
        </w:tabs>
        <w:ind w:left="0" w:firstLine="0"/>
      </w:pPr>
      <w:rPr>
        <w:rFonts w:hint="default"/>
        <w:b w:val="0"/>
        <w:i w:val="0"/>
        <w:caps w:val="0"/>
        <w:color w:val="010000"/>
        <w:u w:val="none"/>
      </w:rPr>
    </w:lvl>
    <w:lvl w:ilvl="2">
      <w:start w:val="1"/>
      <w:numFmt w:val="bullet"/>
      <w:lvlText w:val=""/>
      <w:lvlJc w:val="left"/>
      <w:pPr>
        <w:tabs>
          <w:tab w:val="num" w:pos="1440"/>
        </w:tabs>
        <w:ind w:left="1440" w:hanging="720"/>
      </w:pPr>
      <w:rPr>
        <w:rFonts w:ascii="Wingdings 2" w:hAnsi="Wingdings 2" w:hint="default"/>
        <w:caps w:val="0"/>
        <w:color w:val="010000"/>
        <w:u w:val="none"/>
      </w:rPr>
    </w:lvl>
    <w:lvl w:ilvl="3">
      <w:start w:val="1"/>
      <w:numFmt w:val="decimal"/>
      <w:lvlText w:val="%4."/>
      <w:lvlJc w:val="left"/>
      <w:pPr>
        <w:tabs>
          <w:tab w:val="num" w:pos="720"/>
        </w:tabs>
        <w:ind w:left="720" w:hanging="360"/>
      </w:pPr>
      <w:rPr>
        <w:rFonts w:hint="default"/>
        <w:caps w:val="0"/>
        <w:color w:val="010000"/>
        <w:u w:val="none"/>
      </w:rPr>
    </w:lvl>
    <w:lvl w:ilvl="4">
      <w:start w:val="1"/>
      <w:numFmt w:val="bullet"/>
      <w:lvlText w:val=""/>
      <w:lvlJc w:val="left"/>
      <w:pPr>
        <w:tabs>
          <w:tab w:val="num" w:pos="3600"/>
        </w:tabs>
        <w:ind w:left="3600" w:hanging="720"/>
      </w:pPr>
      <w:rPr>
        <w:rFonts w:ascii="Symbol" w:hAnsi="Symbol" w:hint="default"/>
        <w:caps w:val="0"/>
        <w:color w:val="010000"/>
        <w:u w:val="none"/>
      </w:rPr>
    </w:lvl>
    <w:lvl w:ilvl="5">
      <w:start w:val="1"/>
      <w:numFmt w:val="lowerRoman"/>
      <w:lvlText w:val="%6."/>
      <w:lvlJc w:val="left"/>
      <w:pPr>
        <w:tabs>
          <w:tab w:val="num" w:pos="720"/>
        </w:tabs>
        <w:ind w:left="720" w:hanging="720"/>
      </w:pPr>
      <w:rPr>
        <w:rFonts w:hint="default"/>
        <w:caps w:val="0"/>
        <w:color w:val="010000"/>
        <w:u w:val="none"/>
      </w:rPr>
    </w:lvl>
    <w:lvl w:ilvl="6">
      <w:start w:val="1"/>
      <w:numFmt w:val="decimal"/>
      <w:lvlText w:val="%7)"/>
      <w:lvlJc w:val="left"/>
      <w:pPr>
        <w:tabs>
          <w:tab w:val="num" w:pos="5040"/>
        </w:tabs>
        <w:ind w:left="5040" w:hanging="720"/>
      </w:pPr>
      <w:rPr>
        <w:rFonts w:hint="default"/>
        <w:caps w:val="0"/>
        <w:color w:val="010000"/>
        <w:u w:val="none"/>
      </w:rPr>
    </w:lvl>
    <w:lvl w:ilvl="7">
      <w:start w:val="1"/>
      <w:numFmt w:val="lowerLetter"/>
      <w:lvlText w:val="%8)"/>
      <w:lvlJc w:val="left"/>
      <w:pPr>
        <w:tabs>
          <w:tab w:val="num" w:pos="5760"/>
        </w:tabs>
        <w:ind w:left="5760" w:hanging="720"/>
      </w:pPr>
      <w:rPr>
        <w:rFonts w:hint="default"/>
        <w:caps w:val="0"/>
        <w:color w:val="010000"/>
        <w:u w:val="none"/>
      </w:rPr>
    </w:lvl>
    <w:lvl w:ilvl="8">
      <w:start w:val="1"/>
      <w:numFmt w:val="lowerRoman"/>
      <w:lvlText w:val="%9)"/>
      <w:lvlJc w:val="left"/>
      <w:pPr>
        <w:tabs>
          <w:tab w:val="num" w:pos="6480"/>
        </w:tabs>
        <w:ind w:left="6480" w:hanging="720"/>
      </w:pPr>
      <w:rPr>
        <w:rFonts w:hint="default"/>
        <w:caps w:val="0"/>
        <w:color w:val="010000"/>
        <w:u w:val="none"/>
      </w:rPr>
    </w:lvl>
  </w:abstractNum>
  <w:abstractNum w:abstractNumId="19">
    <w:nsid w:val="2A7F0A9B"/>
    <w:multiLevelType w:val="hybridMultilevel"/>
    <w:tmpl w:val="F70ACFF8"/>
    <w:lvl w:ilvl="0" w:tplc="991C692A">
      <w:numFmt w:val="bullet"/>
      <w:lvlText w:val="•"/>
      <w:lvlJc w:val="left"/>
      <w:pPr>
        <w:ind w:left="1080" w:hanging="72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2C3064AF"/>
    <w:multiLevelType w:val="hybridMultilevel"/>
    <w:tmpl w:val="BC76718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1">
    <w:nsid w:val="39510D00"/>
    <w:multiLevelType w:val="multilevel"/>
    <w:tmpl w:val="DA322FB8"/>
    <w:lvl w:ilvl="0">
      <w:start w:val="1"/>
      <w:numFmt w:val="none"/>
      <w:suff w:val="nothing"/>
      <w:lvlText w:val=""/>
      <w:lvlJc w:val="left"/>
      <w:pPr>
        <w:ind w:left="720" w:hanging="720"/>
      </w:pPr>
      <w:rPr>
        <w:rFonts w:hint="default"/>
        <w:b/>
        <w:i w:val="0"/>
        <w:caps w:val="0"/>
        <w:color w:val="010000"/>
        <w:u w:val="single"/>
      </w:rPr>
    </w:lvl>
    <w:lvl w:ilvl="1">
      <w:numFmt w:val="bullet"/>
      <w:lvlText w:val="•"/>
      <w:lvlJc w:val="left"/>
      <w:pPr>
        <w:ind w:left="0" w:firstLine="0"/>
      </w:pPr>
      <w:rPr>
        <w:rFonts w:ascii="Times New Roman" w:eastAsiaTheme="minorHAnsi" w:hAnsi="Times New Roman" w:cs="Times New Roman" w:hint="default"/>
        <w:b w:val="0"/>
        <w:i w:val="0"/>
        <w:caps w:val="0"/>
        <w:color w:val="010000"/>
        <w:u w:val="none"/>
      </w:rPr>
    </w:lvl>
    <w:lvl w:ilvl="2">
      <w:start w:val="1"/>
      <w:numFmt w:val="bullet"/>
      <w:lvlText w:val=""/>
      <w:lvlJc w:val="left"/>
      <w:pPr>
        <w:tabs>
          <w:tab w:val="num" w:pos="720"/>
        </w:tabs>
        <w:ind w:left="1440" w:hanging="720"/>
      </w:pPr>
      <w:rPr>
        <w:rFonts w:ascii="Symbol" w:hAnsi="Symbol" w:hint="default"/>
        <w:caps w:val="0"/>
        <w:color w:val="010000"/>
        <w:u w:val="none"/>
      </w:rPr>
    </w:lvl>
    <w:lvl w:ilvl="3">
      <w:start w:val="1"/>
      <w:numFmt w:val="decimal"/>
      <w:lvlText w:val="%4."/>
      <w:lvlJc w:val="left"/>
      <w:pPr>
        <w:tabs>
          <w:tab w:val="num" w:pos="720"/>
        </w:tabs>
        <w:ind w:left="1440" w:hanging="1080"/>
      </w:pPr>
      <w:rPr>
        <w:rFonts w:hint="default"/>
        <w:caps w:val="0"/>
        <w:color w:val="010000"/>
        <w:u w:val="none"/>
      </w:rPr>
    </w:lvl>
    <w:lvl w:ilvl="4">
      <w:start w:val="1"/>
      <w:numFmt w:val="bullet"/>
      <w:lvlText w:val="-"/>
      <w:lvlJc w:val="left"/>
      <w:pPr>
        <w:tabs>
          <w:tab w:val="num" w:pos="720"/>
        </w:tabs>
        <w:ind w:left="1440" w:hanging="720"/>
      </w:pPr>
      <w:rPr>
        <w:rFonts w:ascii="Symbol" w:hAnsi="Symbol" w:hint="default"/>
        <w:caps w:val="0"/>
        <w:color w:val="auto"/>
        <w:u w:val="none"/>
      </w:rPr>
    </w:lvl>
    <w:lvl w:ilvl="5">
      <w:start w:val="1"/>
      <w:numFmt w:val="lowerRoman"/>
      <w:lvlText w:val="%6."/>
      <w:lvlJc w:val="left"/>
      <w:pPr>
        <w:tabs>
          <w:tab w:val="num" w:pos="720"/>
        </w:tabs>
        <w:ind w:left="720" w:hanging="720"/>
      </w:pPr>
      <w:rPr>
        <w:rFonts w:hint="default"/>
        <w:caps w:val="0"/>
        <w:color w:val="010000"/>
        <w:u w:val="none"/>
      </w:rPr>
    </w:lvl>
    <w:lvl w:ilvl="6">
      <w:start w:val="1"/>
      <w:numFmt w:val="decimal"/>
      <w:lvlText w:val="%7)"/>
      <w:lvlJc w:val="left"/>
      <w:pPr>
        <w:tabs>
          <w:tab w:val="num" w:pos="5040"/>
        </w:tabs>
        <w:ind w:left="5040" w:hanging="720"/>
      </w:pPr>
      <w:rPr>
        <w:rFonts w:hint="default"/>
        <w:caps w:val="0"/>
        <w:color w:val="010000"/>
        <w:u w:val="none"/>
      </w:rPr>
    </w:lvl>
    <w:lvl w:ilvl="7">
      <w:start w:val="1"/>
      <w:numFmt w:val="lowerLetter"/>
      <w:lvlText w:val="%8)"/>
      <w:lvlJc w:val="left"/>
      <w:pPr>
        <w:tabs>
          <w:tab w:val="num" w:pos="5760"/>
        </w:tabs>
        <w:ind w:left="5760" w:hanging="720"/>
      </w:pPr>
      <w:rPr>
        <w:rFonts w:hint="default"/>
        <w:caps w:val="0"/>
        <w:color w:val="010000"/>
        <w:u w:val="none"/>
      </w:rPr>
    </w:lvl>
    <w:lvl w:ilvl="8">
      <w:start w:val="1"/>
      <w:numFmt w:val="lowerRoman"/>
      <w:lvlText w:val="%9)"/>
      <w:lvlJc w:val="left"/>
      <w:pPr>
        <w:tabs>
          <w:tab w:val="num" w:pos="6480"/>
        </w:tabs>
        <w:ind w:left="6480" w:hanging="720"/>
      </w:pPr>
      <w:rPr>
        <w:rFonts w:hint="default"/>
        <w:caps w:val="0"/>
        <w:color w:val="010000"/>
        <w:u w:val="none"/>
      </w:rPr>
    </w:lvl>
  </w:abstractNum>
  <w:abstractNum w:abstractNumId="22">
    <w:nsid w:val="40BD48A1"/>
    <w:multiLevelType w:val="hybridMultilevel"/>
    <w:tmpl w:val="FFCE48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30F5597"/>
    <w:multiLevelType w:val="hybridMultilevel"/>
    <w:tmpl w:val="87263822"/>
    <w:lvl w:ilvl="0" w:tplc="10090001">
      <w:start w:val="1"/>
      <w:numFmt w:val="bullet"/>
      <w:lvlText w:val=""/>
      <w:lvlJc w:val="left"/>
      <w:pPr>
        <w:ind w:left="820" w:hanging="360"/>
      </w:pPr>
      <w:rPr>
        <w:rFonts w:ascii="Symbol" w:hAnsi="Symbol" w:hint="default"/>
      </w:rPr>
    </w:lvl>
    <w:lvl w:ilvl="1" w:tplc="10090003">
      <w:start w:val="1"/>
      <w:numFmt w:val="bullet"/>
      <w:lvlText w:val="o"/>
      <w:lvlJc w:val="left"/>
      <w:pPr>
        <w:ind w:left="1540" w:hanging="360"/>
      </w:pPr>
      <w:rPr>
        <w:rFonts w:ascii="Courier New" w:hAnsi="Courier New" w:cs="Courier New" w:hint="default"/>
      </w:rPr>
    </w:lvl>
    <w:lvl w:ilvl="2" w:tplc="10090005">
      <w:start w:val="1"/>
      <w:numFmt w:val="bullet"/>
      <w:lvlText w:val=""/>
      <w:lvlJc w:val="left"/>
      <w:pPr>
        <w:ind w:left="2260" w:hanging="360"/>
      </w:pPr>
      <w:rPr>
        <w:rFonts w:ascii="Wingdings" w:hAnsi="Wingdings" w:hint="default"/>
      </w:rPr>
    </w:lvl>
    <w:lvl w:ilvl="3" w:tplc="10090001">
      <w:start w:val="1"/>
      <w:numFmt w:val="bullet"/>
      <w:lvlText w:val=""/>
      <w:lvlJc w:val="left"/>
      <w:pPr>
        <w:ind w:left="2980" w:hanging="360"/>
      </w:pPr>
      <w:rPr>
        <w:rFonts w:ascii="Symbol" w:hAnsi="Symbol" w:hint="default"/>
      </w:rPr>
    </w:lvl>
    <w:lvl w:ilvl="4" w:tplc="10090003">
      <w:start w:val="1"/>
      <w:numFmt w:val="bullet"/>
      <w:lvlText w:val="o"/>
      <w:lvlJc w:val="left"/>
      <w:pPr>
        <w:ind w:left="3700" w:hanging="360"/>
      </w:pPr>
      <w:rPr>
        <w:rFonts w:ascii="Courier New" w:hAnsi="Courier New" w:cs="Courier New" w:hint="default"/>
      </w:rPr>
    </w:lvl>
    <w:lvl w:ilvl="5" w:tplc="10090005">
      <w:start w:val="1"/>
      <w:numFmt w:val="bullet"/>
      <w:lvlText w:val=""/>
      <w:lvlJc w:val="left"/>
      <w:pPr>
        <w:ind w:left="4420" w:hanging="360"/>
      </w:pPr>
      <w:rPr>
        <w:rFonts w:ascii="Wingdings" w:hAnsi="Wingdings" w:hint="default"/>
      </w:rPr>
    </w:lvl>
    <w:lvl w:ilvl="6" w:tplc="10090001">
      <w:start w:val="1"/>
      <w:numFmt w:val="bullet"/>
      <w:lvlText w:val=""/>
      <w:lvlJc w:val="left"/>
      <w:pPr>
        <w:ind w:left="5140" w:hanging="360"/>
      </w:pPr>
      <w:rPr>
        <w:rFonts w:ascii="Symbol" w:hAnsi="Symbol" w:hint="default"/>
      </w:rPr>
    </w:lvl>
    <w:lvl w:ilvl="7" w:tplc="10090003">
      <w:start w:val="1"/>
      <w:numFmt w:val="bullet"/>
      <w:lvlText w:val="o"/>
      <w:lvlJc w:val="left"/>
      <w:pPr>
        <w:ind w:left="5860" w:hanging="360"/>
      </w:pPr>
      <w:rPr>
        <w:rFonts w:ascii="Courier New" w:hAnsi="Courier New" w:cs="Courier New" w:hint="default"/>
      </w:rPr>
    </w:lvl>
    <w:lvl w:ilvl="8" w:tplc="10090005">
      <w:start w:val="1"/>
      <w:numFmt w:val="bullet"/>
      <w:lvlText w:val=""/>
      <w:lvlJc w:val="left"/>
      <w:pPr>
        <w:ind w:left="6580" w:hanging="360"/>
      </w:pPr>
      <w:rPr>
        <w:rFonts w:ascii="Wingdings" w:hAnsi="Wingdings" w:hint="default"/>
      </w:rPr>
    </w:lvl>
  </w:abstractNum>
  <w:abstractNum w:abstractNumId="24">
    <w:nsid w:val="481D4DF2"/>
    <w:multiLevelType w:val="hybridMultilevel"/>
    <w:tmpl w:val="EB0CCB88"/>
    <w:lvl w:ilvl="0" w:tplc="B4580690">
      <w:start w:val="1"/>
      <w:numFmt w:val="lowerLetter"/>
      <w:lvlText w:val="%1)"/>
      <w:lvlJc w:val="left"/>
      <w:pPr>
        <w:ind w:left="1080" w:hanging="720"/>
      </w:pPr>
      <w:rPr>
        <w:rFonts w:ascii="Times New Roman" w:eastAsiaTheme="minorHAnsi" w:hAnsi="Times New Roman" w:cstheme="minorBid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nsid w:val="49B4475A"/>
    <w:multiLevelType w:val="hybridMultilevel"/>
    <w:tmpl w:val="1E0E5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88514E"/>
    <w:multiLevelType w:val="hybridMultilevel"/>
    <w:tmpl w:val="DE309CBC"/>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nsid w:val="4DBA1FA1"/>
    <w:multiLevelType w:val="hybridMultilevel"/>
    <w:tmpl w:val="2A7662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58EF0FDF"/>
    <w:multiLevelType w:val="hybridMultilevel"/>
    <w:tmpl w:val="C9D4655A"/>
    <w:lvl w:ilvl="0" w:tplc="991C692A">
      <w:numFmt w:val="bullet"/>
      <w:lvlText w:val="•"/>
      <w:lvlJc w:val="left"/>
      <w:pPr>
        <w:ind w:left="1080" w:hanging="72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5C4D4B55"/>
    <w:multiLevelType w:val="hybridMultilevel"/>
    <w:tmpl w:val="78E8FB4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0">
    <w:nsid w:val="5DE72BDD"/>
    <w:multiLevelType w:val="hybridMultilevel"/>
    <w:tmpl w:val="ED9C0B3C"/>
    <w:lvl w:ilvl="0" w:tplc="991C692A">
      <w:numFmt w:val="bullet"/>
      <w:lvlText w:val="•"/>
      <w:lvlJc w:val="left"/>
      <w:pPr>
        <w:ind w:left="1080" w:hanging="72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5E0369CB"/>
    <w:multiLevelType w:val="hybridMultilevel"/>
    <w:tmpl w:val="9E18B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F8A7DA5"/>
    <w:multiLevelType w:val="hybridMultilevel"/>
    <w:tmpl w:val="E0221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BE54C7"/>
    <w:multiLevelType w:val="hybridMultilevel"/>
    <w:tmpl w:val="1AA2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7D3966"/>
    <w:multiLevelType w:val="hybridMultilevel"/>
    <w:tmpl w:val="8116A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30F745A"/>
    <w:multiLevelType w:val="hybridMultilevel"/>
    <w:tmpl w:val="C30AC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3EA5CA3"/>
    <w:multiLevelType w:val="hybridMultilevel"/>
    <w:tmpl w:val="61102420"/>
    <w:lvl w:ilvl="0" w:tplc="991C692A">
      <w:numFmt w:val="bullet"/>
      <w:lvlText w:val="•"/>
      <w:lvlJc w:val="left"/>
      <w:pPr>
        <w:ind w:left="1080" w:hanging="72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644A3A6F"/>
    <w:multiLevelType w:val="hybridMultilevel"/>
    <w:tmpl w:val="F0081826"/>
    <w:lvl w:ilvl="0" w:tplc="991C692A">
      <w:numFmt w:val="bullet"/>
      <w:lvlText w:val="•"/>
      <w:lvlJc w:val="left"/>
      <w:pPr>
        <w:ind w:left="1080" w:hanging="72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648461DF"/>
    <w:multiLevelType w:val="hybridMultilevel"/>
    <w:tmpl w:val="F42A8A3A"/>
    <w:lvl w:ilvl="0" w:tplc="10090001">
      <w:start w:val="1"/>
      <w:numFmt w:val="bullet"/>
      <w:lvlText w:val=""/>
      <w:lvlJc w:val="left"/>
      <w:pPr>
        <w:ind w:left="820" w:hanging="360"/>
      </w:pPr>
      <w:rPr>
        <w:rFonts w:ascii="Symbol" w:hAnsi="Symbol" w:hint="default"/>
      </w:rPr>
    </w:lvl>
    <w:lvl w:ilvl="1" w:tplc="10090003" w:tentative="1">
      <w:start w:val="1"/>
      <w:numFmt w:val="bullet"/>
      <w:lvlText w:val="o"/>
      <w:lvlJc w:val="left"/>
      <w:pPr>
        <w:ind w:left="1540" w:hanging="360"/>
      </w:pPr>
      <w:rPr>
        <w:rFonts w:ascii="Courier New" w:hAnsi="Courier New" w:hint="default"/>
      </w:rPr>
    </w:lvl>
    <w:lvl w:ilvl="2" w:tplc="10090005" w:tentative="1">
      <w:start w:val="1"/>
      <w:numFmt w:val="bullet"/>
      <w:lvlText w:val=""/>
      <w:lvlJc w:val="left"/>
      <w:pPr>
        <w:ind w:left="2260" w:hanging="360"/>
      </w:pPr>
      <w:rPr>
        <w:rFonts w:ascii="Wingdings" w:hAnsi="Wingdings" w:hint="default"/>
      </w:rPr>
    </w:lvl>
    <w:lvl w:ilvl="3" w:tplc="10090001" w:tentative="1">
      <w:start w:val="1"/>
      <w:numFmt w:val="bullet"/>
      <w:lvlText w:val=""/>
      <w:lvlJc w:val="left"/>
      <w:pPr>
        <w:ind w:left="2980" w:hanging="360"/>
      </w:pPr>
      <w:rPr>
        <w:rFonts w:ascii="Symbol" w:hAnsi="Symbol" w:hint="default"/>
      </w:rPr>
    </w:lvl>
    <w:lvl w:ilvl="4" w:tplc="10090003" w:tentative="1">
      <w:start w:val="1"/>
      <w:numFmt w:val="bullet"/>
      <w:lvlText w:val="o"/>
      <w:lvlJc w:val="left"/>
      <w:pPr>
        <w:ind w:left="3700" w:hanging="360"/>
      </w:pPr>
      <w:rPr>
        <w:rFonts w:ascii="Courier New" w:hAnsi="Courier New" w:hint="default"/>
      </w:rPr>
    </w:lvl>
    <w:lvl w:ilvl="5" w:tplc="10090005" w:tentative="1">
      <w:start w:val="1"/>
      <w:numFmt w:val="bullet"/>
      <w:lvlText w:val=""/>
      <w:lvlJc w:val="left"/>
      <w:pPr>
        <w:ind w:left="4420" w:hanging="360"/>
      </w:pPr>
      <w:rPr>
        <w:rFonts w:ascii="Wingdings" w:hAnsi="Wingdings" w:hint="default"/>
      </w:rPr>
    </w:lvl>
    <w:lvl w:ilvl="6" w:tplc="10090001" w:tentative="1">
      <w:start w:val="1"/>
      <w:numFmt w:val="bullet"/>
      <w:lvlText w:val=""/>
      <w:lvlJc w:val="left"/>
      <w:pPr>
        <w:ind w:left="5140" w:hanging="360"/>
      </w:pPr>
      <w:rPr>
        <w:rFonts w:ascii="Symbol" w:hAnsi="Symbol" w:hint="default"/>
      </w:rPr>
    </w:lvl>
    <w:lvl w:ilvl="7" w:tplc="10090003" w:tentative="1">
      <w:start w:val="1"/>
      <w:numFmt w:val="bullet"/>
      <w:lvlText w:val="o"/>
      <w:lvlJc w:val="left"/>
      <w:pPr>
        <w:ind w:left="5860" w:hanging="360"/>
      </w:pPr>
      <w:rPr>
        <w:rFonts w:ascii="Courier New" w:hAnsi="Courier New" w:hint="default"/>
      </w:rPr>
    </w:lvl>
    <w:lvl w:ilvl="8" w:tplc="10090005" w:tentative="1">
      <w:start w:val="1"/>
      <w:numFmt w:val="bullet"/>
      <w:lvlText w:val=""/>
      <w:lvlJc w:val="left"/>
      <w:pPr>
        <w:ind w:left="6580" w:hanging="360"/>
      </w:pPr>
      <w:rPr>
        <w:rFonts w:ascii="Wingdings" w:hAnsi="Wingdings" w:hint="default"/>
      </w:rPr>
    </w:lvl>
  </w:abstractNum>
  <w:abstractNum w:abstractNumId="39">
    <w:nsid w:val="66826151"/>
    <w:multiLevelType w:val="hybridMultilevel"/>
    <w:tmpl w:val="FA122168"/>
    <w:lvl w:ilvl="0" w:tplc="991C692A">
      <w:numFmt w:val="bullet"/>
      <w:lvlText w:val="•"/>
      <w:lvlJc w:val="left"/>
      <w:pPr>
        <w:ind w:left="1080" w:hanging="72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6BBD134C"/>
    <w:multiLevelType w:val="hybridMultilevel"/>
    <w:tmpl w:val="E5B4D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D1A4254"/>
    <w:multiLevelType w:val="hybridMultilevel"/>
    <w:tmpl w:val="81A28B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nsid w:val="6D256177"/>
    <w:multiLevelType w:val="hybridMultilevel"/>
    <w:tmpl w:val="D3F26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E6D1A35"/>
    <w:multiLevelType w:val="multilevel"/>
    <w:tmpl w:val="BB4863B4"/>
    <w:lvl w:ilvl="0">
      <w:start w:val="1"/>
      <w:numFmt w:val="none"/>
      <w:suff w:val="nothing"/>
      <w:lvlText w:val=""/>
      <w:lvlJc w:val="left"/>
      <w:pPr>
        <w:ind w:left="0" w:firstLine="0"/>
      </w:pPr>
      <w:rPr>
        <w:rFonts w:ascii="Times New Roman" w:hAnsi="Times New Roman" w:hint="default"/>
        <w:b w:val="0"/>
        <w:i w:val="0"/>
        <w:caps w:val="0"/>
        <w:color w:val="010000"/>
        <w:u w:val="none"/>
      </w:rPr>
    </w:lvl>
    <w:lvl w:ilvl="1">
      <w:start w:val="1"/>
      <w:numFmt w:val="lowerLetter"/>
      <w:lvlText w:val="%2)"/>
      <w:lvlJc w:val="left"/>
      <w:pPr>
        <w:tabs>
          <w:tab w:val="num" w:pos="720"/>
        </w:tabs>
        <w:ind w:left="0" w:firstLine="0"/>
      </w:pPr>
      <w:rPr>
        <w:rFonts w:hint="default"/>
        <w:b w:val="0"/>
        <w:i w:val="0"/>
        <w:caps w:val="0"/>
        <w:color w:val="010000"/>
        <w:u w:val="none"/>
      </w:rPr>
    </w:lvl>
    <w:lvl w:ilvl="2">
      <w:start w:val="1"/>
      <w:numFmt w:val="bullet"/>
      <w:lvlText w:val=""/>
      <w:lvlJc w:val="left"/>
      <w:pPr>
        <w:tabs>
          <w:tab w:val="num" w:pos="1440"/>
        </w:tabs>
        <w:ind w:left="1440" w:hanging="720"/>
      </w:pPr>
      <w:rPr>
        <w:rFonts w:ascii="Wingdings 2" w:hAnsi="Wingdings 2" w:hint="default"/>
        <w:caps w:val="0"/>
        <w:color w:val="010000"/>
        <w:u w:val="none"/>
      </w:rPr>
    </w:lvl>
    <w:lvl w:ilvl="3">
      <w:start w:val="1"/>
      <w:numFmt w:val="decimal"/>
      <w:lvlText w:val="%4."/>
      <w:lvlJc w:val="left"/>
      <w:pPr>
        <w:tabs>
          <w:tab w:val="num" w:pos="720"/>
        </w:tabs>
        <w:ind w:left="720" w:hanging="360"/>
      </w:pPr>
      <w:rPr>
        <w:rFonts w:hint="default"/>
        <w:caps w:val="0"/>
        <w:color w:val="010000"/>
        <w:u w:val="none"/>
      </w:rPr>
    </w:lvl>
    <w:lvl w:ilvl="4">
      <w:start w:val="1"/>
      <w:numFmt w:val="bullet"/>
      <w:lvlText w:val=""/>
      <w:lvlJc w:val="left"/>
      <w:pPr>
        <w:tabs>
          <w:tab w:val="num" w:pos="3600"/>
        </w:tabs>
        <w:ind w:left="3600" w:hanging="720"/>
      </w:pPr>
      <w:rPr>
        <w:rFonts w:ascii="Symbol" w:hAnsi="Symbol" w:hint="default"/>
        <w:caps w:val="0"/>
        <w:color w:val="010000"/>
        <w:u w:val="none"/>
      </w:rPr>
    </w:lvl>
    <w:lvl w:ilvl="5">
      <w:start w:val="1"/>
      <w:numFmt w:val="lowerRoman"/>
      <w:lvlText w:val="%6."/>
      <w:lvlJc w:val="left"/>
      <w:pPr>
        <w:tabs>
          <w:tab w:val="num" w:pos="720"/>
        </w:tabs>
        <w:ind w:left="720" w:hanging="720"/>
      </w:pPr>
      <w:rPr>
        <w:rFonts w:hint="default"/>
        <w:caps w:val="0"/>
        <w:color w:val="010000"/>
        <w:u w:val="none"/>
      </w:rPr>
    </w:lvl>
    <w:lvl w:ilvl="6">
      <w:start w:val="1"/>
      <w:numFmt w:val="decimal"/>
      <w:lvlText w:val="%7)"/>
      <w:lvlJc w:val="left"/>
      <w:pPr>
        <w:tabs>
          <w:tab w:val="num" w:pos="5040"/>
        </w:tabs>
        <w:ind w:left="5040" w:hanging="720"/>
      </w:pPr>
      <w:rPr>
        <w:rFonts w:hint="default"/>
        <w:caps w:val="0"/>
        <w:color w:val="010000"/>
        <w:u w:val="none"/>
      </w:rPr>
    </w:lvl>
    <w:lvl w:ilvl="7">
      <w:start w:val="1"/>
      <w:numFmt w:val="lowerLetter"/>
      <w:lvlText w:val="%8)"/>
      <w:lvlJc w:val="left"/>
      <w:pPr>
        <w:tabs>
          <w:tab w:val="num" w:pos="5760"/>
        </w:tabs>
        <w:ind w:left="5760" w:hanging="720"/>
      </w:pPr>
      <w:rPr>
        <w:rFonts w:hint="default"/>
        <w:caps w:val="0"/>
        <w:color w:val="010000"/>
        <w:u w:val="none"/>
      </w:rPr>
    </w:lvl>
    <w:lvl w:ilvl="8">
      <w:start w:val="1"/>
      <w:numFmt w:val="lowerRoman"/>
      <w:lvlText w:val="%9)"/>
      <w:lvlJc w:val="left"/>
      <w:pPr>
        <w:tabs>
          <w:tab w:val="num" w:pos="6480"/>
        </w:tabs>
        <w:ind w:left="6480" w:hanging="720"/>
      </w:pPr>
      <w:rPr>
        <w:rFonts w:hint="default"/>
        <w:caps w:val="0"/>
        <w:color w:val="010000"/>
        <w:u w:val="none"/>
      </w:rPr>
    </w:lvl>
  </w:abstractNum>
  <w:abstractNum w:abstractNumId="44">
    <w:nsid w:val="6F641FBD"/>
    <w:multiLevelType w:val="hybridMultilevel"/>
    <w:tmpl w:val="BFD269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nsid w:val="707E5E64"/>
    <w:multiLevelType w:val="multilevel"/>
    <w:tmpl w:val="DA322FB8"/>
    <w:lvl w:ilvl="0">
      <w:start w:val="1"/>
      <w:numFmt w:val="none"/>
      <w:suff w:val="nothing"/>
      <w:lvlText w:val=""/>
      <w:lvlJc w:val="left"/>
      <w:pPr>
        <w:ind w:left="720" w:hanging="720"/>
      </w:pPr>
      <w:rPr>
        <w:rFonts w:hint="default"/>
        <w:b/>
        <w:i w:val="0"/>
        <w:caps w:val="0"/>
        <w:color w:val="010000"/>
        <w:u w:val="single"/>
      </w:rPr>
    </w:lvl>
    <w:lvl w:ilvl="1">
      <w:numFmt w:val="bullet"/>
      <w:lvlText w:val="•"/>
      <w:lvlJc w:val="left"/>
      <w:pPr>
        <w:ind w:left="0" w:firstLine="0"/>
      </w:pPr>
      <w:rPr>
        <w:rFonts w:ascii="Times New Roman" w:eastAsiaTheme="minorHAnsi" w:hAnsi="Times New Roman" w:cs="Times New Roman" w:hint="default"/>
        <w:b w:val="0"/>
        <w:i w:val="0"/>
        <w:caps w:val="0"/>
        <w:color w:val="010000"/>
        <w:u w:val="none"/>
      </w:rPr>
    </w:lvl>
    <w:lvl w:ilvl="2">
      <w:start w:val="1"/>
      <w:numFmt w:val="bullet"/>
      <w:lvlText w:val=""/>
      <w:lvlJc w:val="left"/>
      <w:pPr>
        <w:tabs>
          <w:tab w:val="num" w:pos="720"/>
        </w:tabs>
        <w:ind w:left="1440" w:hanging="720"/>
      </w:pPr>
      <w:rPr>
        <w:rFonts w:ascii="Symbol" w:hAnsi="Symbol" w:hint="default"/>
        <w:caps w:val="0"/>
        <w:color w:val="010000"/>
        <w:u w:val="none"/>
      </w:rPr>
    </w:lvl>
    <w:lvl w:ilvl="3">
      <w:start w:val="1"/>
      <w:numFmt w:val="decimal"/>
      <w:lvlText w:val="%4."/>
      <w:lvlJc w:val="left"/>
      <w:pPr>
        <w:tabs>
          <w:tab w:val="num" w:pos="720"/>
        </w:tabs>
        <w:ind w:left="1440" w:hanging="1080"/>
      </w:pPr>
      <w:rPr>
        <w:rFonts w:hint="default"/>
        <w:caps w:val="0"/>
        <w:color w:val="010000"/>
        <w:u w:val="none"/>
      </w:rPr>
    </w:lvl>
    <w:lvl w:ilvl="4">
      <w:start w:val="1"/>
      <w:numFmt w:val="bullet"/>
      <w:lvlText w:val="-"/>
      <w:lvlJc w:val="left"/>
      <w:pPr>
        <w:tabs>
          <w:tab w:val="num" w:pos="720"/>
        </w:tabs>
        <w:ind w:left="1440" w:hanging="720"/>
      </w:pPr>
      <w:rPr>
        <w:rFonts w:ascii="Symbol" w:hAnsi="Symbol" w:hint="default"/>
        <w:caps w:val="0"/>
        <w:color w:val="auto"/>
        <w:u w:val="none"/>
      </w:rPr>
    </w:lvl>
    <w:lvl w:ilvl="5">
      <w:start w:val="1"/>
      <w:numFmt w:val="lowerRoman"/>
      <w:lvlText w:val="%6."/>
      <w:lvlJc w:val="left"/>
      <w:pPr>
        <w:tabs>
          <w:tab w:val="num" w:pos="720"/>
        </w:tabs>
        <w:ind w:left="720" w:hanging="720"/>
      </w:pPr>
      <w:rPr>
        <w:rFonts w:hint="default"/>
        <w:caps w:val="0"/>
        <w:color w:val="010000"/>
        <w:u w:val="none"/>
      </w:rPr>
    </w:lvl>
    <w:lvl w:ilvl="6">
      <w:start w:val="1"/>
      <w:numFmt w:val="decimal"/>
      <w:lvlText w:val="%7)"/>
      <w:lvlJc w:val="left"/>
      <w:pPr>
        <w:tabs>
          <w:tab w:val="num" w:pos="5040"/>
        </w:tabs>
        <w:ind w:left="5040" w:hanging="720"/>
      </w:pPr>
      <w:rPr>
        <w:rFonts w:hint="default"/>
        <w:caps w:val="0"/>
        <w:color w:val="010000"/>
        <w:u w:val="none"/>
      </w:rPr>
    </w:lvl>
    <w:lvl w:ilvl="7">
      <w:start w:val="1"/>
      <w:numFmt w:val="lowerLetter"/>
      <w:lvlText w:val="%8)"/>
      <w:lvlJc w:val="left"/>
      <w:pPr>
        <w:tabs>
          <w:tab w:val="num" w:pos="5760"/>
        </w:tabs>
        <w:ind w:left="5760" w:hanging="720"/>
      </w:pPr>
      <w:rPr>
        <w:rFonts w:hint="default"/>
        <w:caps w:val="0"/>
        <w:color w:val="010000"/>
        <w:u w:val="none"/>
      </w:rPr>
    </w:lvl>
    <w:lvl w:ilvl="8">
      <w:start w:val="1"/>
      <w:numFmt w:val="lowerRoman"/>
      <w:lvlText w:val="%9)"/>
      <w:lvlJc w:val="left"/>
      <w:pPr>
        <w:tabs>
          <w:tab w:val="num" w:pos="6480"/>
        </w:tabs>
        <w:ind w:left="6480" w:hanging="720"/>
      </w:pPr>
      <w:rPr>
        <w:rFonts w:hint="default"/>
        <w:caps w:val="0"/>
        <w:color w:val="010000"/>
        <w:u w:val="none"/>
      </w:rPr>
    </w:lvl>
  </w:abstractNum>
  <w:abstractNum w:abstractNumId="46">
    <w:nsid w:val="7B0F3B0B"/>
    <w:multiLevelType w:val="hybridMultilevel"/>
    <w:tmpl w:val="BBF2B5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6"/>
  </w:num>
  <w:num w:numId="2">
    <w:abstractNumId w:val="43"/>
  </w:num>
  <w:num w:numId="3">
    <w:abstractNumId w:val="43"/>
    <w:lvlOverride w:ilvl="0">
      <w:startOverride w:val="149"/>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28"/>
  </w:num>
  <w:num w:numId="6">
    <w:abstractNumId w:val="19"/>
  </w:num>
  <w:num w:numId="7">
    <w:abstractNumId w:val="37"/>
  </w:num>
  <w:num w:numId="8">
    <w:abstractNumId w:val="36"/>
  </w:num>
  <w:num w:numId="9">
    <w:abstractNumId w:val="30"/>
  </w:num>
  <w:num w:numId="10">
    <w:abstractNumId w:val="21"/>
  </w:num>
  <w:num w:numId="11">
    <w:abstractNumId w:val="45"/>
  </w:num>
  <w:num w:numId="12">
    <w:abstractNumId w:val="13"/>
  </w:num>
  <w:num w:numId="13">
    <w:abstractNumId w:val="39"/>
  </w:num>
  <w:num w:numId="14">
    <w:abstractNumId w:val="18"/>
  </w:num>
  <w:num w:numId="15">
    <w:abstractNumId w:val="7"/>
  </w:num>
  <w:num w:numId="16">
    <w:abstractNumId w:val="17"/>
  </w:num>
  <w:num w:numId="17">
    <w:abstractNumId w:val="26"/>
  </w:num>
  <w:num w:numId="18">
    <w:abstractNumId w:val="16"/>
    <w:lvlOverride w:ilvl="0">
      <w:startOverride w:val="1"/>
    </w:lvlOverride>
    <w:lvlOverride w:ilvl="1">
      <w:startOverride w:val="6"/>
    </w:lvlOverride>
  </w:num>
  <w:num w:numId="19">
    <w:abstractNumId w:val="38"/>
  </w:num>
  <w:num w:numId="20">
    <w:abstractNumId w:val="24"/>
  </w:num>
  <w:num w:numId="21">
    <w:abstractNumId w:val="20"/>
  </w:num>
  <w:num w:numId="22">
    <w:abstractNumId w:val="46"/>
  </w:num>
  <w:num w:numId="23">
    <w:abstractNumId w:val="5"/>
  </w:num>
  <w:num w:numId="24">
    <w:abstractNumId w:val="22"/>
  </w:num>
  <w:num w:numId="25">
    <w:abstractNumId w:val="1"/>
  </w:num>
  <w:num w:numId="26">
    <w:abstractNumId w:val="27"/>
  </w:num>
  <w:num w:numId="27">
    <w:abstractNumId w:val="15"/>
  </w:num>
  <w:num w:numId="28">
    <w:abstractNumId w:val="40"/>
  </w:num>
  <w:num w:numId="29">
    <w:abstractNumId w:val="31"/>
  </w:num>
  <w:num w:numId="30">
    <w:abstractNumId w:val="8"/>
  </w:num>
  <w:num w:numId="31">
    <w:abstractNumId w:val="14"/>
  </w:num>
  <w:num w:numId="32">
    <w:abstractNumId w:val="42"/>
  </w:num>
  <w:num w:numId="33">
    <w:abstractNumId w:val="34"/>
  </w:num>
  <w:num w:numId="34">
    <w:abstractNumId w:val="0"/>
  </w:num>
  <w:num w:numId="35">
    <w:abstractNumId w:val="35"/>
  </w:num>
  <w:num w:numId="36">
    <w:abstractNumId w:val="12"/>
  </w:num>
  <w:num w:numId="37">
    <w:abstractNumId w:val="44"/>
  </w:num>
  <w:num w:numId="38">
    <w:abstractNumId w:val="2"/>
  </w:num>
  <w:num w:numId="39">
    <w:abstractNumId w:val="33"/>
  </w:num>
  <w:num w:numId="40">
    <w:abstractNumId w:val="41"/>
  </w:num>
  <w:num w:numId="41">
    <w:abstractNumId w:val="4"/>
  </w:num>
  <w:num w:numId="42">
    <w:abstractNumId w:val="11"/>
  </w:num>
  <w:num w:numId="43">
    <w:abstractNumId w:val="23"/>
  </w:num>
  <w:num w:numId="44">
    <w:abstractNumId w:val="32"/>
  </w:num>
  <w:num w:numId="45">
    <w:abstractNumId w:val="25"/>
  </w:num>
  <w:num w:numId="46">
    <w:abstractNumId w:val="9"/>
  </w:num>
  <w:num w:numId="47">
    <w:abstractNumId w:val="10"/>
  </w:num>
  <w:num w:numId="48">
    <w:abstractNumId w:val="29"/>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4B4"/>
    <w:rsid w:val="00001127"/>
    <w:rsid w:val="000073CA"/>
    <w:rsid w:val="0001380E"/>
    <w:rsid w:val="0003182E"/>
    <w:rsid w:val="00033323"/>
    <w:rsid w:val="000505E7"/>
    <w:rsid w:val="00056A1C"/>
    <w:rsid w:val="00061576"/>
    <w:rsid w:val="00071E18"/>
    <w:rsid w:val="000766A1"/>
    <w:rsid w:val="00080057"/>
    <w:rsid w:val="000824BB"/>
    <w:rsid w:val="00097848"/>
    <w:rsid w:val="000B0648"/>
    <w:rsid w:val="000C1EC3"/>
    <w:rsid w:val="000C3226"/>
    <w:rsid w:val="000C3359"/>
    <w:rsid w:val="000C5461"/>
    <w:rsid w:val="000D007F"/>
    <w:rsid w:val="000D17FA"/>
    <w:rsid w:val="000E5002"/>
    <w:rsid w:val="00110B91"/>
    <w:rsid w:val="00122D96"/>
    <w:rsid w:val="001246B9"/>
    <w:rsid w:val="001303A2"/>
    <w:rsid w:val="0013773C"/>
    <w:rsid w:val="001417E9"/>
    <w:rsid w:val="00161364"/>
    <w:rsid w:val="0016732C"/>
    <w:rsid w:val="0017004E"/>
    <w:rsid w:val="00174499"/>
    <w:rsid w:val="00176830"/>
    <w:rsid w:val="00176C3C"/>
    <w:rsid w:val="00182DE2"/>
    <w:rsid w:val="00192936"/>
    <w:rsid w:val="00195302"/>
    <w:rsid w:val="001A2B84"/>
    <w:rsid w:val="001A4CE8"/>
    <w:rsid w:val="001B30DA"/>
    <w:rsid w:val="001B6451"/>
    <w:rsid w:val="001C164E"/>
    <w:rsid w:val="001F1321"/>
    <w:rsid w:val="001F3E2B"/>
    <w:rsid w:val="0020621E"/>
    <w:rsid w:val="00211FC2"/>
    <w:rsid w:val="002146D9"/>
    <w:rsid w:val="00234F67"/>
    <w:rsid w:val="00251BDC"/>
    <w:rsid w:val="0029727E"/>
    <w:rsid w:val="00297C0C"/>
    <w:rsid w:val="002A01BE"/>
    <w:rsid w:val="002A5205"/>
    <w:rsid w:val="002C0ED8"/>
    <w:rsid w:val="002C42BB"/>
    <w:rsid w:val="002D2ECE"/>
    <w:rsid w:val="002E3F2E"/>
    <w:rsid w:val="002E4B54"/>
    <w:rsid w:val="002E6453"/>
    <w:rsid w:val="002F467D"/>
    <w:rsid w:val="002F4AE1"/>
    <w:rsid w:val="003042EA"/>
    <w:rsid w:val="003059F2"/>
    <w:rsid w:val="00307B1A"/>
    <w:rsid w:val="0032088C"/>
    <w:rsid w:val="003223D4"/>
    <w:rsid w:val="0033006F"/>
    <w:rsid w:val="00333238"/>
    <w:rsid w:val="00350228"/>
    <w:rsid w:val="00351A0B"/>
    <w:rsid w:val="00356E17"/>
    <w:rsid w:val="00357F98"/>
    <w:rsid w:val="003730A7"/>
    <w:rsid w:val="003A4324"/>
    <w:rsid w:val="003A5F2B"/>
    <w:rsid w:val="003C76B6"/>
    <w:rsid w:val="003D0074"/>
    <w:rsid w:val="003D6C3B"/>
    <w:rsid w:val="003F7BD1"/>
    <w:rsid w:val="00404E57"/>
    <w:rsid w:val="0040717E"/>
    <w:rsid w:val="00407FC4"/>
    <w:rsid w:val="00412E18"/>
    <w:rsid w:val="00421DEB"/>
    <w:rsid w:val="0042206C"/>
    <w:rsid w:val="00435E6B"/>
    <w:rsid w:val="00445E03"/>
    <w:rsid w:val="00451076"/>
    <w:rsid w:val="00452EEA"/>
    <w:rsid w:val="00453092"/>
    <w:rsid w:val="00464CE8"/>
    <w:rsid w:val="0047098D"/>
    <w:rsid w:val="00475581"/>
    <w:rsid w:val="00484934"/>
    <w:rsid w:val="0049288C"/>
    <w:rsid w:val="004B393A"/>
    <w:rsid w:val="004B50FA"/>
    <w:rsid w:val="004C0BFD"/>
    <w:rsid w:val="004C25DE"/>
    <w:rsid w:val="004C307C"/>
    <w:rsid w:val="004D3D25"/>
    <w:rsid w:val="004D6DC7"/>
    <w:rsid w:val="004E3128"/>
    <w:rsid w:val="004F32A6"/>
    <w:rsid w:val="004F6969"/>
    <w:rsid w:val="0051466A"/>
    <w:rsid w:val="0052049A"/>
    <w:rsid w:val="00534016"/>
    <w:rsid w:val="00534749"/>
    <w:rsid w:val="00536F38"/>
    <w:rsid w:val="00553D93"/>
    <w:rsid w:val="005562F6"/>
    <w:rsid w:val="0056006F"/>
    <w:rsid w:val="005601E6"/>
    <w:rsid w:val="0056445E"/>
    <w:rsid w:val="00574F8E"/>
    <w:rsid w:val="00585A66"/>
    <w:rsid w:val="005948D1"/>
    <w:rsid w:val="00597CFE"/>
    <w:rsid w:val="005B2E21"/>
    <w:rsid w:val="005B5E93"/>
    <w:rsid w:val="005C1AD8"/>
    <w:rsid w:val="005C3224"/>
    <w:rsid w:val="005C6E58"/>
    <w:rsid w:val="005D1769"/>
    <w:rsid w:val="005D37F5"/>
    <w:rsid w:val="005F03CA"/>
    <w:rsid w:val="005F34D0"/>
    <w:rsid w:val="006052A9"/>
    <w:rsid w:val="00612D23"/>
    <w:rsid w:val="00630A9A"/>
    <w:rsid w:val="0063115D"/>
    <w:rsid w:val="0065295E"/>
    <w:rsid w:val="0066175F"/>
    <w:rsid w:val="006669FA"/>
    <w:rsid w:val="00666B2D"/>
    <w:rsid w:val="006675CC"/>
    <w:rsid w:val="00682BA7"/>
    <w:rsid w:val="006B245C"/>
    <w:rsid w:val="006C7544"/>
    <w:rsid w:val="006C7CDD"/>
    <w:rsid w:val="006D56BB"/>
    <w:rsid w:val="006D6A65"/>
    <w:rsid w:val="006F0F67"/>
    <w:rsid w:val="00717828"/>
    <w:rsid w:val="0072373F"/>
    <w:rsid w:val="0072630C"/>
    <w:rsid w:val="00726784"/>
    <w:rsid w:val="007273E3"/>
    <w:rsid w:val="00731B27"/>
    <w:rsid w:val="007340EF"/>
    <w:rsid w:val="007350F8"/>
    <w:rsid w:val="00742744"/>
    <w:rsid w:val="00744C8D"/>
    <w:rsid w:val="00745FAF"/>
    <w:rsid w:val="007473AB"/>
    <w:rsid w:val="007578A5"/>
    <w:rsid w:val="00762034"/>
    <w:rsid w:val="0076477B"/>
    <w:rsid w:val="00795E65"/>
    <w:rsid w:val="007A4D1B"/>
    <w:rsid w:val="007B2AFB"/>
    <w:rsid w:val="007B33C5"/>
    <w:rsid w:val="007B396A"/>
    <w:rsid w:val="007B53C8"/>
    <w:rsid w:val="007C3A03"/>
    <w:rsid w:val="007D1AE4"/>
    <w:rsid w:val="007D606A"/>
    <w:rsid w:val="007E611D"/>
    <w:rsid w:val="007F64F6"/>
    <w:rsid w:val="008034B4"/>
    <w:rsid w:val="00807811"/>
    <w:rsid w:val="008178F2"/>
    <w:rsid w:val="00826F1B"/>
    <w:rsid w:val="00834E68"/>
    <w:rsid w:val="00863C50"/>
    <w:rsid w:val="00866328"/>
    <w:rsid w:val="008879F2"/>
    <w:rsid w:val="008A2A69"/>
    <w:rsid w:val="008B174F"/>
    <w:rsid w:val="008B1F92"/>
    <w:rsid w:val="008C742A"/>
    <w:rsid w:val="008D2C44"/>
    <w:rsid w:val="008D452F"/>
    <w:rsid w:val="008D4DA4"/>
    <w:rsid w:val="008F0638"/>
    <w:rsid w:val="008F26D9"/>
    <w:rsid w:val="008F7315"/>
    <w:rsid w:val="00910853"/>
    <w:rsid w:val="009153AD"/>
    <w:rsid w:val="0092252E"/>
    <w:rsid w:val="00926402"/>
    <w:rsid w:val="0092720E"/>
    <w:rsid w:val="00943C33"/>
    <w:rsid w:val="00955C5D"/>
    <w:rsid w:val="009571EA"/>
    <w:rsid w:val="00966AA8"/>
    <w:rsid w:val="0097002D"/>
    <w:rsid w:val="00994EA6"/>
    <w:rsid w:val="00996678"/>
    <w:rsid w:val="009B4A9C"/>
    <w:rsid w:val="009B6A3E"/>
    <w:rsid w:val="009C3A8B"/>
    <w:rsid w:val="009D0983"/>
    <w:rsid w:val="009D75A5"/>
    <w:rsid w:val="009E1493"/>
    <w:rsid w:val="00A004C2"/>
    <w:rsid w:val="00A01310"/>
    <w:rsid w:val="00A04860"/>
    <w:rsid w:val="00A04B19"/>
    <w:rsid w:val="00A05C91"/>
    <w:rsid w:val="00A271E4"/>
    <w:rsid w:val="00A321D6"/>
    <w:rsid w:val="00A34441"/>
    <w:rsid w:val="00A46A5C"/>
    <w:rsid w:val="00A52440"/>
    <w:rsid w:val="00A54AFD"/>
    <w:rsid w:val="00A652DE"/>
    <w:rsid w:val="00A71639"/>
    <w:rsid w:val="00A80D0C"/>
    <w:rsid w:val="00A80FC4"/>
    <w:rsid w:val="00A9030C"/>
    <w:rsid w:val="00A972F2"/>
    <w:rsid w:val="00AA717E"/>
    <w:rsid w:val="00AA766C"/>
    <w:rsid w:val="00AB598A"/>
    <w:rsid w:val="00AC36C8"/>
    <w:rsid w:val="00AC5BA9"/>
    <w:rsid w:val="00AE0482"/>
    <w:rsid w:val="00AF073F"/>
    <w:rsid w:val="00B126C2"/>
    <w:rsid w:val="00B23716"/>
    <w:rsid w:val="00B252B4"/>
    <w:rsid w:val="00B361E3"/>
    <w:rsid w:val="00B4559F"/>
    <w:rsid w:val="00B64457"/>
    <w:rsid w:val="00B651D5"/>
    <w:rsid w:val="00B71488"/>
    <w:rsid w:val="00B77C06"/>
    <w:rsid w:val="00B82173"/>
    <w:rsid w:val="00B95A75"/>
    <w:rsid w:val="00BA7CDF"/>
    <w:rsid w:val="00BB6418"/>
    <w:rsid w:val="00BD56F2"/>
    <w:rsid w:val="00BE0F0C"/>
    <w:rsid w:val="00BE1225"/>
    <w:rsid w:val="00BE2241"/>
    <w:rsid w:val="00BE2BC6"/>
    <w:rsid w:val="00BE5025"/>
    <w:rsid w:val="00BE5F82"/>
    <w:rsid w:val="00BE6FFE"/>
    <w:rsid w:val="00BE72D6"/>
    <w:rsid w:val="00C1765E"/>
    <w:rsid w:val="00C17C34"/>
    <w:rsid w:val="00C27F02"/>
    <w:rsid w:val="00C317E5"/>
    <w:rsid w:val="00C443B3"/>
    <w:rsid w:val="00C55C77"/>
    <w:rsid w:val="00C611FE"/>
    <w:rsid w:val="00C65A96"/>
    <w:rsid w:val="00C802E2"/>
    <w:rsid w:val="00C856FF"/>
    <w:rsid w:val="00C86A09"/>
    <w:rsid w:val="00C86A38"/>
    <w:rsid w:val="00C97C10"/>
    <w:rsid w:val="00CA04AE"/>
    <w:rsid w:val="00CA1B6E"/>
    <w:rsid w:val="00CA683E"/>
    <w:rsid w:val="00CA7CCA"/>
    <w:rsid w:val="00CB2E3D"/>
    <w:rsid w:val="00CC2DDC"/>
    <w:rsid w:val="00CC6453"/>
    <w:rsid w:val="00CD13EA"/>
    <w:rsid w:val="00CD3408"/>
    <w:rsid w:val="00CE1C3D"/>
    <w:rsid w:val="00D05E0E"/>
    <w:rsid w:val="00D157C8"/>
    <w:rsid w:val="00D3253D"/>
    <w:rsid w:val="00D36503"/>
    <w:rsid w:val="00D36543"/>
    <w:rsid w:val="00D36E77"/>
    <w:rsid w:val="00D4079B"/>
    <w:rsid w:val="00D4254B"/>
    <w:rsid w:val="00D51F28"/>
    <w:rsid w:val="00D52ED6"/>
    <w:rsid w:val="00D6592D"/>
    <w:rsid w:val="00D72B70"/>
    <w:rsid w:val="00D7704C"/>
    <w:rsid w:val="00D82859"/>
    <w:rsid w:val="00D87100"/>
    <w:rsid w:val="00D90D8A"/>
    <w:rsid w:val="00DA12E7"/>
    <w:rsid w:val="00DB1D92"/>
    <w:rsid w:val="00DB5202"/>
    <w:rsid w:val="00DB734A"/>
    <w:rsid w:val="00DC0610"/>
    <w:rsid w:val="00DD0367"/>
    <w:rsid w:val="00DD1AAB"/>
    <w:rsid w:val="00DE15B3"/>
    <w:rsid w:val="00DE729C"/>
    <w:rsid w:val="00DE7367"/>
    <w:rsid w:val="00DF29B3"/>
    <w:rsid w:val="00DF465D"/>
    <w:rsid w:val="00E13E6B"/>
    <w:rsid w:val="00E177B4"/>
    <w:rsid w:val="00E178EA"/>
    <w:rsid w:val="00E22C5B"/>
    <w:rsid w:val="00E22FC6"/>
    <w:rsid w:val="00E32109"/>
    <w:rsid w:val="00E36CD4"/>
    <w:rsid w:val="00E55064"/>
    <w:rsid w:val="00E55649"/>
    <w:rsid w:val="00E662FC"/>
    <w:rsid w:val="00E81050"/>
    <w:rsid w:val="00E8290C"/>
    <w:rsid w:val="00E83D57"/>
    <w:rsid w:val="00E94611"/>
    <w:rsid w:val="00EA79F7"/>
    <w:rsid w:val="00EB1881"/>
    <w:rsid w:val="00EC4B3A"/>
    <w:rsid w:val="00ED3CA6"/>
    <w:rsid w:val="00EE1E62"/>
    <w:rsid w:val="00EF0373"/>
    <w:rsid w:val="00EF0E47"/>
    <w:rsid w:val="00F03B06"/>
    <w:rsid w:val="00F0446F"/>
    <w:rsid w:val="00F123C9"/>
    <w:rsid w:val="00F208C1"/>
    <w:rsid w:val="00F26EE7"/>
    <w:rsid w:val="00F304D4"/>
    <w:rsid w:val="00F34092"/>
    <w:rsid w:val="00F35D2D"/>
    <w:rsid w:val="00F36BF0"/>
    <w:rsid w:val="00F43E5F"/>
    <w:rsid w:val="00F45474"/>
    <w:rsid w:val="00F53089"/>
    <w:rsid w:val="00F534DD"/>
    <w:rsid w:val="00F56A5C"/>
    <w:rsid w:val="00F60610"/>
    <w:rsid w:val="00F71B86"/>
    <w:rsid w:val="00F73B55"/>
    <w:rsid w:val="00FB65F2"/>
    <w:rsid w:val="00FC0FCD"/>
    <w:rsid w:val="00FC33F0"/>
    <w:rsid w:val="00FD3EE1"/>
    <w:rsid w:val="00FD4929"/>
    <w:rsid w:val="00FE1064"/>
    <w:rsid w:val="00FE3743"/>
    <w:rsid w:val="00FF0DE4"/>
    <w:rsid w:val="00FF22F2"/>
    <w:rsid w:val="00FF638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4" w:qFormat="1"/>
    <w:lsdException w:name="Default Paragraph Font" w:uiPriority="1"/>
    <w:lsdException w:name="Body Text" w:uiPriority="1" w:qFormat="1"/>
    <w:lsdException w:name="Subtitle" w:uiPriority="15" w:qFormat="1"/>
    <w:lsdException w:name="Strong" w:semiHidden="0" w:uiPriority="13" w:unhideWhenUsed="0" w:qFormat="1"/>
    <w:lsdException w:name="Emphasis" w:semiHidden="0" w:uiPriority="13" w:unhideWhenUsed="0" w:qFormat="1"/>
    <w:lsdException w:name="Table Grid" w:semiHidden="0" w:uiPriority="59" w:unhideWhenUsed="0"/>
    <w:lsdException w:name="Placeholder Text" w:unhideWhenUsed="0"/>
    <w:lsdException w:name="No Spacing" w:semiHidden="0" w:uiPriority="2"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5C3224"/>
    <w:pPr>
      <w:spacing w:after="360" w:line="360" w:lineRule="auto"/>
      <w:jc w:val="both"/>
    </w:pPr>
    <w:rPr>
      <w:rFonts w:ascii="Times New Roman" w:hAnsi="Times New Roman"/>
      <w:sz w:val="24"/>
    </w:rPr>
  </w:style>
  <w:style w:type="paragraph" w:styleId="Heading1">
    <w:name w:val="heading 1"/>
    <w:basedOn w:val="Normal"/>
    <w:link w:val="Heading1Char"/>
    <w:uiPriority w:val="9"/>
    <w:qFormat/>
    <w:rsid w:val="00D05E0E"/>
    <w:pPr>
      <w:numPr>
        <w:numId w:val="1"/>
      </w:numPr>
      <w:outlineLvl w:val="0"/>
    </w:pPr>
    <w:rPr>
      <w:rFonts w:eastAsiaTheme="majorEastAsia" w:cs="Times New Roman"/>
      <w:b/>
      <w:bCs/>
      <w:color w:val="000000"/>
      <w:szCs w:val="28"/>
      <w:u w:val="single"/>
    </w:rPr>
  </w:style>
  <w:style w:type="paragraph" w:styleId="Heading2">
    <w:name w:val="heading 2"/>
    <w:basedOn w:val="Normal"/>
    <w:link w:val="Heading2Char"/>
    <w:uiPriority w:val="9"/>
    <w:unhideWhenUsed/>
    <w:qFormat/>
    <w:rsid w:val="0020621E"/>
    <w:pPr>
      <w:numPr>
        <w:ilvl w:val="1"/>
        <w:numId w:val="1"/>
      </w:numPr>
      <w:outlineLvl w:val="1"/>
    </w:pPr>
    <w:rPr>
      <w:rFonts w:eastAsiaTheme="majorEastAsia" w:cs="Times New Roman"/>
      <w:bCs/>
      <w:color w:val="000000"/>
      <w:szCs w:val="26"/>
    </w:rPr>
  </w:style>
  <w:style w:type="paragraph" w:styleId="Heading3">
    <w:name w:val="heading 3"/>
    <w:basedOn w:val="Normal"/>
    <w:link w:val="Heading3Char"/>
    <w:uiPriority w:val="9"/>
    <w:unhideWhenUsed/>
    <w:qFormat/>
    <w:rsid w:val="00D05E0E"/>
    <w:pPr>
      <w:numPr>
        <w:ilvl w:val="2"/>
        <w:numId w:val="1"/>
      </w:numPr>
      <w:outlineLvl w:val="2"/>
    </w:pPr>
    <w:rPr>
      <w:rFonts w:eastAsiaTheme="majorEastAsia" w:cs="Times New Roman"/>
      <w:bCs/>
      <w:color w:val="000000"/>
    </w:rPr>
  </w:style>
  <w:style w:type="paragraph" w:styleId="Heading4">
    <w:name w:val="heading 4"/>
    <w:basedOn w:val="Normal"/>
    <w:link w:val="Heading4Char"/>
    <w:uiPriority w:val="9"/>
    <w:unhideWhenUsed/>
    <w:qFormat/>
    <w:rsid w:val="008034B4"/>
    <w:pPr>
      <w:numPr>
        <w:ilvl w:val="3"/>
        <w:numId w:val="1"/>
      </w:numPr>
      <w:outlineLvl w:val="3"/>
    </w:pPr>
    <w:rPr>
      <w:rFonts w:eastAsiaTheme="majorEastAsia" w:cs="Times New Roman"/>
      <w:bCs/>
      <w:iCs/>
      <w:color w:val="000000"/>
    </w:rPr>
  </w:style>
  <w:style w:type="paragraph" w:styleId="Heading5">
    <w:name w:val="heading 5"/>
    <w:basedOn w:val="Normal"/>
    <w:link w:val="Heading5Char"/>
    <w:uiPriority w:val="9"/>
    <w:unhideWhenUsed/>
    <w:qFormat/>
    <w:rsid w:val="008034B4"/>
    <w:pPr>
      <w:numPr>
        <w:ilvl w:val="4"/>
        <w:numId w:val="1"/>
      </w:numPr>
      <w:outlineLvl w:val="4"/>
    </w:pPr>
    <w:rPr>
      <w:rFonts w:eastAsiaTheme="majorEastAsia" w:cs="Times New Roman"/>
      <w:color w:val="000000"/>
    </w:rPr>
  </w:style>
  <w:style w:type="paragraph" w:styleId="Heading6">
    <w:name w:val="heading 6"/>
    <w:basedOn w:val="Normal"/>
    <w:link w:val="Heading6Char"/>
    <w:uiPriority w:val="9"/>
    <w:unhideWhenUsed/>
    <w:qFormat/>
    <w:rsid w:val="008034B4"/>
    <w:pPr>
      <w:numPr>
        <w:ilvl w:val="5"/>
        <w:numId w:val="1"/>
      </w:numPr>
      <w:outlineLvl w:val="5"/>
    </w:pPr>
    <w:rPr>
      <w:rFonts w:eastAsiaTheme="majorEastAsia" w:cs="Times New Roman"/>
      <w:iCs/>
      <w:color w:val="000000"/>
    </w:rPr>
  </w:style>
  <w:style w:type="paragraph" w:styleId="Heading7">
    <w:name w:val="heading 7"/>
    <w:basedOn w:val="Normal"/>
    <w:link w:val="Heading7Char"/>
    <w:uiPriority w:val="9"/>
    <w:unhideWhenUsed/>
    <w:qFormat/>
    <w:rsid w:val="008034B4"/>
    <w:pPr>
      <w:numPr>
        <w:ilvl w:val="6"/>
        <w:numId w:val="1"/>
      </w:numPr>
      <w:outlineLvl w:val="6"/>
    </w:pPr>
    <w:rPr>
      <w:rFonts w:eastAsiaTheme="majorEastAsia" w:cs="Times New Roman"/>
      <w:iCs/>
      <w:color w:val="000000"/>
    </w:rPr>
  </w:style>
  <w:style w:type="paragraph" w:styleId="Heading8">
    <w:name w:val="heading 8"/>
    <w:basedOn w:val="Normal"/>
    <w:link w:val="Heading8Char"/>
    <w:uiPriority w:val="9"/>
    <w:semiHidden/>
    <w:unhideWhenUsed/>
    <w:qFormat/>
    <w:rsid w:val="008034B4"/>
    <w:pPr>
      <w:numPr>
        <w:ilvl w:val="7"/>
        <w:numId w:val="1"/>
      </w:numPr>
      <w:outlineLvl w:val="7"/>
    </w:pPr>
    <w:rPr>
      <w:rFonts w:eastAsiaTheme="majorEastAsia" w:cs="Times New Roman"/>
      <w:color w:val="000000"/>
      <w:szCs w:val="20"/>
    </w:rPr>
  </w:style>
  <w:style w:type="paragraph" w:styleId="Heading9">
    <w:name w:val="heading 9"/>
    <w:basedOn w:val="Normal"/>
    <w:link w:val="Heading9Char"/>
    <w:uiPriority w:val="9"/>
    <w:semiHidden/>
    <w:unhideWhenUsed/>
    <w:qFormat/>
    <w:rsid w:val="008034B4"/>
    <w:pPr>
      <w:numPr>
        <w:ilvl w:val="8"/>
        <w:numId w:val="1"/>
      </w:numPr>
      <w:outlineLvl w:val="8"/>
    </w:pPr>
    <w:rPr>
      <w:rFonts w:eastAsiaTheme="majorEastAsia" w:cs="Times New Roman"/>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UC1">
    <w:name w:val="Title UC 1"/>
    <w:basedOn w:val="Normal"/>
    <w:next w:val="Normal"/>
    <w:uiPriority w:val="12"/>
    <w:qFormat/>
    <w:rsid w:val="005C3224"/>
    <w:pPr>
      <w:keepNext/>
      <w:jc w:val="left"/>
    </w:pPr>
    <w:rPr>
      <w:b/>
      <w:caps/>
      <w:u w:val="single"/>
    </w:rPr>
  </w:style>
  <w:style w:type="paragraph" w:customStyle="1" w:styleId="TitleUC2">
    <w:name w:val="Title UC 2"/>
    <w:basedOn w:val="Normal"/>
    <w:next w:val="Normal"/>
    <w:uiPriority w:val="12"/>
    <w:qFormat/>
    <w:rsid w:val="00484934"/>
    <w:pPr>
      <w:keepNext/>
      <w:jc w:val="center"/>
    </w:pPr>
    <w:rPr>
      <w:b/>
      <w:caps/>
      <w:u w:val="single"/>
    </w:rPr>
  </w:style>
  <w:style w:type="paragraph" w:customStyle="1" w:styleId="TitleLCBold">
    <w:name w:val="Title LC Bold"/>
    <w:basedOn w:val="Normal"/>
    <w:next w:val="Normal"/>
    <w:uiPriority w:val="12"/>
    <w:qFormat/>
    <w:rsid w:val="00D05E0E"/>
    <w:pPr>
      <w:keepNext/>
      <w:jc w:val="left"/>
    </w:pPr>
  </w:style>
  <w:style w:type="paragraph" w:customStyle="1" w:styleId="TitleLCBoldItalic">
    <w:name w:val="Title LC Bold Italic"/>
    <w:basedOn w:val="Normal"/>
    <w:next w:val="Normal"/>
    <w:uiPriority w:val="12"/>
    <w:qFormat/>
    <w:rsid w:val="00D05E0E"/>
    <w:pPr>
      <w:keepNext/>
      <w:jc w:val="left"/>
    </w:pPr>
  </w:style>
  <w:style w:type="paragraph" w:customStyle="1" w:styleId="TitleLCBoldUnderlined">
    <w:name w:val="Title LC Bold Underlined"/>
    <w:basedOn w:val="Normal"/>
    <w:next w:val="Normal"/>
    <w:uiPriority w:val="12"/>
    <w:qFormat/>
    <w:rsid w:val="00D05E0E"/>
    <w:pPr>
      <w:keepNext/>
      <w:jc w:val="center"/>
    </w:pPr>
    <w:rPr>
      <w:b/>
      <w:u w:val="single"/>
    </w:rPr>
  </w:style>
  <w:style w:type="paragraph" w:customStyle="1" w:styleId="ListParagraph1inch">
    <w:name w:val="List Paragraph 1 inch"/>
    <w:basedOn w:val="Normal"/>
    <w:uiPriority w:val="9"/>
    <w:qFormat/>
    <w:rsid w:val="00585A66"/>
    <w:pPr>
      <w:ind w:left="1440"/>
    </w:pPr>
  </w:style>
  <w:style w:type="paragraph" w:styleId="ListParagraph">
    <w:name w:val="List Paragraph"/>
    <w:basedOn w:val="Normal"/>
    <w:link w:val="ListParagraphChar"/>
    <w:uiPriority w:val="34"/>
    <w:qFormat/>
    <w:rsid w:val="00585A66"/>
    <w:pPr>
      <w:ind w:left="720"/>
    </w:pPr>
  </w:style>
  <w:style w:type="paragraph" w:customStyle="1" w:styleId="DoubleIndent">
    <w:name w:val="Double Indent"/>
    <w:basedOn w:val="Normal"/>
    <w:next w:val="Normal"/>
    <w:uiPriority w:val="11"/>
    <w:qFormat/>
    <w:rsid w:val="00A34441"/>
    <w:pPr>
      <w:ind w:left="720"/>
    </w:pPr>
  </w:style>
  <w:style w:type="paragraph" w:customStyle="1" w:styleId="DoubleIndent1inch">
    <w:name w:val="Double Indent 1 inch"/>
    <w:basedOn w:val="Normal"/>
    <w:next w:val="Normal"/>
    <w:uiPriority w:val="11"/>
    <w:qFormat/>
    <w:rsid w:val="00585A66"/>
    <w:pPr>
      <w:ind w:left="1440" w:right="1440"/>
    </w:pPr>
  </w:style>
  <w:style w:type="character" w:customStyle="1" w:styleId="StrongUnderline">
    <w:name w:val="Strong Underline"/>
    <w:basedOn w:val="DefaultParagraphFont"/>
    <w:uiPriority w:val="13"/>
    <w:qFormat/>
    <w:rsid w:val="00B95A75"/>
    <w:rPr>
      <w:b/>
      <w:u w:val="single"/>
    </w:rPr>
  </w:style>
  <w:style w:type="character" w:customStyle="1" w:styleId="StrongEmphasis">
    <w:name w:val="Strong Emphasis"/>
    <w:basedOn w:val="DefaultParagraphFont"/>
    <w:uiPriority w:val="13"/>
    <w:qFormat/>
    <w:rsid w:val="00B95A75"/>
    <w:rPr>
      <w:b/>
      <w:i/>
      <w:u w:val="none"/>
    </w:rPr>
  </w:style>
  <w:style w:type="paragraph" w:customStyle="1" w:styleId="HalfSpacing">
    <w:name w:val="Half Spacing"/>
    <w:basedOn w:val="Normal"/>
    <w:uiPriority w:val="1"/>
    <w:qFormat/>
    <w:rsid w:val="0072373F"/>
    <w:pPr>
      <w:spacing w:before="60" w:after="120"/>
    </w:pPr>
  </w:style>
  <w:style w:type="paragraph" w:customStyle="1" w:styleId="Citation">
    <w:name w:val="Citation"/>
    <w:basedOn w:val="Normal"/>
    <w:uiPriority w:val="11"/>
    <w:qFormat/>
    <w:rsid w:val="0072373F"/>
    <w:pPr>
      <w:spacing w:before="120"/>
      <w:ind w:left="1440" w:right="1440"/>
      <w:contextualSpacing/>
    </w:pPr>
    <w:rPr>
      <w:sz w:val="20"/>
    </w:rPr>
  </w:style>
  <w:style w:type="paragraph" w:customStyle="1" w:styleId="IndentFirstLine">
    <w:name w:val="Indent First Line"/>
    <w:basedOn w:val="Normal"/>
    <w:next w:val="Normal"/>
    <w:uiPriority w:val="10"/>
    <w:qFormat/>
    <w:rsid w:val="0056445E"/>
    <w:pPr>
      <w:ind w:firstLine="720"/>
    </w:pPr>
  </w:style>
  <w:style w:type="paragraph" w:customStyle="1" w:styleId="IndentFirstLine1Inch">
    <w:name w:val="Indent First Line 1 Inch"/>
    <w:basedOn w:val="Normal"/>
    <w:next w:val="Normal"/>
    <w:uiPriority w:val="10"/>
    <w:qFormat/>
    <w:rsid w:val="0056445E"/>
    <w:pPr>
      <w:ind w:firstLine="1440"/>
    </w:pPr>
  </w:style>
  <w:style w:type="paragraph" w:styleId="NoSpacing">
    <w:name w:val="No Spacing"/>
    <w:uiPriority w:val="2"/>
    <w:qFormat/>
    <w:rsid w:val="002C0ED8"/>
    <w:pPr>
      <w:spacing w:after="0" w:line="240" w:lineRule="auto"/>
      <w:jc w:val="both"/>
    </w:pPr>
    <w:rPr>
      <w:rFonts w:ascii="Times New Roman" w:hAnsi="Times New Roman"/>
      <w:sz w:val="24"/>
    </w:rPr>
  </w:style>
  <w:style w:type="paragraph" w:styleId="Header">
    <w:name w:val="header"/>
    <w:basedOn w:val="Normal"/>
    <w:link w:val="HeaderChar"/>
    <w:uiPriority w:val="99"/>
    <w:unhideWhenUsed/>
    <w:rsid w:val="008034B4"/>
    <w:pPr>
      <w:tabs>
        <w:tab w:val="center" w:pos="4680"/>
        <w:tab w:val="right" w:pos="9360"/>
      </w:tabs>
      <w:spacing w:after="0"/>
    </w:pPr>
  </w:style>
  <w:style w:type="character" w:customStyle="1" w:styleId="HeaderChar">
    <w:name w:val="Header Char"/>
    <w:basedOn w:val="DefaultParagraphFont"/>
    <w:link w:val="Header"/>
    <w:uiPriority w:val="99"/>
    <w:rsid w:val="008034B4"/>
    <w:rPr>
      <w:rFonts w:ascii="Times New Roman" w:hAnsi="Times New Roman"/>
      <w:sz w:val="24"/>
    </w:rPr>
  </w:style>
  <w:style w:type="paragraph" w:styleId="Footer">
    <w:name w:val="footer"/>
    <w:basedOn w:val="Normal"/>
    <w:link w:val="FooterChar"/>
    <w:uiPriority w:val="99"/>
    <w:unhideWhenUsed/>
    <w:rsid w:val="008034B4"/>
    <w:pPr>
      <w:tabs>
        <w:tab w:val="center" w:pos="4680"/>
        <w:tab w:val="right" w:pos="9360"/>
      </w:tabs>
      <w:spacing w:after="0"/>
    </w:pPr>
  </w:style>
  <w:style w:type="character" w:customStyle="1" w:styleId="FooterChar">
    <w:name w:val="Footer Char"/>
    <w:basedOn w:val="DefaultParagraphFont"/>
    <w:link w:val="Footer"/>
    <w:uiPriority w:val="99"/>
    <w:rsid w:val="008034B4"/>
    <w:rPr>
      <w:rFonts w:ascii="Times New Roman" w:hAnsi="Times New Roman"/>
      <w:sz w:val="24"/>
    </w:rPr>
  </w:style>
  <w:style w:type="character" w:customStyle="1" w:styleId="Heading1Char">
    <w:name w:val="Heading 1 Char"/>
    <w:basedOn w:val="DefaultParagraphFont"/>
    <w:link w:val="Heading1"/>
    <w:uiPriority w:val="9"/>
    <w:rsid w:val="00D05E0E"/>
    <w:rPr>
      <w:rFonts w:ascii="Times New Roman" w:eastAsiaTheme="majorEastAsia" w:hAnsi="Times New Roman" w:cs="Times New Roman"/>
      <w:b/>
      <w:bCs/>
      <w:color w:val="000000"/>
      <w:sz w:val="24"/>
      <w:szCs w:val="28"/>
      <w:u w:val="single"/>
    </w:rPr>
  </w:style>
  <w:style w:type="character" w:customStyle="1" w:styleId="Heading2Char">
    <w:name w:val="Heading 2 Char"/>
    <w:basedOn w:val="DefaultParagraphFont"/>
    <w:link w:val="Heading2"/>
    <w:uiPriority w:val="9"/>
    <w:rsid w:val="0020621E"/>
    <w:rPr>
      <w:rFonts w:ascii="Times New Roman" w:eastAsiaTheme="majorEastAsia" w:hAnsi="Times New Roman" w:cs="Times New Roman"/>
      <w:bCs/>
      <w:color w:val="000000"/>
      <w:sz w:val="24"/>
      <w:szCs w:val="26"/>
    </w:rPr>
  </w:style>
  <w:style w:type="character" w:customStyle="1" w:styleId="Heading3Char">
    <w:name w:val="Heading 3 Char"/>
    <w:basedOn w:val="DefaultParagraphFont"/>
    <w:link w:val="Heading3"/>
    <w:uiPriority w:val="9"/>
    <w:rsid w:val="00D05E0E"/>
    <w:rPr>
      <w:rFonts w:ascii="Times New Roman" w:eastAsiaTheme="majorEastAsia" w:hAnsi="Times New Roman" w:cs="Times New Roman"/>
      <w:bCs/>
      <w:color w:val="000000"/>
      <w:sz w:val="24"/>
    </w:rPr>
  </w:style>
  <w:style w:type="character" w:customStyle="1" w:styleId="Heading4Char">
    <w:name w:val="Heading 4 Char"/>
    <w:basedOn w:val="DefaultParagraphFont"/>
    <w:link w:val="Heading4"/>
    <w:uiPriority w:val="9"/>
    <w:rsid w:val="008034B4"/>
    <w:rPr>
      <w:rFonts w:ascii="Times New Roman" w:eastAsiaTheme="majorEastAsia" w:hAnsi="Times New Roman" w:cs="Times New Roman"/>
      <w:bCs/>
      <w:iCs/>
      <w:color w:val="000000"/>
      <w:sz w:val="24"/>
    </w:rPr>
  </w:style>
  <w:style w:type="character" w:customStyle="1" w:styleId="Heading5Char">
    <w:name w:val="Heading 5 Char"/>
    <w:basedOn w:val="DefaultParagraphFont"/>
    <w:link w:val="Heading5"/>
    <w:uiPriority w:val="9"/>
    <w:rsid w:val="008034B4"/>
    <w:rPr>
      <w:rFonts w:ascii="Times New Roman" w:eastAsiaTheme="majorEastAsia" w:hAnsi="Times New Roman" w:cs="Times New Roman"/>
      <w:color w:val="000000"/>
      <w:sz w:val="24"/>
    </w:rPr>
  </w:style>
  <w:style w:type="character" w:customStyle="1" w:styleId="Heading6Char">
    <w:name w:val="Heading 6 Char"/>
    <w:basedOn w:val="DefaultParagraphFont"/>
    <w:link w:val="Heading6"/>
    <w:uiPriority w:val="9"/>
    <w:rsid w:val="008034B4"/>
    <w:rPr>
      <w:rFonts w:ascii="Times New Roman" w:eastAsiaTheme="majorEastAsia" w:hAnsi="Times New Roman" w:cs="Times New Roman"/>
      <w:iCs/>
      <w:color w:val="000000"/>
      <w:sz w:val="24"/>
    </w:rPr>
  </w:style>
  <w:style w:type="character" w:customStyle="1" w:styleId="Heading7Char">
    <w:name w:val="Heading 7 Char"/>
    <w:basedOn w:val="DefaultParagraphFont"/>
    <w:link w:val="Heading7"/>
    <w:uiPriority w:val="9"/>
    <w:rsid w:val="008034B4"/>
    <w:rPr>
      <w:rFonts w:ascii="Times New Roman" w:eastAsiaTheme="majorEastAsia" w:hAnsi="Times New Roman" w:cs="Times New Roman"/>
      <w:iCs/>
      <w:color w:val="000000"/>
      <w:sz w:val="24"/>
    </w:rPr>
  </w:style>
  <w:style w:type="character" w:customStyle="1" w:styleId="Heading8Char">
    <w:name w:val="Heading 8 Char"/>
    <w:basedOn w:val="DefaultParagraphFont"/>
    <w:link w:val="Heading8"/>
    <w:uiPriority w:val="9"/>
    <w:semiHidden/>
    <w:rsid w:val="008034B4"/>
    <w:rPr>
      <w:rFonts w:ascii="Times New Roman" w:eastAsiaTheme="majorEastAsia" w:hAnsi="Times New Roman" w:cs="Times New Roman"/>
      <w:color w:val="000000"/>
      <w:sz w:val="24"/>
      <w:szCs w:val="20"/>
    </w:rPr>
  </w:style>
  <w:style w:type="character" w:customStyle="1" w:styleId="Heading9Char">
    <w:name w:val="Heading 9 Char"/>
    <w:basedOn w:val="DefaultParagraphFont"/>
    <w:link w:val="Heading9"/>
    <w:uiPriority w:val="9"/>
    <w:semiHidden/>
    <w:rsid w:val="008034B4"/>
    <w:rPr>
      <w:rFonts w:ascii="Times New Roman" w:eastAsiaTheme="majorEastAsia" w:hAnsi="Times New Roman" w:cs="Times New Roman"/>
      <w:iCs/>
      <w:color w:val="000000"/>
      <w:sz w:val="24"/>
      <w:szCs w:val="20"/>
    </w:rPr>
  </w:style>
  <w:style w:type="paragraph" w:customStyle="1" w:styleId="HeadingBold">
    <w:name w:val="Heading Bold"/>
    <w:basedOn w:val="Normal"/>
    <w:qFormat/>
    <w:rsid w:val="00E662FC"/>
    <w:rPr>
      <w:b/>
    </w:rPr>
  </w:style>
  <w:style w:type="paragraph" w:styleId="BalloonText">
    <w:name w:val="Balloon Text"/>
    <w:basedOn w:val="Normal"/>
    <w:link w:val="BalloonTextChar"/>
    <w:uiPriority w:val="99"/>
    <w:semiHidden/>
    <w:unhideWhenUsed/>
    <w:rsid w:val="00AC5B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5BA9"/>
    <w:rPr>
      <w:rFonts w:ascii="Tahoma" w:hAnsi="Tahoma" w:cs="Tahoma"/>
      <w:sz w:val="16"/>
      <w:szCs w:val="16"/>
    </w:rPr>
  </w:style>
  <w:style w:type="table" w:styleId="TableGrid">
    <w:name w:val="Table Grid"/>
    <w:basedOn w:val="TableNormal"/>
    <w:uiPriority w:val="59"/>
    <w:rsid w:val="00F73B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F123C9"/>
    <w:pPr>
      <w:spacing w:before="120" w:after="0" w:line="240" w:lineRule="auto"/>
    </w:pPr>
  </w:style>
  <w:style w:type="paragraph" w:styleId="TOC2">
    <w:name w:val="toc 2"/>
    <w:basedOn w:val="Normal"/>
    <w:next w:val="Normal"/>
    <w:autoRedefine/>
    <w:uiPriority w:val="39"/>
    <w:unhideWhenUsed/>
    <w:rsid w:val="00F123C9"/>
    <w:pPr>
      <w:tabs>
        <w:tab w:val="right" w:leader="dot" w:pos="9350"/>
      </w:tabs>
      <w:spacing w:after="0" w:line="240" w:lineRule="auto"/>
      <w:ind w:left="245"/>
    </w:pPr>
  </w:style>
  <w:style w:type="paragraph" w:styleId="TOC3">
    <w:name w:val="toc 3"/>
    <w:basedOn w:val="Normal"/>
    <w:next w:val="Normal"/>
    <w:autoRedefine/>
    <w:uiPriority w:val="39"/>
    <w:unhideWhenUsed/>
    <w:rsid w:val="00F123C9"/>
    <w:pPr>
      <w:spacing w:after="100" w:line="276" w:lineRule="auto"/>
      <w:ind w:left="440"/>
      <w:jc w:val="left"/>
    </w:pPr>
    <w:rPr>
      <w:rFonts w:asciiTheme="minorHAnsi" w:eastAsiaTheme="minorEastAsia" w:hAnsiTheme="minorHAnsi"/>
      <w:sz w:val="22"/>
      <w:lang w:eastAsia="en-CA"/>
    </w:rPr>
  </w:style>
  <w:style w:type="paragraph" w:styleId="TOC4">
    <w:name w:val="toc 4"/>
    <w:basedOn w:val="Normal"/>
    <w:next w:val="Normal"/>
    <w:autoRedefine/>
    <w:uiPriority w:val="39"/>
    <w:unhideWhenUsed/>
    <w:rsid w:val="00F123C9"/>
    <w:pPr>
      <w:spacing w:after="100" w:line="276" w:lineRule="auto"/>
      <w:ind w:left="660"/>
      <w:jc w:val="left"/>
    </w:pPr>
    <w:rPr>
      <w:rFonts w:asciiTheme="minorHAnsi" w:eastAsiaTheme="minorEastAsia" w:hAnsiTheme="minorHAnsi"/>
      <w:sz w:val="22"/>
      <w:lang w:eastAsia="en-CA"/>
    </w:rPr>
  </w:style>
  <w:style w:type="paragraph" w:styleId="TOC5">
    <w:name w:val="toc 5"/>
    <w:basedOn w:val="Normal"/>
    <w:next w:val="Normal"/>
    <w:autoRedefine/>
    <w:uiPriority w:val="39"/>
    <w:unhideWhenUsed/>
    <w:rsid w:val="00F123C9"/>
    <w:pPr>
      <w:spacing w:after="100" w:line="276" w:lineRule="auto"/>
      <w:ind w:left="880"/>
      <w:jc w:val="left"/>
    </w:pPr>
    <w:rPr>
      <w:rFonts w:asciiTheme="minorHAnsi" w:eastAsiaTheme="minorEastAsia" w:hAnsiTheme="minorHAnsi"/>
      <w:sz w:val="22"/>
      <w:lang w:eastAsia="en-CA"/>
    </w:rPr>
  </w:style>
  <w:style w:type="paragraph" w:styleId="TOC6">
    <w:name w:val="toc 6"/>
    <w:basedOn w:val="Normal"/>
    <w:next w:val="Normal"/>
    <w:autoRedefine/>
    <w:uiPriority w:val="39"/>
    <w:unhideWhenUsed/>
    <w:rsid w:val="00F123C9"/>
    <w:pPr>
      <w:spacing w:after="100" w:line="276" w:lineRule="auto"/>
      <w:ind w:left="1100"/>
      <w:jc w:val="left"/>
    </w:pPr>
    <w:rPr>
      <w:rFonts w:asciiTheme="minorHAnsi" w:eastAsiaTheme="minorEastAsia" w:hAnsiTheme="minorHAnsi"/>
      <w:sz w:val="22"/>
      <w:lang w:eastAsia="en-CA"/>
    </w:rPr>
  </w:style>
  <w:style w:type="paragraph" w:styleId="TOC7">
    <w:name w:val="toc 7"/>
    <w:basedOn w:val="Normal"/>
    <w:next w:val="Normal"/>
    <w:autoRedefine/>
    <w:uiPriority w:val="39"/>
    <w:unhideWhenUsed/>
    <w:rsid w:val="00F123C9"/>
    <w:pPr>
      <w:spacing w:after="100" w:line="276" w:lineRule="auto"/>
      <w:ind w:left="1320"/>
      <w:jc w:val="left"/>
    </w:pPr>
    <w:rPr>
      <w:rFonts w:asciiTheme="minorHAnsi" w:eastAsiaTheme="minorEastAsia" w:hAnsiTheme="minorHAnsi"/>
      <w:sz w:val="22"/>
      <w:lang w:eastAsia="en-CA"/>
    </w:rPr>
  </w:style>
  <w:style w:type="paragraph" w:styleId="TOC8">
    <w:name w:val="toc 8"/>
    <w:basedOn w:val="Normal"/>
    <w:next w:val="Normal"/>
    <w:autoRedefine/>
    <w:uiPriority w:val="39"/>
    <w:unhideWhenUsed/>
    <w:rsid w:val="00F123C9"/>
    <w:pPr>
      <w:spacing w:after="100" w:line="276" w:lineRule="auto"/>
      <w:ind w:left="1540"/>
      <w:jc w:val="left"/>
    </w:pPr>
    <w:rPr>
      <w:rFonts w:asciiTheme="minorHAnsi" w:eastAsiaTheme="minorEastAsia" w:hAnsiTheme="minorHAnsi"/>
      <w:sz w:val="22"/>
      <w:lang w:eastAsia="en-CA"/>
    </w:rPr>
  </w:style>
  <w:style w:type="paragraph" w:styleId="TOC9">
    <w:name w:val="toc 9"/>
    <w:basedOn w:val="Normal"/>
    <w:next w:val="Normal"/>
    <w:autoRedefine/>
    <w:uiPriority w:val="39"/>
    <w:unhideWhenUsed/>
    <w:rsid w:val="00F123C9"/>
    <w:pPr>
      <w:spacing w:after="100" w:line="276" w:lineRule="auto"/>
      <w:ind w:left="1760"/>
      <w:jc w:val="left"/>
    </w:pPr>
    <w:rPr>
      <w:rFonts w:asciiTheme="minorHAnsi" w:eastAsiaTheme="minorEastAsia" w:hAnsiTheme="minorHAnsi"/>
      <w:sz w:val="22"/>
      <w:lang w:eastAsia="en-CA"/>
    </w:rPr>
  </w:style>
  <w:style w:type="character" w:styleId="Hyperlink">
    <w:name w:val="Hyperlink"/>
    <w:basedOn w:val="DefaultParagraphFont"/>
    <w:uiPriority w:val="99"/>
    <w:unhideWhenUsed/>
    <w:rsid w:val="00F123C9"/>
    <w:rPr>
      <w:color w:val="000000" w:themeColor="hyperlink"/>
      <w:u w:val="single"/>
    </w:rPr>
  </w:style>
  <w:style w:type="character" w:styleId="LineNumber">
    <w:name w:val="line number"/>
    <w:basedOn w:val="DefaultParagraphFont"/>
    <w:uiPriority w:val="99"/>
    <w:semiHidden/>
    <w:unhideWhenUsed/>
    <w:rsid w:val="00795E65"/>
  </w:style>
  <w:style w:type="character" w:styleId="CommentReference">
    <w:name w:val="annotation reference"/>
    <w:basedOn w:val="DefaultParagraphFont"/>
    <w:uiPriority w:val="99"/>
    <w:semiHidden/>
    <w:unhideWhenUsed/>
    <w:rsid w:val="0017004E"/>
    <w:rPr>
      <w:sz w:val="16"/>
      <w:szCs w:val="16"/>
    </w:rPr>
  </w:style>
  <w:style w:type="paragraph" w:styleId="CommentText">
    <w:name w:val="annotation text"/>
    <w:basedOn w:val="Normal"/>
    <w:link w:val="CommentTextChar"/>
    <w:uiPriority w:val="99"/>
    <w:semiHidden/>
    <w:unhideWhenUsed/>
    <w:rsid w:val="0017004E"/>
    <w:pPr>
      <w:spacing w:line="240" w:lineRule="auto"/>
    </w:pPr>
    <w:rPr>
      <w:sz w:val="20"/>
      <w:szCs w:val="20"/>
    </w:rPr>
  </w:style>
  <w:style w:type="character" w:customStyle="1" w:styleId="CommentTextChar">
    <w:name w:val="Comment Text Char"/>
    <w:basedOn w:val="DefaultParagraphFont"/>
    <w:link w:val="CommentText"/>
    <w:uiPriority w:val="99"/>
    <w:semiHidden/>
    <w:rsid w:val="0017004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17004E"/>
    <w:rPr>
      <w:b/>
      <w:bCs/>
    </w:rPr>
  </w:style>
  <w:style w:type="character" w:customStyle="1" w:styleId="CommentSubjectChar">
    <w:name w:val="Comment Subject Char"/>
    <w:basedOn w:val="CommentTextChar"/>
    <w:link w:val="CommentSubject"/>
    <w:uiPriority w:val="99"/>
    <w:semiHidden/>
    <w:rsid w:val="0017004E"/>
    <w:rPr>
      <w:rFonts w:ascii="Times New Roman" w:hAnsi="Times New Roman"/>
      <w:b/>
      <w:bCs/>
      <w:sz w:val="20"/>
      <w:szCs w:val="20"/>
    </w:rPr>
  </w:style>
  <w:style w:type="paragraph" w:customStyle="1" w:styleId="TableParagraph">
    <w:name w:val="Table Paragraph"/>
    <w:basedOn w:val="Normal"/>
    <w:uiPriority w:val="1"/>
    <w:qFormat/>
    <w:rsid w:val="00192936"/>
    <w:pPr>
      <w:widowControl w:val="0"/>
      <w:spacing w:after="0" w:line="240" w:lineRule="auto"/>
      <w:jc w:val="left"/>
    </w:pPr>
    <w:rPr>
      <w:rFonts w:asciiTheme="minorHAnsi" w:eastAsia="Times New Roman" w:hAnsiTheme="minorHAnsi" w:cs="Times New Roman"/>
      <w:sz w:val="22"/>
      <w:lang w:val="en-US"/>
    </w:rPr>
  </w:style>
  <w:style w:type="paragraph" w:styleId="BodyText">
    <w:name w:val="Body Text"/>
    <w:basedOn w:val="Normal"/>
    <w:link w:val="BodyTextChar"/>
    <w:uiPriority w:val="1"/>
    <w:qFormat/>
    <w:rsid w:val="00192936"/>
    <w:pPr>
      <w:widowControl w:val="0"/>
      <w:spacing w:after="0" w:line="240" w:lineRule="auto"/>
      <w:ind w:left="100"/>
      <w:jc w:val="left"/>
    </w:pPr>
    <w:rPr>
      <w:rFonts w:eastAsia="Times New Roman" w:cs="Times New Roman"/>
      <w:sz w:val="22"/>
      <w:lang w:val="en-US"/>
    </w:rPr>
  </w:style>
  <w:style w:type="character" w:customStyle="1" w:styleId="BodyTextChar">
    <w:name w:val="Body Text Char"/>
    <w:basedOn w:val="DefaultParagraphFont"/>
    <w:link w:val="BodyText"/>
    <w:uiPriority w:val="1"/>
    <w:rsid w:val="00192936"/>
    <w:rPr>
      <w:rFonts w:ascii="Times New Roman" w:eastAsia="Times New Roman" w:hAnsi="Times New Roman" w:cs="Times New Roman"/>
      <w:lang w:val="en-US"/>
    </w:rPr>
  </w:style>
  <w:style w:type="table" w:customStyle="1" w:styleId="TableGrid1">
    <w:name w:val="Table Grid1"/>
    <w:basedOn w:val="TableNormal"/>
    <w:next w:val="TableGrid"/>
    <w:uiPriority w:val="59"/>
    <w:rsid w:val="00666B2D"/>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E8290C"/>
    <w:rPr>
      <w:rFonts w:ascii="Times New Roman" w:hAnsi="Times New Roman"/>
      <w:sz w:val="24"/>
    </w:rPr>
  </w:style>
  <w:style w:type="paragraph" w:styleId="Revision">
    <w:name w:val="Revision"/>
    <w:hidden/>
    <w:uiPriority w:val="99"/>
    <w:semiHidden/>
    <w:rsid w:val="00CA04AE"/>
    <w:pPr>
      <w:spacing w:after="0" w:line="240" w:lineRule="auto"/>
    </w:pPr>
    <w:rPr>
      <w:rFonts w:ascii="Times New Roman" w:hAnsi="Times New Roman"/>
      <w:sz w:val="24"/>
    </w:rPr>
  </w:style>
  <w:style w:type="character" w:styleId="FollowedHyperlink">
    <w:name w:val="FollowedHyperlink"/>
    <w:basedOn w:val="DefaultParagraphFont"/>
    <w:uiPriority w:val="99"/>
    <w:semiHidden/>
    <w:unhideWhenUsed/>
    <w:rsid w:val="004F6969"/>
    <w:rPr>
      <w:color w:val="000000" w:themeColor="followedHyperlink"/>
      <w:u w:val="single"/>
    </w:rPr>
  </w:style>
  <w:style w:type="paragraph" w:styleId="FootnoteText">
    <w:name w:val="footnote text"/>
    <w:basedOn w:val="Normal"/>
    <w:link w:val="FootnoteTextChar"/>
    <w:uiPriority w:val="99"/>
    <w:semiHidden/>
    <w:unhideWhenUsed/>
    <w:rsid w:val="00A004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04C2"/>
    <w:rPr>
      <w:rFonts w:ascii="Times New Roman" w:hAnsi="Times New Roman"/>
      <w:sz w:val="20"/>
      <w:szCs w:val="20"/>
    </w:rPr>
  </w:style>
  <w:style w:type="character" w:styleId="FootnoteReference">
    <w:name w:val="footnote reference"/>
    <w:basedOn w:val="DefaultParagraphFont"/>
    <w:uiPriority w:val="99"/>
    <w:semiHidden/>
    <w:unhideWhenUsed/>
    <w:rsid w:val="00A004C2"/>
    <w:rPr>
      <w:vertAlign w:val="superscript"/>
    </w:rPr>
  </w:style>
  <w:style w:type="paragraph" w:customStyle="1" w:styleId="NewTOCHeading">
    <w:name w:val="New TOC Heading"/>
    <w:basedOn w:val="Heading1"/>
    <w:qFormat/>
    <w:rsid w:val="004709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4" w:qFormat="1"/>
    <w:lsdException w:name="Default Paragraph Font" w:uiPriority="1"/>
    <w:lsdException w:name="Body Text" w:uiPriority="1" w:qFormat="1"/>
    <w:lsdException w:name="Subtitle" w:uiPriority="15" w:qFormat="1"/>
    <w:lsdException w:name="Strong" w:semiHidden="0" w:uiPriority="13" w:unhideWhenUsed="0" w:qFormat="1"/>
    <w:lsdException w:name="Emphasis" w:semiHidden="0" w:uiPriority="13" w:unhideWhenUsed="0" w:qFormat="1"/>
    <w:lsdException w:name="Table Grid" w:semiHidden="0" w:uiPriority="59" w:unhideWhenUsed="0"/>
    <w:lsdException w:name="Placeholder Text" w:unhideWhenUsed="0"/>
    <w:lsdException w:name="No Spacing" w:semiHidden="0" w:uiPriority="2"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5C3224"/>
    <w:pPr>
      <w:spacing w:after="360" w:line="360" w:lineRule="auto"/>
      <w:jc w:val="both"/>
    </w:pPr>
    <w:rPr>
      <w:rFonts w:ascii="Times New Roman" w:hAnsi="Times New Roman"/>
      <w:sz w:val="24"/>
    </w:rPr>
  </w:style>
  <w:style w:type="paragraph" w:styleId="Heading1">
    <w:name w:val="heading 1"/>
    <w:basedOn w:val="Normal"/>
    <w:link w:val="Heading1Char"/>
    <w:uiPriority w:val="9"/>
    <w:qFormat/>
    <w:rsid w:val="00D05E0E"/>
    <w:pPr>
      <w:numPr>
        <w:numId w:val="1"/>
      </w:numPr>
      <w:outlineLvl w:val="0"/>
    </w:pPr>
    <w:rPr>
      <w:rFonts w:eastAsiaTheme="majorEastAsia" w:cs="Times New Roman"/>
      <w:b/>
      <w:bCs/>
      <w:color w:val="000000"/>
      <w:szCs w:val="28"/>
      <w:u w:val="single"/>
    </w:rPr>
  </w:style>
  <w:style w:type="paragraph" w:styleId="Heading2">
    <w:name w:val="heading 2"/>
    <w:basedOn w:val="Normal"/>
    <w:link w:val="Heading2Char"/>
    <w:uiPriority w:val="9"/>
    <w:unhideWhenUsed/>
    <w:qFormat/>
    <w:rsid w:val="0020621E"/>
    <w:pPr>
      <w:numPr>
        <w:ilvl w:val="1"/>
        <w:numId w:val="1"/>
      </w:numPr>
      <w:outlineLvl w:val="1"/>
    </w:pPr>
    <w:rPr>
      <w:rFonts w:eastAsiaTheme="majorEastAsia" w:cs="Times New Roman"/>
      <w:bCs/>
      <w:color w:val="000000"/>
      <w:szCs w:val="26"/>
    </w:rPr>
  </w:style>
  <w:style w:type="paragraph" w:styleId="Heading3">
    <w:name w:val="heading 3"/>
    <w:basedOn w:val="Normal"/>
    <w:link w:val="Heading3Char"/>
    <w:uiPriority w:val="9"/>
    <w:unhideWhenUsed/>
    <w:qFormat/>
    <w:rsid w:val="00D05E0E"/>
    <w:pPr>
      <w:numPr>
        <w:ilvl w:val="2"/>
        <w:numId w:val="1"/>
      </w:numPr>
      <w:outlineLvl w:val="2"/>
    </w:pPr>
    <w:rPr>
      <w:rFonts w:eastAsiaTheme="majorEastAsia" w:cs="Times New Roman"/>
      <w:bCs/>
      <w:color w:val="000000"/>
    </w:rPr>
  </w:style>
  <w:style w:type="paragraph" w:styleId="Heading4">
    <w:name w:val="heading 4"/>
    <w:basedOn w:val="Normal"/>
    <w:link w:val="Heading4Char"/>
    <w:uiPriority w:val="9"/>
    <w:unhideWhenUsed/>
    <w:qFormat/>
    <w:rsid w:val="008034B4"/>
    <w:pPr>
      <w:numPr>
        <w:ilvl w:val="3"/>
        <w:numId w:val="1"/>
      </w:numPr>
      <w:outlineLvl w:val="3"/>
    </w:pPr>
    <w:rPr>
      <w:rFonts w:eastAsiaTheme="majorEastAsia" w:cs="Times New Roman"/>
      <w:bCs/>
      <w:iCs/>
      <w:color w:val="000000"/>
    </w:rPr>
  </w:style>
  <w:style w:type="paragraph" w:styleId="Heading5">
    <w:name w:val="heading 5"/>
    <w:basedOn w:val="Normal"/>
    <w:link w:val="Heading5Char"/>
    <w:uiPriority w:val="9"/>
    <w:unhideWhenUsed/>
    <w:qFormat/>
    <w:rsid w:val="008034B4"/>
    <w:pPr>
      <w:numPr>
        <w:ilvl w:val="4"/>
        <w:numId w:val="1"/>
      </w:numPr>
      <w:outlineLvl w:val="4"/>
    </w:pPr>
    <w:rPr>
      <w:rFonts w:eastAsiaTheme="majorEastAsia" w:cs="Times New Roman"/>
      <w:color w:val="000000"/>
    </w:rPr>
  </w:style>
  <w:style w:type="paragraph" w:styleId="Heading6">
    <w:name w:val="heading 6"/>
    <w:basedOn w:val="Normal"/>
    <w:link w:val="Heading6Char"/>
    <w:uiPriority w:val="9"/>
    <w:unhideWhenUsed/>
    <w:qFormat/>
    <w:rsid w:val="008034B4"/>
    <w:pPr>
      <w:numPr>
        <w:ilvl w:val="5"/>
        <w:numId w:val="1"/>
      </w:numPr>
      <w:outlineLvl w:val="5"/>
    </w:pPr>
    <w:rPr>
      <w:rFonts w:eastAsiaTheme="majorEastAsia" w:cs="Times New Roman"/>
      <w:iCs/>
      <w:color w:val="000000"/>
    </w:rPr>
  </w:style>
  <w:style w:type="paragraph" w:styleId="Heading7">
    <w:name w:val="heading 7"/>
    <w:basedOn w:val="Normal"/>
    <w:link w:val="Heading7Char"/>
    <w:uiPriority w:val="9"/>
    <w:unhideWhenUsed/>
    <w:qFormat/>
    <w:rsid w:val="008034B4"/>
    <w:pPr>
      <w:numPr>
        <w:ilvl w:val="6"/>
        <w:numId w:val="1"/>
      </w:numPr>
      <w:outlineLvl w:val="6"/>
    </w:pPr>
    <w:rPr>
      <w:rFonts w:eastAsiaTheme="majorEastAsia" w:cs="Times New Roman"/>
      <w:iCs/>
      <w:color w:val="000000"/>
    </w:rPr>
  </w:style>
  <w:style w:type="paragraph" w:styleId="Heading8">
    <w:name w:val="heading 8"/>
    <w:basedOn w:val="Normal"/>
    <w:link w:val="Heading8Char"/>
    <w:uiPriority w:val="9"/>
    <w:semiHidden/>
    <w:unhideWhenUsed/>
    <w:qFormat/>
    <w:rsid w:val="008034B4"/>
    <w:pPr>
      <w:numPr>
        <w:ilvl w:val="7"/>
        <w:numId w:val="1"/>
      </w:numPr>
      <w:outlineLvl w:val="7"/>
    </w:pPr>
    <w:rPr>
      <w:rFonts w:eastAsiaTheme="majorEastAsia" w:cs="Times New Roman"/>
      <w:color w:val="000000"/>
      <w:szCs w:val="20"/>
    </w:rPr>
  </w:style>
  <w:style w:type="paragraph" w:styleId="Heading9">
    <w:name w:val="heading 9"/>
    <w:basedOn w:val="Normal"/>
    <w:link w:val="Heading9Char"/>
    <w:uiPriority w:val="9"/>
    <w:semiHidden/>
    <w:unhideWhenUsed/>
    <w:qFormat/>
    <w:rsid w:val="008034B4"/>
    <w:pPr>
      <w:numPr>
        <w:ilvl w:val="8"/>
        <w:numId w:val="1"/>
      </w:numPr>
      <w:outlineLvl w:val="8"/>
    </w:pPr>
    <w:rPr>
      <w:rFonts w:eastAsiaTheme="majorEastAsia" w:cs="Times New Roman"/>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UC1">
    <w:name w:val="Title UC 1"/>
    <w:basedOn w:val="Normal"/>
    <w:next w:val="Normal"/>
    <w:uiPriority w:val="12"/>
    <w:qFormat/>
    <w:rsid w:val="005C3224"/>
    <w:pPr>
      <w:keepNext/>
      <w:jc w:val="left"/>
    </w:pPr>
    <w:rPr>
      <w:b/>
      <w:caps/>
      <w:u w:val="single"/>
    </w:rPr>
  </w:style>
  <w:style w:type="paragraph" w:customStyle="1" w:styleId="TitleUC2">
    <w:name w:val="Title UC 2"/>
    <w:basedOn w:val="Normal"/>
    <w:next w:val="Normal"/>
    <w:uiPriority w:val="12"/>
    <w:qFormat/>
    <w:rsid w:val="00484934"/>
    <w:pPr>
      <w:keepNext/>
      <w:jc w:val="center"/>
    </w:pPr>
    <w:rPr>
      <w:b/>
      <w:caps/>
      <w:u w:val="single"/>
    </w:rPr>
  </w:style>
  <w:style w:type="paragraph" w:customStyle="1" w:styleId="TitleLCBold">
    <w:name w:val="Title LC Bold"/>
    <w:basedOn w:val="Normal"/>
    <w:next w:val="Normal"/>
    <w:uiPriority w:val="12"/>
    <w:qFormat/>
    <w:rsid w:val="00D05E0E"/>
    <w:pPr>
      <w:keepNext/>
      <w:jc w:val="left"/>
    </w:pPr>
  </w:style>
  <w:style w:type="paragraph" w:customStyle="1" w:styleId="TitleLCBoldItalic">
    <w:name w:val="Title LC Bold Italic"/>
    <w:basedOn w:val="Normal"/>
    <w:next w:val="Normal"/>
    <w:uiPriority w:val="12"/>
    <w:qFormat/>
    <w:rsid w:val="00D05E0E"/>
    <w:pPr>
      <w:keepNext/>
      <w:jc w:val="left"/>
    </w:pPr>
  </w:style>
  <w:style w:type="paragraph" w:customStyle="1" w:styleId="TitleLCBoldUnderlined">
    <w:name w:val="Title LC Bold Underlined"/>
    <w:basedOn w:val="Normal"/>
    <w:next w:val="Normal"/>
    <w:uiPriority w:val="12"/>
    <w:qFormat/>
    <w:rsid w:val="00D05E0E"/>
    <w:pPr>
      <w:keepNext/>
      <w:jc w:val="center"/>
    </w:pPr>
    <w:rPr>
      <w:b/>
      <w:u w:val="single"/>
    </w:rPr>
  </w:style>
  <w:style w:type="paragraph" w:customStyle="1" w:styleId="ListParagraph1inch">
    <w:name w:val="List Paragraph 1 inch"/>
    <w:basedOn w:val="Normal"/>
    <w:uiPriority w:val="9"/>
    <w:qFormat/>
    <w:rsid w:val="00585A66"/>
    <w:pPr>
      <w:ind w:left="1440"/>
    </w:pPr>
  </w:style>
  <w:style w:type="paragraph" w:styleId="ListParagraph">
    <w:name w:val="List Paragraph"/>
    <w:basedOn w:val="Normal"/>
    <w:link w:val="ListParagraphChar"/>
    <w:uiPriority w:val="34"/>
    <w:qFormat/>
    <w:rsid w:val="00585A66"/>
    <w:pPr>
      <w:ind w:left="720"/>
    </w:pPr>
  </w:style>
  <w:style w:type="paragraph" w:customStyle="1" w:styleId="DoubleIndent">
    <w:name w:val="Double Indent"/>
    <w:basedOn w:val="Normal"/>
    <w:next w:val="Normal"/>
    <w:uiPriority w:val="11"/>
    <w:qFormat/>
    <w:rsid w:val="00A34441"/>
    <w:pPr>
      <w:ind w:left="720"/>
    </w:pPr>
  </w:style>
  <w:style w:type="paragraph" w:customStyle="1" w:styleId="DoubleIndent1inch">
    <w:name w:val="Double Indent 1 inch"/>
    <w:basedOn w:val="Normal"/>
    <w:next w:val="Normal"/>
    <w:uiPriority w:val="11"/>
    <w:qFormat/>
    <w:rsid w:val="00585A66"/>
    <w:pPr>
      <w:ind w:left="1440" w:right="1440"/>
    </w:pPr>
  </w:style>
  <w:style w:type="character" w:customStyle="1" w:styleId="StrongUnderline">
    <w:name w:val="Strong Underline"/>
    <w:basedOn w:val="DefaultParagraphFont"/>
    <w:uiPriority w:val="13"/>
    <w:qFormat/>
    <w:rsid w:val="00B95A75"/>
    <w:rPr>
      <w:b/>
      <w:u w:val="single"/>
    </w:rPr>
  </w:style>
  <w:style w:type="character" w:customStyle="1" w:styleId="StrongEmphasis">
    <w:name w:val="Strong Emphasis"/>
    <w:basedOn w:val="DefaultParagraphFont"/>
    <w:uiPriority w:val="13"/>
    <w:qFormat/>
    <w:rsid w:val="00B95A75"/>
    <w:rPr>
      <w:b/>
      <w:i/>
      <w:u w:val="none"/>
    </w:rPr>
  </w:style>
  <w:style w:type="paragraph" w:customStyle="1" w:styleId="HalfSpacing">
    <w:name w:val="Half Spacing"/>
    <w:basedOn w:val="Normal"/>
    <w:uiPriority w:val="1"/>
    <w:qFormat/>
    <w:rsid w:val="0072373F"/>
    <w:pPr>
      <w:spacing w:before="60" w:after="120"/>
    </w:pPr>
  </w:style>
  <w:style w:type="paragraph" w:customStyle="1" w:styleId="Citation">
    <w:name w:val="Citation"/>
    <w:basedOn w:val="Normal"/>
    <w:uiPriority w:val="11"/>
    <w:qFormat/>
    <w:rsid w:val="0072373F"/>
    <w:pPr>
      <w:spacing w:before="120"/>
      <w:ind w:left="1440" w:right="1440"/>
      <w:contextualSpacing/>
    </w:pPr>
    <w:rPr>
      <w:sz w:val="20"/>
    </w:rPr>
  </w:style>
  <w:style w:type="paragraph" w:customStyle="1" w:styleId="IndentFirstLine">
    <w:name w:val="Indent First Line"/>
    <w:basedOn w:val="Normal"/>
    <w:next w:val="Normal"/>
    <w:uiPriority w:val="10"/>
    <w:qFormat/>
    <w:rsid w:val="0056445E"/>
    <w:pPr>
      <w:ind w:firstLine="720"/>
    </w:pPr>
  </w:style>
  <w:style w:type="paragraph" w:customStyle="1" w:styleId="IndentFirstLine1Inch">
    <w:name w:val="Indent First Line 1 Inch"/>
    <w:basedOn w:val="Normal"/>
    <w:next w:val="Normal"/>
    <w:uiPriority w:val="10"/>
    <w:qFormat/>
    <w:rsid w:val="0056445E"/>
    <w:pPr>
      <w:ind w:firstLine="1440"/>
    </w:pPr>
  </w:style>
  <w:style w:type="paragraph" w:styleId="NoSpacing">
    <w:name w:val="No Spacing"/>
    <w:uiPriority w:val="2"/>
    <w:qFormat/>
    <w:rsid w:val="002C0ED8"/>
    <w:pPr>
      <w:spacing w:after="0" w:line="240" w:lineRule="auto"/>
      <w:jc w:val="both"/>
    </w:pPr>
    <w:rPr>
      <w:rFonts w:ascii="Times New Roman" w:hAnsi="Times New Roman"/>
      <w:sz w:val="24"/>
    </w:rPr>
  </w:style>
  <w:style w:type="paragraph" w:styleId="Header">
    <w:name w:val="header"/>
    <w:basedOn w:val="Normal"/>
    <w:link w:val="HeaderChar"/>
    <w:uiPriority w:val="99"/>
    <w:unhideWhenUsed/>
    <w:rsid w:val="008034B4"/>
    <w:pPr>
      <w:tabs>
        <w:tab w:val="center" w:pos="4680"/>
        <w:tab w:val="right" w:pos="9360"/>
      </w:tabs>
      <w:spacing w:after="0"/>
    </w:pPr>
  </w:style>
  <w:style w:type="character" w:customStyle="1" w:styleId="HeaderChar">
    <w:name w:val="Header Char"/>
    <w:basedOn w:val="DefaultParagraphFont"/>
    <w:link w:val="Header"/>
    <w:uiPriority w:val="99"/>
    <w:rsid w:val="008034B4"/>
    <w:rPr>
      <w:rFonts w:ascii="Times New Roman" w:hAnsi="Times New Roman"/>
      <w:sz w:val="24"/>
    </w:rPr>
  </w:style>
  <w:style w:type="paragraph" w:styleId="Footer">
    <w:name w:val="footer"/>
    <w:basedOn w:val="Normal"/>
    <w:link w:val="FooterChar"/>
    <w:uiPriority w:val="99"/>
    <w:unhideWhenUsed/>
    <w:rsid w:val="008034B4"/>
    <w:pPr>
      <w:tabs>
        <w:tab w:val="center" w:pos="4680"/>
        <w:tab w:val="right" w:pos="9360"/>
      </w:tabs>
      <w:spacing w:after="0"/>
    </w:pPr>
  </w:style>
  <w:style w:type="character" w:customStyle="1" w:styleId="FooterChar">
    <w:name w:val="Footer Char"/>
    <w:basedOn w:val="DefaultParagraphFont"/>
    <w:link w:val="Footer"/>
    <w:uiPriority w:val="99"/>
    <w:rsid w:val="008034B4"/>
    <w:rPr>
      <w:rFonts w:ascii="Times New Roman" w:hAnsi="Times New Roman"/>
      <w:sz w:val="24"/>
    </w:rPr>
  </w:style>
  <w:style w:type="character" w:customStyle="1" w:styleId="Heading1Char">
    <w:name w:val="Heading 1 Char"/>
    <w:basedOn w:val="DefaultParagraphFont"/>
    <w:link w:val="Heading1"/>
    <w:uiPriority w:val="9"/>
    <w:rsid w:val="00D05E0E"/>
    <w:rPr>
      <w:rFonts w:ascii="Times New Roman" w:eastAsiaTheme="majorEastAsia" w:hAnsi="Times New Roman" w:cs="Times New Roman"/>
      <w:b/>
      <w:bCs/>
      <w:color w:val="000000"/>
      <w:sz w:val="24"/>
      <w:szCs w:val="28"/>
      <w:u w:val="single"/>
    </w:rPr>
  </w:style>
  <w:style w:type="character" w:customStyle="1" w:styleId="Heading2Char">
    <w:name w:val="Heading 2 Char"/>
    <w:basedOn w:val="DefaultParagraphFont"/>
    <w:link w:val="Heading2"/>
    <w:uiPriority w:val="9"/>
    <w:rsid w:val="0020621E"/>
    <w:rPr>
      <w:rFonts w:ascii="Times New Roman" w:eastAsiaTheme="majorEastAsia" w:hAnsi="Times New Roman" w:cs="Times New Roman"/>
      <w:bCs/>
      <w:color w:val="000000"/>
      <w:sz w:val="24"/>
      <w:szCs w:val="26"/>
    </w:rPr>
  </w:style>
  <w:style w:type="character" w:customStyle="1" w:styleId="Heading3Char">
    <w:name w:val="Heading 3 Char"/>
    <w:basedOn w:val="DefaultParagraphFont"/>
    <w:link w:val="Heading3"/>
    <w:uiPriority w:val="9"/>
    <w:rsid w:val="00D05E0E"/>
    <w:rPr>
      <w:rFonts w:ascii="Times New Roman" w:eastAsiaTheme="majorEastAsia" w:hAnsi="Times New Roman" w:cs="Times New Roman"/>
      <w:bCs/>
      <w:color w:val="000000"/>
      <w:sz w:val="24"/>
    </w:rPr>
  </w:style>
  <w:style w:type="character" w:customStyle="1" w:styleId="Heading4Char">
    <w:name w:val="Heading 4 Char"/>
    <w:basedOn w:val="DefaultParagraphFont"/>
    <w:link w:val="Heading4"/>
    <w:uiPriority w:val="9"/>
    <w:rsid w:val="008034B4"/>
    <w:rPr>
      <w:rFonts w:ascii="Times New Roman" w:eastAsiaTheme="majorEastAsia" w:hAnsi="Times New Roman" w:cs="Times New Roman"/>
      <w:bCs/>
      <w:iCs/>
      <w:color w:val="000000"/>
      <w:sz w:val="24"/>
    </w:rPr>
  </w:style>
  <w:style w:type="character" w:customStyle="1" w:styleId="Heading5Char">
    <w:name w:val="Heading 5 Char"/>
    <w:basedOn w:val="DefaultParagraphFont"/>
    <w:link w:val="Heading5"/>
    <w:uiPriority w:val="9"/>
    <w:rsid w:val="008034B4"/>
    <w:rPr>
      <w:rFonts w:ascii="Times New Roman" w:eastAsiaTheme="majorEastAsia" w:hAnsi="Times New Roman" w:cs="Times New Roman"/>
      <w:color w:val="000000"/>
      <w:sz w:val="24"/>
    </w:rPr>
  </w:style>
  <w:style w:type="character" w:customStyle="1" w:styleId="Heading6Char">
    <w:name w:val="Heading 6 Char"/>
    <w:basedOn w:val="DefaultParagraphFont"/>
    <w:link w:val="Heading6"/>
    <w:uiPriority w:val="9"/>
    <w:rsid w:val="008034B4"/>
    <w:rPr>
      <w:rFonts w:ascii="Times New Roman" w:eastAsiaTheme="majorEastAsia" w:hAnsi="Times New Roman" w:cs="Times New Roman"/>
      <w:iCs/>
      <w:color w:val="000000"/>
      <w:sz w:val="24"/>
    </w:rPr>
  </w:style>
  <w:style w:type="character" w:customStyle="1" w:styleId="Heading7Char">
    <w:name w:val="Heading 7 Char"/>
    <w:basedOn w:val="DefaultParagraphFont"/>
    <w:link w:val="Heading7"/>
    <w:uiPriority w:val="9"/>
    <w:rsid w:val="008034B4"/>
    <w:rPr>
      <w:rFonts w:ascii="Times New Roman" w:eastAsiaTheme="majorEastAsia" w:hAnsi="Times New Roman" w:cs="Times New Roman"/>
      <w:iCs/>
      <w:color w:val="000000"/>
      <w:sz w:val="24"/>
    </w:rPr>
  </w:style>
  <w:style w:type="character" w:customStyle="1" w:styleId="Heading8Char">
    <w:name w:val="Heading 8 Char"/>
    <w:basedOn w:val="DefaultParagraphFont"/>
    <w:link w:val="Heading8"/>
    <w:uiPriority w:val="9"/>
    <w:semiHidden/>
    <w:rsid w:val="008034B4"/>
    <w:rPr>
      <w:rFonts w:ascii="Times New Roman" w:eastAsiaTheme="majorEastAsia" w:hAnsi="Times New Roman" w:cs="Times New Roman"/>
      <w:color w:val="000000"/>
      <w:sz w:val="24"/>
      <w:szCs w:val="20"/>
    </w:rPr>
  </w:style>
  <w:style w:type="character" w:customStyle="1" w:styleId="Heading9Char">
    <w:name w:val="Heading 9 Char"/>
    <w:basedOn w:val="DefaultParagraphFont"/>
    <w:link w:val="Heading9"/>
    <w:uiPriority w:val="9"/>
    <w:semiHidden/>
    <w:rsid w:val="008034B4"/>
    <w:rPr>
      <w:rFonts w:ascii="Times New Roman" w:eastAsiaTheme="majorEastAsia" w:hAnsi="Times New Roman" w:cs="Times New Roman"/>
      <w:iCs/>
      <w:color w:val="000000"/>
      <w:sz w:val="24"/>
      <w:szCs w:val="20"/>
    </w:rPr>
  </w:style>
  <w:style w:type="paragraph" w:customStyle="1" w:styleId="HeadingBold">
    <w:name w:val="Heading Bold"/>
    <w:basedOn w:val="Normal"/>
    <w:qFormat/>
    <w:rsid w:val="00E662FC"/>
    <w:rPr>
      <w:b/>
    </w:rPr>
  </w:style>
  <w:style w:type="paragraph" w:styleId="BalloonText">
    <w:name w:val="Balloon Text"/>
    <w:basedOn w:val="Normal"/>
    <w:link w:val="BalloonTextChar"/>
    <w:uiPriority w:val="99"/>
    <w:semiHidden/>
    <w:unhideWhenUsed/>
    <w:rsid w:val="00AC5B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5BA9"/>
    <w:rPr>
      <w:rFonts w:ascii="Tahoma" w:hAnsi="Tahoma" w:cs="Tahoma"/>
      <w:sz w:val="16"/>
      <w:szCs w:val="16"/>
    </w:rPr>
  </w:style>
  <w:style w:type="table" w:styleId="TableGrid">
    <w:name w:val="Table Grid"/>
    <w:basedOn w:val="TableNormal"/>
    <w:uiPriority w:val="59"/>
    <w:rsid w:val="00F73B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F123C9"/>
    <w:pPr>
      <w:spacing w:before="120" w:after="0" w:line="240" w:lineRule="auto"/>
    </w:pPr>
  </w:style>
  <w:style w:type="paragraph" w:styleId="TOC2">
    <w:name w:val="toc 2"/>
    <w:basedOn w:val="Normal"/>
    <w:next w:val="Normal"/>
    <w:autoRedefine/>
    <w:uiPriority w:val="39"/>
    <w:unhideWhenUsed/>
    <w:rsid w:val="00F123C9"/>
    <w:pPr>
      <w:tabs>
        <w:tab w:val="right" w:leader="dot" w:pos="9350"/>
      </w:tabs>
      <w:spacing w:after="0" w:line="240" w:lineRule="auto"/>
      <w:ind w:left="245"/>
    </w:pPr>
  </w:style>
  <w:style w:type="paragraph" w:styleId="TOC3">
    <w:name w:val="toc 3"/>
    <w:basedOn w:val="Normal"/>
    <w:next w:val="Normal"/>
    <w:autoRedefine/>
    <w:uiPriority w:val="39"/>
    <w:unhideWhenUsed/>
    <w:rsid w:val="00F123C9"/>
    <w:pPr>
      <w:spacing w:after="100" w:line="276" w:lineRule="auto"/>
      <w:ind w:left="440"/>
      <w:jc w:val="left"/>
    </w:pPr>
    <w:rPr>
      <w:rFonts w:asciiTheme="minorHAnsi" w:eastAsiaTheme="minorEastAsia" w:hAnsiTheme="minorHAnsi"/>
      <w:sz w:val="22"/>
      <w:lang w:eastAsia="en-CA"/>
    </w:rPr>
  </w:style>
  <w:style w:type="paragraph" w:styleId="TOC4">
    <w:name w:val="toc 4"/>
    <w:basedOn w:val="Normal"/>
    <w:next w:val="Normal"/>
    <w:autoRedefine/>
    <w:uiPriority w:val="39"/>
    <w:unhideWhenUsed/>
    <w:rsid w:val="00F123C9"/>
    <w:pPr>
      <w:spacing w:after="100" w:line="276" w:lineRule="auto"/>
      <w:ind w:left="660"/>
      <w:jc w:val="left"/>
    </w:pPr>
    <w:rPr>
      <w:rFonts w:asciiTheme="minorHAnsi" w:eastAsiaTheme="minorEastAsia" w:hAnsiTheme="minorHAnsi"/>
      <w:sz w:val="22"/>
      <w:lang w:eastAsia="en-CA"/>
    </w:rPr>
  </w:style>
  <w:style w:type="paragraph" w:styleId="TOC5">
    <w:name w:val="toc 5"/>
    <w:basedOn w:val="Normal"/>
    <w:next w:val="Normal"/>
    <w:autoRedefine/>
    <w:uiPriority w:val="39"/>
    <w:unhideWhenUsed/>
    <w:rsid w:val="00F123C9"/>
    <w:pPr>
      <w:spacing w:after="100" w:line="276" w:lineRule="auto"/>
      <w:ind w:left="880"/>
      <w:jc w:val="left"/>
    </w:pPr>
    <w:rPr>
      <w:rFonts w:asciiTheme="minorHAnsi" w:eastAsiaTheme="minorEastAsia" w:hAnsiTheme="minorHAnsi"/>
      <w:sz w:val="22"/>
      <w:lang w:eastAsia="en-CA"/>
    </w:rPr>
  </w:style>
  <w:style w:type="paragraph" w:styleId="TOC6">
    <w:name w:val="toc 6"/>
    <w:basedOn w:val="Normal"/>
    <w:next w:val="Normal"/>
    <w:autoRedefine/>
    <w:uiPriority w:val="39"/>
    <w:unhideWhenUsed/>
    <w:rsid w:val="00F123C9"/>
    <w:pPr>
      <w:spacing w:after="100" w:line="276" w:lineRule="auto"/>
      <w:ind w:left="1100"/>
      <w:jc w:val="left"/>
    </w:pPr>
    <w:rPr>
      <w:rFonts w:asciiTheme="minorHAnsi" w:eastAsiaTheme="minorEastAsia" w:hAnsiTheme="minorHAnsi"/>
      <w:sz w:val="22"/>
      <w:lang w:eastAsia="en-CA"/>
    </w:rPr>
  </w:style>
  <w:style w:type="paragraph" w:styleId="TOC7">
    <w:name w:val="toc 7"/>
    <w:basedOn w:val="Normal"/>
    <w:next w:val="Normal"/>
    <w:autoRedefine/>
    <w:uiPriority w:val="39"/>
    <w:unhideWhenUsed/>
    <w:rsid w:val="00F123C9"/>
    <w:pPr>
      <w:spacing w:after="100" w:line="276" w:lineRule="auto"/>
      <w:ind w:left="1320"/>
      <w:jc w:val="left"/>
    </w:pPr>
    <w:rPr>
      <w:rFonts w:asciiTheme="minorHAnsi" w:eastAsiaTheme="minorEastAsia" w:hAnsiTheme="minorHAnsi"/>
      <w:sz w:val="22"/>
      <w:lang w:eastAsia="en-CA"/>
    </w:rPr>
  </w:style>
  <w:style w:type="paragraph" w:styleId="TOC8">
    <w:name w:val="toc 8"/>
    <w:basedOn w:val="Normal"/>
    <w:next w:val="Normal"/>
    <w:autoRedefine/>
    <w:uiPriority w:val="39"/>
    <w:unhideWhenUsed/>
    <w:rsid w:val="00F123C9"/>
    <w:pPr>
      <w:spacing w:after="100" w:line="276" w:lineRule="auto"/>
      <w:ind w:left="1540"/>
      <w:jc w:val="left"/>
    </w:pPr>
    <w:rPr>
      <w:rFonts w:asciiTheme="minorHAnsi" w:eastAsiaTheme="minorEastAsia" w:hAnsiTheme="minorHAnsi"/>
      <w:sz w:val="22"/>
      <w:lang w:eastAsia="en-CA"/>
    </w:rPr>
  </w:style>
  <w:style w:type="paragraph" w:styleId="TOC9">
    <w:name w:val="toc 9"/>
    <w:basedOn w:val="Normal"/>
    <w:next w:val="Normal"/>
    <w:autoRedefine/>
    <w:uiPriority w:val="39"/>
    <w:unhideWhenUsed/>
    <w:rsid w:val="00F123C9"/>
    <w:pPr>
      <w:spacing w:after="100" w:line="276" w:lineRule="auto"/>
      <w:ind w:left="1760"/>
      <w:jc w:val="left"/>
    </w:pPr>
    <w:rPr>
      <w:rFonts w:asciiTheme="minorHAnsi" w:eastAsiaTheme="minorEastAsia" w:hAnsiTheme="minorHAnsi"/>
      <w:sz w:val="22"/>
      <w:lang w:eastAsia="en-CA"/>
    </w:rPr>
  </w:style>
  <w:style w:type="character" w:styleId="Hyperlink">
    <w:name w:val="Hyperlink"/>
    <w:basedOn w:val="DefaultParagraphFont"/>
    <w:uiPriority w:val="99"/>
    <w:unhideWhenUsed/>
    <w:rsid w:val="00F123C9"/>
    <w:rPr>
      <w:color w:val="000000" w:themeColor="hyperlink"/>
      <w:u w:val="single"/>
    </w:rPr>
  </w:style>
  <w:style w:type="character" w:styleId="LineNumber">
    <w:name w:val="line number"/>
    <w:basedOn w:val="DefaultParagraphFont"/>
    <w:uiPriority w:val="99"/>
    <w:semiHidden/>
    <w:unhideWhenUsed/>
    <w:rsid w:val="00795E65"/>
  </w:style>
  <w:style w:type="character" w:styleId="CommentReference">
    <w:name w:val="annotation reference"/>
    <w:basedOn w:val="DefaultParagraphFont"/>
    <w:uiPriority w:val="99"/>
    <w:semiHidden/>
    <w:unhideWhenUsed/>
    <w:rsid w:val="0017004E"/>
    <w:rPr>
      <w:sz w:val="16"/>
      <w:szCs w:val="16"/>
    </w:rPr>
  </w:style>
  <w:style w:type="paragraph" w:styleId="CommentText">
    <w:name w:val="annotation text"/>
    <w:basedOn w:val="Normal"/>
    <w:link w:val="CommentTextChar"/>
    <w:uiPriority w:val="99"/>
    <w:semiHidden/>
    <w:unhideWhenUsed/>
    <w:rsid w:val="0017004E"/>
    <w:pPr>
      <w:spacing w:line="240" w:lineRule="auto"/>
    </w:pPr>
    <w:rPr>
      <w:sz w:val="20"/>
      <w:szCs w:val="20"/>
    </w:rPr>
  </w:style>
  <w:style w:type="character" w:customStyle="1" w:styleId="CommentTextChar">
    <w:name w:val="Comment Text Char"/>
    <w:basedOn w:val="DefaultParagraphFont"/>
    <w:link w:val="CommentText"/>
    <w:uiPriority w:val="99"/>
    <w:semiHidden/>
    <w:rsid w:val="0017004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17004E"/>
    <w:rPr>
      <w:b/>
      <w:bCs/>
    </w:rPr>
  </w:style>
  <w:style w:type="character" w:customStyle="1" w:styleId="CommentSubjectChar">
    <w:name w:val="Comment Subject Char"/>
    <w:basedOn w:val="CommentTextChar"/>
    <w:link w:val="CommentSubject"/>
    <w:uiPriority w:val="99"/>
    <w:semiHidden/>
    <w:rsid w:val="0017004E"/>
    <w:rPr>
      <w:rFonts w:ascii="Times New Roman" w:hAnsi="Times New Roman"/>
      <w:b/>
      <w:bCs/>
      <w:sz w:val="20"/>
      <w:szCs w:val="20"/>
    </w:rPr>
  </w:style>
  <w:style w:type="paragraph" w:customStyle="1" w:styleId="TableParagraph">
    <w:name w:val="Table Paragraph"/>
    <w:basedOn w:val="Normal"/>
    <w:uiPriority w:val="1"/>
    <w:qFormat/>
    <w:rsid w:val="00192936"/>
    <w:pPr>
      <w:widowControl w:val="0"/>
      <w:spacing w:after="0" w:line="240" w:lineRule="auto"/>
      <w:jc w:val="left"/>
    </w:pPr>
    <w:rPr>
      <w:rFonts w:asciiTheme="minorHAnsi" w:eastAsia="Times New Roman" w:hAnsiTheme="minorHAnsi" w:cs="Times New Roman"/>
      <w:sz w:val="22"/>
      <w:lang w:val="en-US"/>
    </w:rPr>
  </w:style>
  <w:style w:type="paragraph" w:styleId="BodyText">
    <w:name w:val="Body Text"/>
    <w:basedOn w:val="Normal"/>
    <w:link w:val="BodyTextChar"/>
    <w:uiPriority w:val="1"/>
    <w:qFormat/>
    <w:rsid w:val="00192936"/>
    <w:pPr>
      <w:widowControl w:val="0"/>
      <w:spacing w:after="0" w:line="240" w:lineRule="auto"/>
      <w:ind w:left="100"/>
      <w:jc w:val="left"/>
    </w:pPr>
    <w:rPr>
      <w:rFonts w:eastAsia="Times New Roman" w:cs="Times New Roman"/>
      <w:sz w:val="22"/>
      <w:lang w:val="en-US"/>
    </w:rPr>
  </w:style>
  <w:style w:type="character" w:customStyle="1" w:styleId="BodyTextChar">
    <w:name w:val="Body Text Char"/>
    <w:basedOn w:val="DefaultParagraphFont"/>
    <w:link w:val="BodyText"/>
    <w:uiPriority w:val="1"/>
    <w:rsid w:val="00192936"/>
    <w:rPr>
      <w:rFonts w:ascii="Times New Roman" w:eastAsia="Times New Roman" w:hAnsi="Times New Roman" w:cs="Times New Roman"/>
      <w:lang w:val="en-US"/>
    </w:rPr>
  </w:style>
  <w:style w:type="table" w:customStyle="1" w:styleId="TableGrid1">
    <w:name w:val="Table Grid1"/>
    <w:basedOn w:val="TableNormal"/>
    <w:next w:val="TableGrid"/>
    <w:uiPriority w:val="59"/>
    <w:rsid w:val="00666B2D"/>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E8290C"/>
    <w:rPr>
      <w:rFonts w:ascii="Times New Roman" w:hAnsi="Times New Roman"/>
      <w:sz w:val="24"/>
    </w:rPr>
  </w:style>
  <w:style w:type="paragraph" w:styleId="Revision">
    <w:name w:val="Revision"/>
    <w:hidden/>
    <w:uiPriority w:val="99"/>
    <w:semiHidden/>
    <w:rsid w:val="00CA04AE"/>
    <w:pPr>
      <w:spacing w:after="0" w:line="240" w:lineRule="auto"/>
    </w:pPr>
    <w:rPr>
      <w:rFonts w:ascii="Times New Roman" w:hAnsi="Times New Roman"/>
      <w:sz w:val="24"/>
    </w:rPr>
  </w:style>
  <w:style w:type="character" w:styleId="FollowedHyperlink">
    <w:name w:val="FollowedHyperlink"/>
    <w:basedOn w:val="DefaultParagraphFont"/>
    <w:uiPriority w:val="99"/>
    <w:semiHidden/>
    <w:unhideWhenUsed/>
    <w:rsid w:val="004F6969"/>
    <w:rPr>
      <w:color w:val="000000" w:themeColor="followedHyperlink"/>
      <w:u w:val="single"/>
    </w:rPr>
  </w:style>
  <w:style w:type="paragraph" w:styleId="FootnoteText">
    <w:name w:val="footnote text"/>
    <w:basedOn w:val="Normal"/>
    <w:link w:val="FootnoteTextChar"/>
    <w:uiPriority w:val="99"/>
    <w:semiHidden/>
    <w:unhideWhenUsed/>
    <w:rsid w:val="00A004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04C2"/>
    <w:rPr>
      <w:rFonts w:ascii="Times New Roman" w:hAnsi="Times New Roman"/>
      <w:sz w:val="20"/>
      <w:szCs w:val="20"/>
    </w:rPr>
  </w:style>
  <w:style w:type="character" w:styleId="FootnoteReference">
    <w:name w:val="footnote reference"/>
    <w:basedOn w:val="DefaultParagraphFont"/>
    <w:uiPriority w:val="99"/>
    <w:semiHidden/>
    <w:unhideWhenUsed/>
    <w:rsid w:val="00A004C2"/>
    <w:rPr>
      <w:vertAlign w:val="superscript"/>
    </w:rPr>
  </w:style>
  <w:style w:type="paragraph" w:customStyle="1" w:styleId="NewTOCHeading">
    <w:name w:val="New TOC Heading"/>
    <w:basedOn w:val="Heading1"/>
    <w:qFormat/>
    <w:rsid w:val="004709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721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eader" Target="header3.xml"/><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2.emf"/><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image" Target="media/image14.emf"/><Relationship Id="rId33" Type="http://schemas.openxmlformats.org/officeDocument/2006/relationships/image" Target="media/image21.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3.emf"/><Relationship Id="rId32" Type="http://schemas.openxmlformats.org/officeDocument/2006/relationships/image" Target="media/image20.emf"/><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emf"/><Relationship Id="rId28" Type="http://schemas.openxmlformats.org/officeDocument/2006/relationships/header" Target="header4.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emf"/><Relationship Id="rId31" Type="http://schemas.openxmlformats.org/officeDocument/2006/relationships/image" Target="media/image19.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8.emf"/><Relationship Id="rId35" Type="http://schemas.openxmlformats.org/officeDocument/2006/relationships/fontTable" Target="fontTable.xml"/></Relationships>
</file>

<file path=word/theme/theme1.xml><?xml version="1.0" encoding="utf-8"?>
<a:theme xmlns:a="http://schemas.openxmlformats.org/drawingml/2006/main" name="BLG - Times New Roman - Black and White">
  <a:themeElements>
    <a:clrScheme name="Black">
      <a:dk1>
        <a:sysClr val="windowText" lastClr="000000"/>
      </a:dk1>
      <a:lt1>
        <a:sysClr val="window" lastClr="FFFFFF"/>
      </a:lt1>
      <a:dk2>
        <a:srgbClr val="000000"/>
      </a:dk2>
      <a:lt2>
        <a:srgbClr val="FFFFFF"/>
      </a:lt2>
      <a:accent1>
        <a:srgbClr val="000000"/>
      </a:accent1>
      <a:accent2>
        <a:srgbClr val="000000"/>
      </a:accent2>
      <a:accent3>
        <a:srgbClr val="000000"/>
      </a:accent3>
      <a:accent4>
        <a:srgbClr val="000000"/>
      </a:accent4>
      <a:accent5>
        <a:srgbClr val="000000"/>
      </a:accent5>
      <a:accent6>
        <a:srgbClr val="000000"/>
      </a:accent6>
      <a:hlink>
        <a:srgbClr val="000000"/>
      </a:hlink>
      <a:folHlink>
        <a:srgbClr val="000000"/>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CFC84-8AB3-47F9-BD10-0DE61700C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3933</Words>
  <Characters>22421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2015-05-13T21:11:00Z</cp:lastPrinted>
  <dcterms:created xsi:type="dcterms:W3CDTF">2015-05-13T21:16:00Z</dcterms:created>
  <dcterms:modified xsi:type="dcterms:W3CDTF">2015-05-13T22:32:00Z</dcterms:modified>
</cp:coreProperties>
</file>