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90E" w:rsidRDefault="00733657">
      <w:pPr>
        <w:rPr>
          <w:rFonts w:ascii="Arial Black" w:hAnsi="Arial Black" w:cs="Arial"/>
          <w:sz w:val="28"/>
          <w:szCs w:val="28"/>
        </w:rPr>
      </w:pPr>
      <w:r>
        <w:rPr>
          <w:rFonts w:ascii="Arial Black" w:hAnsi="Arial Black" w:cs="Arial"/>
          <w:sz w:val="28"/>
          <w:szCs w:val="28"/>
        </w:rPr>
        <w:t xml:space="preserve">Comments on EB-2015-0043, Rate Design for </w:t>
      </w:r>
      <w:proofErr w:type="gramStart"/>
      <w:r>
        <w:rPr>
          <w:rFonts w:ascii="Arial Black" w:hAnsi="Arial Black" w:cs="Arial"/>
          <w:sz w:val="28"/>
          <w:szCs w:val="28"/>
        </w:rPr>
        <w:t>C/I</w:t>
      </w:r>
      <w:proofErr w:type="gramEnd"/>
      <w:r>
        <w:rPr>
          <w:rFonts w:ascii="Arial Black" w:hAnsi="Arial Black" w:cs="Arial"/>
          <w:sz w:val="28"/>
          <w:szCs w:val="28"/>
        </w:rPr>
        <w:t xml:space="preserve"> Customers</w:t>
      </w:r>
    </w:p>
    <w:p w:rsidR="00733657" w:rsidRDefault="00733657">
      <w:pPr>
        <w:rPr>
          <w:rFonts w:ascii="Arial Black" w:hAnsi="Arial Black" w:cs="Arial"/>
          <w:sz w:val="28"/>
          <w:szCs w:val="28"/>
        </w:rPr>
      </w:pPr>
    </w:p>
    <w:p w:rsidR="00733657" w:rsidRDefault="00733657">
      <w:pPr>
        <w:rPr>
          <w:rFonts w:ascii="Arial Black" w:hAnsi="Arial Black" w:cs="Arial"/>
          <w:sz w:val="28"/>
          <w:szCs w:val="28"/>
        </w:rPr>
      </w:pPr>
      <w:r>
        <w:rPr>
          <w:rFonts w:ascii="Arial Black" w:hAnsi="Arial Black" w:cs="Arial"/>
          <w:sz w:val="28"/>
          <w:szCs w:val="28"/>
        </w:rPr>
        <w:t>General Comments</w:t>
      </w:r>
    </w:p>
    <w:p w:rsidR="00733657" w:rsidRDefault="00733657">
      <w:pPr>
        <w:rPr>
          <w:rFonts w:ascii="Arial Black" w:hAnsi="Arial Black" w:cs="Arial"/>
          <w:sz w:val="28"/>
          <w:szCs w:val="28"/>
        </w:rPr>
      </w:pPr>
    </w:p>
    <w:p w:rsidR="00733657" w:rsidRDefault="00733657">
      <w:pPr>
        <w:rPr>
          <w:rFonts w:ascii="Arial" w:hAnsi="Arial" w:cs="Arial"/>
          <w:sz w:val="24"/>
          <w:szCs w:val="24"/>
        </w:rPr>
      </w:pPr>
      <w:r>
        <w:rPr>
          <w:rFonts w:ascii="Arial" w:hAnsi="Arial" w:cs="Arial"/>
          <w:sz w:val="24"/>
          <w:szCs w:val="24"/>
        </w:rPr>
        <w:t>The title of the proceeding is incorrect as there is no C/I customer class in any of the regulated LDCs. C/I should be changed to GS or General Service to reflect long approved OEB rate classes.</w:t>
      </w:r>
    </w:p>
    <w:p w:rsidR="00F21F63" w:rsidRDefault="00F21F63">
      <w:pPr>
        <w:rPr>
          <w:rFonts w:ascii="Arial" w:hAnsi="Arial" w:cs="Arial"/>
          <w:sz w:val="24"/>
          <w:szCs w:val="24"/>
        </w:rPr>
      </w:pPr>
    </w:p>
    <w:p w:rsidR="00F21F63" w:rsidRDefault="00F21F63">
      <w:pPr>
        <w:rPr>
          <w:rFonts w:ascii="Arial" w:hAnsi="Arial" w:cs="Arial"/>
          <w:sz w:val="24"/>
          <w:szCs w:val="24"/>
        </w:rPr>
      </w:pPr>
      <w:r>
        <w:rPr>
          <w:rFonts w:ascii="Arial" w:hAnsi="Arial" w:cs="Arial"/>
          <w:sz w:val="24"/>
          <w:szCs w:val="24"/>
        </w:rPr>
        <w:t>This title and the restricted list of participants means that major non C/I customers have no representation.</w:t>
      </w:r>
    </w:p>
    <w:p w:rsidR="00C51B25" w:rsidRDefault="00C51B25">
      <w:pPr>
        <w:rPr>
          <w:rFonts w:ascii="Arial" w:hAnsi="Arial" w:cs="Arial"/>
          <w:sz w:val="24"/>
          <w:szCs w:val="24"/>
        </w:rPr>
      </w:pPr>
    </w:p>
    <w:p w:rsidR="00C51B25" w:rsidRDefault="00C51B25">
      <w:pPr>
        <w:rPr>
          <w:rFonts w:ascii="Arial" w:hAnsi="Arial" w:cs="Arial"/>
          <w:sz w:val="24"/>
          <w:szCs w:val="24"/>
        </w:rPr>
      </w:pPr>
      <w:r>
        <w:rPr>
          <w:rFonts w:ascii="Arial" w:hAnsi="Arial" w:cs="Arial"/>
          <w:sz w:val="24"/>
          <w:szCs w:val="24"/>
        </w:rPr>
        <w:t xml:space="preserve">The not so carefully hidden agenda in this proceeding has all the earmarks of introducing a 100% fixed rate design as was foisted on the residential class with no formal proceeding or opportunity to cross-examine </w:t>
      </w:r>
      <w:r w:rsidR="007762C4">
        <w:rPr>
          <w:rFonts w:ascii="Arial" w:hAnsi="Arial" w:cs="Arial"/>
          <w:sz w:val="24"/>
          <w:szCs w:val="24"/>
        </w:rPr>
        <w:t>board staff who devised it.</w:t>
      </w:r>
    </w:p>
    <w:p w:rsidR="00733657" w:rsidRDefault="00733657">
      <w:pPr>
        <w:rPr>
          <w:rFonts w:ascii="Arial" w:hAnsi="Arial" w:cs="Arial"/>
          <w:sz w:val="24"/>
          <w:szCs w:val="24"/>
        </w:rPr>
      </w:pPr>
    </w:p>
    <w:p w:rsidR="003459AB" w:rsidRDefault="00733657">
      <w:pPr>
        <w:rPr>
          <w:rFonts w:ascii="Arial" w:hAnsi="Arial" w:cs="Arial"/>
          <w:sz w:val="24"/>
          <w:szCs w:val="24"/>
        </w:rPr>
      </w:pPr>
      <w:r>
        <w:rPr>
          <w:rFonts w:ascii="Arial" w:hAnsi="Arial" w:cs="Arial"/>
          <w:sz w:val="24"/>
          <w:szCs w:val="24"/>
        </w:rPr>
        <w:t xml:space="preserve">In the </w:t>
      </w:r>
      <w:r w:rsidR="00F85D2F">
        <w:rPr>
          <w:rFonts w:ascii="Arial" w:hAnsi="Arial" w:cs="Arial"/>
          <w:sz w:val="24"/>
          <w:szCs w:val="24"/>
        </w:rPr>
        <w:t>Background</w:t>
      </w:r>
      <w:r w:rsidR="006E0EBC">
        <w:rPr>
          <w:rFonts w:ascii="Arial" w:hAnsi="Arial" w:cs="Arial"/>
          <w:sz w:val="24"/>
          <w:szCs w:val="24"/>
        </w:rPr>
        <w:t xml:space="preserve"> section</w:t>
      </w:r>
      <w:r w:rsidR="00F21F63">
        <w:rPr>
          <w:rFonts w:ascii="Arial" w:hAnsi="Arial" w:cs="Arial"/>
          <w:sz w:val="24"/>
          <w:szCs w:val="24"/>
        </w:rPr>
        <w:t xml:space="preserve">, </w:t>
      </w:r>
      <w:r>
        <w:rPr>
          <w:rFonts w:ascii="Arial" w:hAnsi="Arial" w:cs="Arial"/>
          <w:sz w:val="24"/>
          <w:szCs w:val="24"/>
        </w:rPr>
        <w:t>Board Staff state that</w:t>
      </w:r>
      <w:r w:rsidR="00F85D2F">
        <w:rPr>
          <w:rFonts w:ascii="Arial" w:hAnsi="Arial" w:cs="Arial"/>
          <w:sz w:val="24"/>
          <w:szCs w:val="24"/>
        </w:rPr>
        <w:t xml:space="preserve"> </w:t>
      </w:r>
      <w:r>
        <w:rPr>
          <w:rFonts w:ascii="Arial" w:hAnsi="Arial" w:cs="Arial"/>
          <w:sz w:val="24"/>
          <w:szCs w:val="24"/>
        </w:rPr>
        <w:t>“The nature of distribution systems ha</w:t>
      </w:r>
      <w:r w:rsidR="003459AB">
        <w:rPr>
          <w:rFonts w:ascii="Arial" w:hAnsi="Arial" w:cs="Arial"/>
          <w:sz w:val="24"/>
          <w:szCs w:val="24"/>
        </w:rPr>
        <w:t>s</w:t>
      </w:r>
      <w:r>
        <w:rPr>
          <w:rFonts w:ascii="Arial" w:hAnsi="Arial" w:cs="Arial"/>
          <w:sz w:val="24"/>
          <w:szCs w:val="24"/>
        </w:rPr>
        <w:t xml:space="preserve"> been changing for the past decade and will continue to change</w:t>
      </w:r>
      <w:r w:rsidR="003459AB">
        <w:rPr>
          <w:rFonts w:ascii="Arial" w:hAnsi="Arial" w:cs="Arial"/>
          <w:sz w:val="24"/>
          <w:szCs w:val="24"/>
        </w:rPr>
        <w:t>.”</w:t>
      </w:r>
    </w:p>
    <w:p w:rsidR="003459AB" w:rsidRDefault="003459AB">
      <w:pPr>
        <w:rPr>
          <w:rFonts w:ascii="Arial" w:hAnsi="Arial" w:cs="Arial"/>
          <w:sz w:val="24"/>
          <w:szCs w:val="24"/>
        </w:rPr>
      </w:pPr>
    </w:p>
    <w:p w:rsidR="007762C4" w:rsidRDefault="003459AB">
      <w:pPr>
        <w:rPr>
          <w:rFonts w:ascii="Arial" w:hAnsi="Arial" w:cs="Arial"/>
          <w:sz w:val="24"/>
          <w:szCs w:val="24"/>
        </w:rPr>
      </w:pPr>
      <w:r>
        <w:rPr>
          <w:rFonts w:ascii="Arial" w:hAnsi="Arial" w:cs="Arial"/>
          <w:sz w:val="24"/>
          <w:szCs w:val="24"/>
        </w:rPr>
        <w:t>This is certainly true but not for the reasons stated. New technology advancements over the last century have been adopted by LDCs. The connection of small hydro generators and customer co-generation to distribution systems goes back at least 100 years. Certainly the Green Energy Act accelerated that but it is not new.</w:t>
      </w:r>
      <w:r w:rsidR="00AA7848">
        <w:rPr>
          <w:rFonts w:ascii="Arial" w:hAnsi="Arial" w:cs="Arial"/>
          <w:sz w:val="24"/>
          <w:szCs w:val="24"/>
        </w:rPr>
        <w:t xml:space="preserve"> </w:t>
      </w:r>
    </w:p>
    <w:p w:rsidR="00733657" w:rsidRDefault="00AA7848">
      <w:pPr>
        <w:rPr>
          <w:rFonts w:ascii="Arial" w:hAnsi="Arial" w:cs="Arial"/>
          <w:sz w:val="24"/>
          <w:szCs w:val="24"/>
        </w:rPr>
      </w:pPr>
      <w:r>
        <w:rPr>
          <w:rFonts w:ascii="Arial" w:hAnsi="Arial" w:cs="Arial"/>
          <w:sz w:val="24"/>
          <w:szCs w:val="24"/>
        </w:rPr>
        <w:t>Guidelines adopted by the Institute of Electrical and Electronics Engineers (IEEE) if followed by Ontario LDCs, minimize or eliminate dangerous connection of Distributed generation (DG) to distribution systems. New rules requiring approval by the local LDC before construction starts have further reduced the chance of dangerous and disruptive connections.</w:t>
      </w:r>
    </w:p>
    <w:p w:rsidR="003459AB" w:rsidRDefault="003459AB">
      <w:pPr>
        <w:rPr>
          <w:rFonts w:ascii="Arial" w:hAnsi="Arial" w:cs="Arial"/>
          <w:sz w:val="24"/>
          <w:szCs w:val="24"/>
        </w:rPr>
      </w:pPr>
      <w:r>
        <w:rPr>
          <w:rFonts w:ascii="Arial" w:hAnsi="Arial" w:cs="Arial"/>
          <w:sz w:val="24"/>
          <w:szCs w:val="24"/>
        </w:rPr>
        <w:t xml:space="preserve">Hence there is no apparent need to change rate design principles </w:t>
      </w:r>
      <w:r w:rsidR="00AA7848">
        <w:rPr>
          <w:rFonts w:ascii="Arial" w:hAnsi="Arial" w:cs="Arial"/>
          <w:sz w:val="24"/>
          <w:szCs w:val="24"/>
        </w:rPr>
        <w:t xml:space="preserve">for reasons </w:t>
      </w:r>
      <w:r>
        <w:rPr>
          <w:rFonts w:ascii="Arial" w:hAnsi="Arial" w:cs="Arial"/>
          <w:sz w:val="24"/>
          <w:szCs w:val="24"/>
        </w:rPr>
        <w:t>at this stage</w:t>
      </w:r>
      <w:r w:rsidR="00AA7848">
        <w:rPr>
          <w:rFonts w:ascii="Arial" w:hAnsi="Arial" w:cs="Arial"/>
          <w:sz w:val="24"/>
          <w:szCs w:val="24"/>
        </w:rPr>
        <w:t xml:space="preserve"> due solely to DG</w:t>
      </w:r>
      <w:proofErr w:type="gramStart"/>
      <w:r w:rsidR="007762C4">
        <w:rPr>
          <w:rFonts w:ascii="Arial" w:hAnsi="Arial" w:cs="Arial"/>
          <w:sz w:val="24"/>
          <w:szCs w:val="24"/>
        </w:rPr>
        <w:t>.</w:t>
      </w:r>
      <w:r>
        <w:rPr>
          <w:rFonts w:ascii="Arial" w:hAnsi="Arial" w:cs="Arial"/>
          <w:sz w:val="24"/>
          <w:szCs w:val="24"/>
        </w:rPr>
        <w:t>.</w:t>
      </w:r>
      <w:proofErr w:type="gramEnd"/>
    </w:p>
    <w:p w:rsidR="00F85D2F" w:rsidRDefault="00F85D2F">
      <w:pPr>
        <w:rPr>
          <w:rFonts w:ascii="Arial" w:hAnsi="Arial" w:cs="Arial"/>
          <w:sz w:val="24"/>
          <w:szCs w:val="24"/>
        </w:rPr>
      </w:pPr>
    </w:p>
    <w:p w:rsidR="00F85D2F" w:rsidRDefault="00F85D2F">
      <w:pPr>
        <w:rPr>
          <w:rFonts w:ascii="Arial" w:hAnsi="Arial" w:cs="Arial"/>
          <w:sz w:val="24"/>
          <w:szCs w:val="24"/>
        </w:rPr>
      </w:pPr>
      <w:r>
        <w:rPr>
          <w:rFonts w:ascii="Arial" w:hAnsi="Arial" w:cs="Arial"/>
          <w:sz w:val="24"/>
          <w:szCs w:val="24"/>
        </w:rPr>
        <w:t xml:space="preserve">The current rate design originated with the OEB in its </w:t>
      </w:r>
      <w:r w:rsidR="00561054">
        <w:rPr>
          <w:rFonts w:ascii="Arial" w:hAnsi="Arial" w:cs="Arial"/>
          <w:sz w:val="24"/>
          <w:szCs w:val="24"/>
        </w:rPr>
        <w:t>first</w:t>
      </w:r>
      <w:r>
        <w:rPr>
          <w:rFonts w:ascii="Arial" w:hAnsi="Arial" w:cs="Arial"/>
          <w:sz w:val="24"/>
          <w:szCs w:val="24"/>
        </w:rPr>
        <w:t xml:space="preserve"> Distribution </w:t>
      </w:r>
      <w:r w:rsidR="00561054">
        <w:rPr>
          <w:rFonts w:ascii="Arial" w:hAnsi="Arial" w:cs="Arial"/>
          <w:sz w:val="24"/>
          <w:szCs w:val="24"/>
        </w:rPr>
        <w:t>Rates</w:t>
      </w:r>
      <w:r>
        <w:rPr>
          <w:rFonts w:ascii="Arial" w:hAnsi="Arial" w:cs="Arial"/>
          <w:sz w:val="24"/>
          <w:szCs w:val="24"/>
        </w:rPr>
        <w:t xml:space="preserve"> Handbook in which fixed </w:t>
      </w:r>
      <w:r w:rsidR="007762C4">
        <w:rPr>
          <w:rFonts w:ascii="Arial" w:hAnsi="Arial" w:cs="Arial"/>
          <w:sz w:val="24"/>
          <w:szCs w:val="24"/>
        </w:rPr>
        <w:t>charges</w:t>
      </w:r>
      <w:r>
        <w:rPr>
          <w:rFonts w:ascii="Arial" w:hAnsi="Arial" w:cs="Arial"/>
          <w:sz w:val="24"/>
          <w:szCs w:val="24"/>
        </w:rPr>
        <w:t xml:space="preserve"> were introduced for all customer classes</w:t>
      </w:r>
      <w:r w:rsidR="006B4961">
        <w:rPr>
          <w:rFonts w:ascii="Arial" w:hAnsi="Arial" w:cs="Arial"/>
          <w:sz w:val="24"/>
          <w:szCs w:val="24"/>
        </w:rPr>
        <w:t xml:space="preserve">. Without defining what should go into the fixed charge, </w:t>
      </w:r>
      <w:proofErr w:type="gramStart"/>
      <w:r w:rsidR="007762C4">
        <w:rPr>
          <w:rFonts w:ascii="Arial" w:hAnsi="Arial" w:cs="Arial"/>
          <w:sz w:val="24"/>
          <w:szCs w:val="24"/>
        </w:rPr>
        <w:t>T</w:t>
      </w:r>
      <w:r w:rsidR="006B4961">
        <w:rPr>
          <w:rFonts w:ascii="Arial" w:hAnsi="Arial" w:cs="Arial"/>
          <w:sz w:val="24"/>
          <w:szCs w:val="24"/>
        </w:rPr>
        <w:t>he</w:t>
      </w:r>
      <w:proofErr w:type="gramEnd"/>
      <w:r w:rsidR="006B4961">
        <w:rPr>
          <w:rFonts w:ascii="Arial" w:hAnsi="Arial" w:cs="Arial"/>
          <w:sz w:val="24"/>
          <w:szCs w:val="24"/>
        </w:rPr>
        <w:t xml:space="preserve"> variable component was fixed and all other distribution costs were loaded into the fixed monthly charge.</w:t>
      </w:r>
    </w:p>
    <w:p w:rsidR="00F85D2F" w:rsidRDefault="00F85D2F">
      <w:pPr>
        <w:rPr>
          <w:rFonts w:ascii="Arial" w:hAnsi="Arial" w:cs="Arial"/>
          <w:sz w:val="24"/>
          <w:szCs w:val="24"/>
        </w:rPr>
      </w:pPr>
      <w:r>
        <w:rPr>
          <w:rFonts w:ascii="Arial" w:hAnsi="Arial" w:cs="Arial"/>
          <w:sz w:val="24"/>
          <w:szCs w:val="24"/>
        </w:rPr>
        <w:t xml:space="preserve">This </w:t>
      </w:r>
      <w:r w:rsidR="001344B7">
        <w:rPr>
          <w:rFonts w:ascii="Arial" w:hAnsi="Arial" w:cs="Arial"/>
          <w:sz w:val="24"/>
          <w:szCs w:val="24"/>
        </w:rPr>
        <w:t xml:space="preserve">easily </w:t>
      </w:r>
      <w:r>
        <w:rPr>
          <w:rFonts w:ascii="Arial" w:hAnsi="Arial" w:cs="Arial"/>
          <w:sz w:val="24"/>
          <w:szCs w:val="24"/>
        </w:rPr>
        <w:t xml:space="preserve">followed the </w:t>
      </w:r>
      <w:r w:rsidR="00561054">
        <w:rPr>
          <w:rFonts w:ascii="Arial" w:hAnsi="Arial" w:cs="Arial"/>
          <w:sz w:val="24"/>
          <w:szCs w:val="24"/>
        </w:rPr>
        <w:t>Board</w:t>
      </w:r>
      <w:r w:rsidR="001344B7">
        <w:rPr>
          <w:rFonts w:ascii="Arial" w:hAnsi="Arial" w:cs="Arial"/>
          <w:sz w:val="24"/>
          <w:szCs w:val="24"/>
        </w:rPr>
        <w:t>’s</w:t>
      </w:r>
      <w:r>
        <w:rPr>
          <w:rFonts w:ascii="Arial" w:hAnsi="Arial" w:cs="Arial"/>
          <w:sz w:val="24"/>
          <w:szCs w:val="24"/>
        </w:rPr>
        <w:t xml:space="preserve"> </w:t>
      </w:r>
      <w:r w:rsidR="00561054">
        <w:rPr>
          <w:rFonts w:ascii="Arial" w:hAnsi="Arial" w:cs="Arial"/>
          <w:sz w:val="24"/>
          <w:szCs w:val="24"/>
        </w:rPr>
        <w:t>approv</w:t>
      </w:r>
      <w:r w:rsidR="001344B7">
        <w:rPr>
          <w:rFonts w:ascii="Arial" w:hAnsi="Arial" w:cs="Arial"/>
          <w:sz w:val="24"/>
          <w:szCs w:val="24"/>
        </w:rPr>
        <w:t>al of</w:t>
      </w:r>
      <w:r w:rsidR="00561054">
        <w:rPr>
          <w:rFonts w:ascii="Arial" w:hAnsi="Arial" w:cs="Arial"/>
          <w:sz w:val="24"/>
          <w:szCs w:val="24"/>
        </w:rPr>
        <w:t xml:space="preserve"> fixed monthly rates for gas distributors.</w:t>
      </w:r>
    </w:p>
    <w:p w:rsidR="00561054" w:rsidRDefault="00561054">
      <w:pPr>
        <w:rPr>
          <w:rFonts w:ascii="Arial" w:hAnsi="Arial" w:cs="Arial"/>
          <w:sz w:val="24"/>
          <w:szCs w:val="24"/>
        </w:rPr>
      </w:pPr>
      <w:r>
        <w:rPr>
          <w:rFonts w:ascii="Arial" w:hAnsi="Arial" w:cs="Arial"/>
          <w:sz w:val="24"/>
          <w:szCs w:val="24"/>
        </w:rPr>
        <w:t xml:space="preserve">Prior to that time </w:t>
      </w:r>
      <w:r w:rsidR="006B4961">
        <w:rPr>
          <w:rFonts w:ascii="Arial" w:hAnsi="Arial" w:cs="Arial"/>
          <w:sz w:val="24"/>
          <w:szCs w:val="24"/>
        </w:rPr>
        <w:t>only a handful of LDCs had a fixed service charge typically in the $7-$10 range.</w:t>
      </w:r>
      <w:r w:rsidR="00C35D9A">
        <w:rPr>
          <w:rFonts w:ascii="Arial" w:hAnsi="Arial" w:cs="Arial"/>
          <w:sz w:val="24"/>
          <w:szCs w:val="24"/>
        </w:rPr>
        <w:t xml:space="preserve"> There was no mention of a minimum system in the 1999 Distribution rates Handbook.</w:t>
      </w:r>
    </w:p>
    <w:p w:rsidR="00561054" w:rsidRDefault="00561054">
      <w:pPr>
        <w:rPr>
          <w:rFonts w:ascii="Arial" w:hAnsi="Arial" w:cs="Arial"/>
          <w:sz w:val="24"/>
          <w:szCs w:val="24"/>
        </w:rPr>
      </w:pPr>
    </w:p>
    <w:p w:rsidR="00561054" w:rsidRDefault="00561054">
      <w:pPr>
        <w:rPr>
          <w:rFonts w:ascii="Arial" w:hAnsi="Arial" w:cs="Arial"/>
          <w:sz w:val="24"/>
          <w:szCs w:val="24"/>
        </w:rPr>
      </w:pPr>
      <w:r>
        <w:rPr>
          <w:rFonts w:ascii="Arial" w:hAnsi="Arial" w:cs="Arial"/>
          <w:sz w:val="24"/>
          <w:szCs w:val="24"/>
        </w:rPr>
        <w:t>Board staff state that the fixed charge in the current fixed/variable rate was based on the costs of a “minimum” system. It is quite clear that LDCs had an inconsistent definition of the mythical “minimum” system; hence we now have huge variations in the fixed/</w:t>
      </w:r>
      <w:r w:rsidR="00A6182B">
        <w:rPr>
          <w:rFonts w:ascii="Arial" w:hAnsi="Arial" w:cs="Arial"/>
          <w:sz w:val="24"/>
          <w:szCs w:val="24"/>
        </w:rPr>
        <w:t>variable split, all approved by the OEB.</w:t>
      </w:r>
      <w:r>
        <w:rPr>
          <w:rFonts w:ascii="Arial" w:hAnsi="Arial" w:cs="Arial"/>
          <w:sz w:val="24"/>
          <w:szCs w:val="24"/>
        </w:rPr>
        <w:t xml:space="preserve"> </w:t>
      </w:r>
    </w:p>
    <w:p w:rsidR="00A6182B" w:rsidRDefault="00A6182B">
      <w:pPr>
        <w:rPr>
          <w:rFonts w:ascii="Arial" w:hAnsi="Arial" w:cs="Arial"/>
          <w:sz w:val="24"/>
          <w:szCs w:val="24"/>
        </w:rPr>
      </w:pPr>
    </w:p>
    <w:p w:rsidR="00F85D2F" w:rsidRDefault="00A6182B">
      <w:pPr>
        <w:rPr>
          <w:rFonts w:ascii="Arial" w:hAnsi="Arial" w:cs="Arial"/>
          <w:sz w:val="24"/>
          <w:szCs w:val="24"/>
        </w:rPr>
      </w:pPr>
      <w:r>
        <w:rPr>
          <w:rFonts w:ascii="Arial" w:hAnsi="Arial" w:cs="Arial"/>
          <w:sz w:val="24"/>
          <w:szCs w:val="24"/>
        </w:rPr>
        <w:lastRenderedPageBreak/>
        <w:t>Later in a footnote</w:t>
      </w:r>
      <w:r w:rsidR="00962304">
        <w:rPr>
          <w:rFonts w:ascii="Arial" w:hAnsi="Arial" w:cs="Arial"/>
          <w:sz w:val="24"/>
          <w:szCs w:val="24"/>
        </w:rPr>
        <w:t>,</w:t>
      </w:r>
      <w:r>
        <w:rPr>
          <w:rFonts w:ascii="Arial" w:hAnsi="Arial" w:cs="Arial"/>
          <w:sz w:val="24"/>
          <w:szCs w:val="24"/>
        </w:rPr>
        <w:t xml:space="preserve"> the OEB defines a minimum system as one that has poles and wires that </w:t>
      </w:r>
      <w:r w:rsidR="00962304">
        <w:rPr>
          <w:rFonts w:ascii="Arial" w:hAnsi="Arial" w:cs="Arial"/>
          <w:sz w:val="24"/>
          <w:szCs w:val="24"/>
        </w:rPr>
        <w:t>have</w:t>
      </w:r>
      <w:r>
        <w:rPr>
          <w:rFonts w:ascii="Arial" w:hAnsi="Arial" w:cs="Arial"/>
          <w:sz w:val="24"/>
          <w:szCs w:val="24"/>
        </w:rPr>
        <w:t xml:space="preserve"> zero capacity (to deliver energy). To any sensible person that means no distribution system at all</w:t>
      </w:r>
      <w:r w:rsidR="00962304">
        <w:rPr>
          <w:rFonts w:ascii="Arial" w:hAnsi="Arial" w:cs="Arial"/>
          <w:sz w:val="24"/>
          <w:szCs w:val="24"/>
        </w:rPr>
        <w:t>; hence zero fixed charge.</w:t>
      </w:r>
    </w:p>
    <w:p w:rsidR="00C35D9A" w:rsidRDefault="00C35D9A">
      <w:pPr>
        <w:rPr>
          <w:rFonts w:ascii="Arial" w:hAnsi="Arial" w:cs="Arial"/>
          <w:sz w:val="24"/>
          <w:szCs w:val="24"/>
        </w:rPr>
      </w:pPr>
    </w:p>
    <w:p w:rsidR="00DF778E" w:rsidRDefault="00DF778E">
      <w:pPr>
        <w:rPr>
          <w:rFonts w:ascii="Arial Black" w:hAnsi="Arial Black" w:cs="Arial"/>
          <w:sz w:val="28"/>
          <w:szCs w:val="28"/>
        </w:rPr>
      </w:pPr>
    </w:p>
    <w:p w:rsidR="00DF778E" w:rsidRDefault="00DF778E">
      <w:pPr>
        <w:rPr>
          <w:rFonts w:ascii="Arial Black" w:hAnsi="Arial Black" w:cs="Arial"/>
          <w:sz w:val="28"/>
          <w:szCs w:val="28"/>
        </w:rPr>
      </w:pPr>
    </w:p>
    <w:p w:rsidR="00DF778E" w:rsidRDefault="00DF778E">
      <w:pPr>
        <w:rPr>
          <w:rFonts w:ascii="Arial Black" w:hAnsi="Arial Black" w:cs="Arial"/>
          <w:sz w:val="28"/>
          <w:szCs w:val="28"/>
        </w:rPr>
      </w:pPr>
    </w:p>
    <w:p w:rsidR="00DF778E" w:rsidRDefault="00DF778E">
      <w:pPr>
        <w:rPr>
          <w:rFonts w:ascii="Arial Black" w:hAnsi="Arial Black" w:cs="Arial"/>
          <w:sz w:val="28"/>
          <w:szCs w:val="28"/>
        </w:rPr>
      </w:pPr>
    </w:p>
    <w:p w:rsidR="00DF778E" w:rsidRDefault="00DF778E">
      <w:pPr>
        <w:rPr>
          <w:rFonts w:ascii="Arial Black" w:hAnsi="Arial Black" w:cs="Arial"/>
          <w:sz w:val="28"/>
          <w:szCs w:val="28"/>
        </w:rPr>
      </w:pPr>
    </w:p>
    <w:p w:rsidR="00DF778E" w:rsidRDefault="00DF778E">
      <w:pPr>
        <w:rPr>
          <w:rFonts w:ascii="Arial Black" w:hAnsi="Arial Black" w:cs="Arial"/>
          <w:sz w:val="28"/>
          <w:szCs w:val="28"/>
        </w:rPr>
      </w:pPr>
    </w:p>
    <w:p w:rsidR="00DF778E" w:rsidRDefault="00DF778E">
      <w:pPr>
        <w:rPr>
          <w:rFonts w:ascii="Arial Black" w:hAnsi="Arial Black" w:cs="Arial"/>
          <w:sz w:val="28"/>
          <w:szCs w:val="28"/>
        </w:rPr>
      </w:pPr>
    </w:p>
    <w:p w:rsidR="00C35D9A" w:rsidRDefault="00C35D9A">
      <w:pPr>
        <w:rPr>
          <w:rFonts w:ascii="Arial Black" w:hAnsi="Arial Black" w:cs="Arial"/>
          <w:sz w:val="28"/>
          <w:szCs w:val="28"/>
        </w:rPr>
      </w:pPr>
      <w:r>
        <w:rPr>
          <w:rFonts w:ascii="Arial Black" w:hAnsi="Arial Black" w:cs="Arial"/>
          <w:sz w:val="28"/>
          <w:szCs w:val="28"/>
        </w:rPr>
        <w:t>Objectives</w:t>
      </w:r>
    </w:p>
    <w:p w:rsidR="00C35D9A" w:rsidRDefault="00C35D9A">
      <w:pPr>
        <w:rPr>
          <w:rFonts w:ascii="Arial Black" w:hAnsi="Arial Black" w:cs="Arial"/>
          <w:sz w:val="28"/>
          <w:szCs w:val="28"/>
        </w:rPr>
      </w:pPr>
    </w:p>
    <w:p w:rsidR="00C35D9A" w:rsidRDefault="00C35D9A">
      <w:pPr>
        <w:rPr>
          <w:rFonts w:ascii="Arial" w:hAnsi="Arial" w:cs="Arial"/>
          <w:sz w:val="24"/>
          <w:szCs w:val="24"/>
        </w:rPr>
      </w:pPr>
      <w:r>
        <w:rPr>
          <w:rFonts w:ascii="Arial" w:hAnsi="Arial" w:cs="Arial"/>
          <w:sz w:val="24"/>
          <w:szCs w:val="24"/>
        </w:rPr>
        <w:t>The 1</w:t>
      </w:r>
      <w:r w:rsidRPr="00C35D9A">
        <w:rPr>
          <w:rFonts w:ascii="Arial" w:hAnsi="Arial" w:cs="Arial"/>
          <w:sz w:val="24"/>
          <w:szCs w:val="24"/>
          <w:vertAlign w:val="superscript"/>
        </w:rPr>
        <w:t>st</w:t>
      </w:r>
      <w:r>
        <w:rPr>
          <w:rFonts w:ascii="Arial" w:hAnsi="Arial" w:cs="Arial"/>
          <w:sz w:val="24"/>
          <w:szCs w:val="24"/>
        </w:rPr>
        <w:t xml:space="preserve"> objective is “To support innovation for customers given the evolution of supply”.</w:t>
      </w:r>
    </w:p>
    <w:p w:rsidR="00C35D9A" w:rsidRDefault="00C35D9A">
      <w:pPr>
        <w:rPr>
          <w:rFonts w:ascii="Arial" w:hAnsi="Arial" w:cs="Arial"/>
          <w:sz w:val="24"/>
          <w:szCs w:val="24"/>
        </w:rPr>
      </w:pPr>
    </w:p>
    <w:p w:rsidR="00C35D9A" w:rsidRDefault="00C35D9A">
      <w:pPr>
        <w:rPr>
          <w:rFonts w:ascii="Arial" w:hAnsi="Arial" w:cs="Arial"/>
          <w:sz w:val="24"/>
          <w:szCs w:val="24"/>
        </w:rPr>
      </w:pPr>
      <w:r>
        <w:rPr>
          <w:rFonts w:ascii="Arial" w:hAnsi="Arial" w:cs="Arial"/>
          <w:sz w:val="24"/>
          <w:szCs w:val="24"/>
        </w:rPr>
        <w:t xml:space="preserve">I don’t see how a fixed rate </w:t>
      </w:r>
      <w:r w:rsidR="00DF778E">
        <w:rPr>
          <w:rFonts w:ascii="Arial" w:hAnsi="Arial" w:cs="Arial"/>
          <w:sz w:val="24"/>
          <w:szCs w:val="24"/>
        </w:rPr>
        <w:t>design</w:t>
      </w:r>
      <w:r>
        <w:rPr>
          <w:rFonts w:ascii="Arial" w:hAnsi="Arial" w:cs="Arial"/>
          <w:sz w:val="24"/>
          <w:szCs w:val="24"/>
        </w:rPr>
        <w:t xml:space="preserve"> is going to enable customers to </w:t>
      </w:r>
      <w:r w:rsidR="00DF778E">
        <w:rPr>
          <w:rFonts w:ascii="Arial" w:hAnsi="Arial" w:cs="Arial"/>
          <w:sz w:val="24"/>
          <w:szCs w:val="24"/>
        </w:rPr>
        <w:t xml:space="preserve">leverage new technology. If new more efficient </w:t>
      </w:r>
      <w:r w:rsidR="00863EE6">
        <w:rPr>
          <w:rFonts w:ascii="Arial" w:hAnsi="Arial" w:cs="Arial"/>
          <w:sz w:val="24"/>
          <w:szCs w:val="24"/>
        </w:rPr>
        <w:t xml:space="preserve">appliances </w:t>
      </w:r>
      <w:r w:rsidR="00DF778E">
        <w:rPr>
          <w:rFonts w:ascii="Arial" w:hAnsi="Arial" w:cs="Arial"/>
          <w:sz w:val="24"/>
          <w:szCs w:val="24"/>
        </w:rPr>
        <w:t xml:space="preserve">and lighting come along customers will </w:t>
      </w:r>
      <w:r w:rsidR="00863EE6">
        <w:rPr>
          <w:rFonts w:ascii="Arial" w:hAnsi="Arial" w:cs="Arial"/>
          <w:sz w:val="24"/>
          <w:szCs w:val="24"/>
        </w:rPr>
        <w:t>adopt</w:t>
      </w:r>
      <w:r w:rsidR="00DF778E">
        <w:rPr>
          <w:rFonts w:ascii="Arial" w:hAnsi="Arial" w:cs="Arial"/>
          <w:sz w:val="24"/>
          <w:szCs w:val="24"/>
        </w:rPr>
        <w:t xml:space="preserve"> mainly to save money. </w:t>
      </w:r>
    </w:p>
    <w:p w:rsidR="00DF778E" w:rsidRDefault="00DF778E">
      <w:pPr>
        <w:rPr>
          <w:rFonts w:ascii="Arial" w:hAnsi="Arial" w:cs="Arial"/>
          <w:sz w:val="24"/>
          <w:szCs w:val="24"/>
        </w:rPr>
      </w:pPr>
    </w:p>
    <w:p w:rsidR="00DF778E" w:rsidRDefault="00DF778E">
      <w:pPr>
        <w:rPr>
          <w:rFonts w:ascii="Arial" w:hAnsi="Arial" w:cs="Arial"/>
          <w:sz w:val="24"/>
          <w:szCs w:val="24"/>
        </w:rPr>
      </w:pPr>
      <w:r>
        <w:rPr>
          <w:rFonts w:ascii="Arial" w:hAnsi="Arial" w:cs="Arial"/>
          <w:sz w:val="24"/>
          <w:szCs w:val="24"/>
        </w:rPr>
        <w:t xml:space="preserve">Customer conservation activity is enhanced by reducing fixed charges and increasing </w:t>
      </w:r>
      <w:proofErr w:type="spellStart"/>
      <w:proofErr w:type="gramStart"/>
      <w:r>
        <w:rPr>
          <w:rFonts w:ascii="Arial" w:hAnsi="Arial" w:cs="Arial"/>
          <w:sz w:val="24"/>
          <w:szCs w:val="24"/>
        </w:rPr>
        <w:t>kw</w:t>
      </w:r>
      <w:proofErr w:type="spellEnd"/>
      <w:proofErr w:type="gramEnd"/>
      <w:r>
        <w:rPr>
          <w:rFonts w:ascii="Arial" w:hAnsi="Arial" w:cs="Arial"/>
          <w:sz w:val="24"/>
          <w:szCs w:val="24"/>
        </w:rPr>
        <w:t xml:space="preserve"> or </w:t>
      </w:r>
      <w:proofErr w:type="spellStart"/>
      <w:r>
        <w:rPr>
          <w:rFonts w:ascii="Arial" w:hAnsi="Arial" w:cs="Arial"/>
          <w:sz w:val="24"/>
          <w:szCs w:val="24"/>
        </w:rPr>
        <w:t>kwh</w:t>
      </w:r>
      <w:proofErr w:type="spellEnd"/>
      <w:r>
        <w:rPr>
          <w:rFonts w:ascii="Arial" w:hAnsi="Arial" w:cs="Arial"/>
          <w:sz w:val="24"/>
          <w:szCs w:val="24"/>
        </w:rPr>
        <w:t xml:space="preserve"> charges. </w:t>
      </w:r>
    </w:p>
    <w:p w:rsidR="00DF778E" w:rsidRDefault="00DF778E">
      <w:pPr>
        <w:rPr>
          <w:rFonts w:ascii="Arial" w:hAnsi="Arial" w:cs="Arial"/>
          <w:sz w:val="24"/>
          <w:szCs w:val="24"/>
        </w:rPr>
      </w:pPr>
    </w:p>
    <w:p w:rsidR="00DF778E" w:rsidRDefault="00DF778E">
      <w:pPr>
        <w:rPr>
          <w:rFonts w:ascii="Arial" w:hAnsi="Arial" w:cs="Arial"/>
          <w:sz w:val="24"/>
          <w:szCs w:val="24"/>
        </w:rPr>
      </w:pPr>
      <w:r>
        <w:rPr>
          <w:rFonts w:ascii="Arial" w:hAnsi="Arial" w:cs="Arial"/>
          <w:sz w:val="24"/>
          <w:szCs w:val="24"/>
        </w:rPr>
        <w:t xml:space="preserve">Small customers do not see the cost of distribution on their bills, since they are </w:t>
      </w:r>
      <w:r w:rsidR="00863EE6">
        <w:rPr>
          <w:rFonts w:ascii="Arial" w:hAnsi="Arial" w:cs="Arial"/>
          <w:sz w:val="24"/>
          <w:szCs w:val="24"/>
        </w:rPr>
        <w:t xml:space="preserve">well </w:t>
      </w:r>
      <w:r>
        <w:rPr>
          <w:rFonts w:ascii="Arial" w:hAnsi="Arial" w:cs="Arial"/>
          <w:sz w:val="24"/>
          <w:szCs w:val="24"/>
        </w:rPr>
        <w:t>hidden in the delivery</w:t>
      </w:r>
      <w:r w:rsidR="00863EE6">
        <w:rPr>
          <w:rFonts w:ascii="Arial" w:hAnsi="Arial" w:cs="Arial"/>
          <w:sz w:val="24"/>
          <w:szCs w:val="24"/>
        </w:rPr>
        <w:t xml:space="preserve"> line</w:t>
      </w:r>
      <w:r>
        <w:rPr>
          <w:rFonts w:ascii="Arial" w:hAnsi="Arial" w:cs="Arial"/>
          <w:sz w:val="24"/>
          <w:szCs w:val="24"/>
        </w:rPr>
        <w:t xml:space="preserve">. One can’t see the value of connection if </w:t>
      </w:r>
      <w:r w:rsidR="000776FC">
        <w:rPr>
          <w:rFonts w:ascii="Arial" w:hAnsi="Arial" w:cs="Arial"/>
          <w:sz w:val="24"/>
          <w:szCs w:val="24"/>
        </w:rPr>
        <w:t xml:space="preserve">one can’t </w:t>
      </w:r>
      <w:r>
        <w:rPr>
          <w:rFonts w:ascii="Arial" w:hAnsi="Arial" w:cs="Arial"/>
          <w:sz w:val="24"/>
          <w:szCs w:val="24"/>
        </w:rPr>
        <w:t xml:space="preserve">see </w:t>
      </w:r>
      <w:r w:rsidR="000776FC">
        <w:rPr>
          <w:rFonts w:ascii="Arial" w:hAnsi="Arial" w:cs="Arial"/>
          <w:sz w:val="24"/>
          <w:szCs w:val="24"/>
        </w:rPr>
        <w:t>the costs.</w:t>
      </w:r>
      <w:r>
        <w:rPr>
          <w:rFonts w:ascii="Arial" w:hAnsi="Arial" w:cs="Arial"/>
          <w:sz w:val="24"/>
          <w:szCs w:val="24"/>
        </w:rPr>
        <w:t xml:space="preserve"> </w:t>
      </w:r>
    </w:p>
    <w:p w:rsidR="000776FC" w:rsidRDefault="000776FC">
      <w:pPr>
        <w:rPr>
          <w:rFonts w:ascii="Arial" w:hAnsi="Arial" w:cs="Arial"/>
          <w:sz w:val="24"/>
          <w:szCs w:val="24"/>
        </w:rPr>
      </w:pPr>
    </w:p>
    <w:p w:rsidR="000776FC" w:rsidRDefault="000776FC">
      <w:pPr>
        <w:rPr>
          <w:rFonts w:ascii="Arial" w:hAnsi="Arial" w:cs="Arial"/>
          <w:sz w:val="24"/>
          <w:szCs w:val="24"/>
        </w:rPr>
      </w:pPr>
    </w:p>
    <w:p w:rsidR="000776FC" w:rsidRDefault="000776FC">
      <w:pPr>
        <w:rPr>
          <w:rFonts w:ascii="Arial" w:hAnsi="Arial" w:cs="Arial"/>
          <w:sz w:val="24"/>
          <w:szCs w:val="24"/>
        </w:rPr>
      </w:pPr>
      <w:r>
        <w:rPr>
          <w:rFonts w:ascii="Arial" w:hAnsi="Arial" w:cs="Arial"/>
          <w:sz w:val="24"/>
          <w:szCs w:val="24"/>
        </w:rPr>
        <w:t>The 2</w:t>
      </w:r>
      <w:r w:rsidRPr="000776FC">
        <w:rPr>
          <w:rFonts w:ascii="Arial" w:hAnsi="Arial" w:cs="Arial"/>
          <w:sz w:val="24"/>
          <w:szCs w:val="24"/>
          <w:vertAlign w:val="superscript"/>
        </w:rPr>
        <w:t>nd</w:t>
      </w:r>
      <w:r>
        <w:rPr>
          <w:rFonts w:ascii="Arial" w:hAnsi="Arial" w:cs="Arial"/>
          <w:sz w:val="24"/>
          <w:szCs w:val="24"/>
        </w:rPr>
        <w:t xml:space="preserve"> objective is to increase efficiency by maximizing the use of the current system and to optimize investment for long term cost containment.</w:t>
      </w:r>
    </w:p>
    <w:p w:rsidR="000776FC" w:rsidRDefault="000776FC">
      <w:pPr>
        <w:rPr>
          <w:rFonts w:ascii="Arial" w:hAnsi="Arial" w:cs="Arial"/>
          <w:sz w:val="24"/>
          <w:szCs w:val="24"/>
        </w:rPr>
      </w:pPr>
    </w:p>
    <w:p w:rsidR="00C17429" w:rsidRDefault="000776FC">
      <w:pPr>
        <w:rPr>
          <w:rFonts w:ascii="Arial" w:hAnsi="Arial" w:cs="Arial"/>
          <w:sz w:val="24"/>
          <w:szCs w:val="24"/>
        </w:rPr>
      </w:pPr>
      <w:r>
        <w:rPr>
          <w:rFonts w:ascii="Arial" w:hAnsi="Arial" w:cs="Arial"/>
          <w:sz w:val="24"/>
          <w:szCs w:val="24"/>
        </w:rPr>
        <w:t>All LDCs must come forward with a capital budget in their rate application. This is scrutinized and frequently cut back by the OEB if the capital investment is not considered prudent. If the OEB considers .that the LDC is not spending enough on long term investment the Board can order the LDC to spend more</w:t>
      </w:r>
      <w:r w:rsidR="00C17429">
        <w:rPr>
          <w:rFonts w:ascii="Arial" w:hAnsi="Arial" w:cs="Arial"/>
          <w:sz w:val="24"/>
          <w:szCs w:val="24"/>
        </w:rPr>
        <w:t>. Changing the rate design will in no way enhance the LDCs prioritization of its capital program. They have or could raise the capital for any prudent investment</w:t>
      </w:r>
      <w:r w:rsidR="007762C4">
        <w:rPr>
          <w:rFonts w:ascii="Arial" w:hAnsi="Arial" w:cs="Arial"/>
          <w:sz w:val="24"/>
          <w:szCs w:val="24"/>
        </w:rPr>
        <w:t>, including enhancements to SCADA systems, remote control of transfer of load from faulted to</w:t>
      </w:r>
      <w:r w:rsidR="0087129E">
        <w:rPr>
          <w:rFonts w:ascii="Arial" w:hAnsi="Arial" w:cs="Arial"/>
          <w:sz w:val="24"/>
          <w:szCs w:val="24"/>
        </w:rPr>
        <w:t xml:space="preserve"> healthy lines and the like.</w:t>
      </w:r>
    </w:p>
    <w:p w:rsidR="00C17429" w:rsidRDefault="00C17429">
      <w:pPr>
        <w:rPr>
          <w:rFonts w:ascii="Arial" w:hAnsi="Arial" w:cs="Arial"/>
          <w:sz w:val="24"/>
          <w:szCs w:val="24"/>
        </w:rPr>
      </w:pPr>
    </w:p>
    <w:p w:rsidR="000776FC" w:rsidRDefault="00C17429">
      <w:pPr>
        <w:rPr>
          <w:rFonts w:ascii="Arial" w:hAnsi="Arial" w:cs="Arial"/>
          <w:sz w:val="24"/>
          <w:szCs w:val="24"/>
        </w:rPr>
      </w:pPr>
      <w:r>
        <w:rPr>
          <w:rFonts w:ascii="Arial" w:hAnsi="Arial" w:cs="Arial"/>
          <w:sz w:val="24"/>
          <w:szCs w:val="24"/>
        </w:rPr>
        <w:t xml:space="preserve">.  </w:t>
      </w:r>
    </w:p>
    <w:p w:rsidR="007115CB" w:rsidRDefault="007115CB">
      <w:pPr>
        <w:rPr>
          <w:rFonts w:ascii="Arial" w:hAnsi="Arial" w:cs="Arial"/>
          <w:sz w:val="24"/>
          <w:szCs w:val="24"/>
        </w:rPr>
      </w:pPr>
    </w:p>
    <w:p w:rsidR="007115CB" w:rsidRDefault="007115CB">
      <w:pPr>
        <w:rPr>
          <w:rFonts w:ascii="Arial" w:hAnsi="Arial" w:cs="Arial"/>
          <w:sz w:val="24"/>
          <w:szCs w:val="24"/>
        </w:rPr>
      </w:pPr>
    </w:p>
    <w:p w:rsidR="00391F72" w:rsidRDefault="00391F72">
      <w:pPr>
        <w:rPr>
          <w:rFonts w:ascii="Arial Black" w:hAnsi="Arial Black" w:cs="Arial"/>
          <w:sz w:val="28"/>
          <w:szCs w:val="28"/>
        </w:rPr>
      </w:pPr>
    </w:p>
    <w:p w:rsidR="00391F72" w:rsidRDefault="00391F72">
      <w:pPr>
        <w:rPr>
          <w:rFonts w:ascii="Arial Black" w:hAnsi="Arial Black" w:cs="Arial"/>
          <w:sz w:val="28"/>
          <w:szCs w:val="28"/>
        </w:rPr>
      </w:pPr>
    </w:p>
    <w:p w:rsidR="00391F72" w:rsidRDefault="00391F72">
      <w:pPr>
        <w:rPr>
          <w:rFonts w:ascii="Arial Black" w:hAnsi="Arial Black" w:cs="Arial"/>
          <w:sz w:val="28"/>
          <w:szCs w:val="28"/>
        </w:rPr>
      </w:pPr>
    </w:p>
    <w:p w:rsidR="00391F72" w:rsidRDefault="00391F72">
      <w:pPr>
        <w:rPr>
          <w:rFonts w:ascii="Arial Black" w:hAnsi="Arial Black" w:cs="Arial"/>
          <w:sz w:val="28"/>
          <w:szCs w:val="28"/>
        </w:rPr>
      </w:pPr>
    </w:p>
    <w:p w:rsidR="00391F72" w:rsidRDefault="00391F72">
      <w:pPr>
        <w:rPr>
          <w:rFonts w:ascii="Arial Black" w:hAnsi="Arial Black" w:cs="Arial"/>
          <w:sz w:val="28"/>
          <w:szCs w:val="28"/>
        </w:rPr>
      </w:pPr>
    </w:p>
    <w:p w:rsidR="00391F72" w:rsidRDefault="00391F72">
      <w:pPr>
        <w:rPr>
          <w:rFonts w:ascii="Arial Black" w:hAnsi="Arial Black" w:cs="Arial"/>
          <w:sz w:val="28"/>
          <w:szCs w:val="28"/>
        </w:rPr>
      </w:pPr>
    </w:p>
    <w:p w:rsidR="00391F72" w:rsidRDefault="00391F72">
      <w:pPr>
        <w:rPr>
          <w:rFonts w:ascii="Arial Black" w:hAnsi="Arial Black" w:cs="Arial"/>
          <w:sz w:val="28"/>
          <w:szCs w:val="28"/>
        </w:rPr>
      </w:pPr>
    </w:p>
    <w:p w:rsidR="00391F72" w:rsidRDefault="00391F72">
      <w:pPr>
        <w:rPr>
          <w:rFonts w:ascii="Arial Black" w:hAnsi="Arial Black" w:cs="Arial"/>
          <w:sz w:val="28"/>
          <w:szCs w:val="28"/>
        </w:rPr>
      </w:pPr>
    </w:p>
    <w:p w:rsidR="00391F72" w:rsidRDefault="00391F72">
      <w:pPr>
        <w:rPr>
          <w:rFonts w:ascii="Arial Black" w:hAnsi="Arial Black" w:cs="Arial"/>
          <w:sz w:val="28"/>
          <w:szCs w:val="28"/>
        </w:rPr>
      </w:pPr>
    </w:p>
    <w:p w:rsidR="007115CB" w:rsidRDefault="007115CB">
      <w:pPr>
        <w:rPr>
          <w:rFonts w:ascii="Arial Black" w:hAnsi="Arial Black" w:cs="Arial"/>
          <w:sz w:val="28"/>
          <w:szCs w:val="28"/>
        </w:rPr>
      </w:pPr>
      <w:r>
        <w:rPr>
          <w:rFonts w:ascii="Arial Black" w:hAnsi="Arial Black" w:cs="Arial"/>
          <w:sz w:val="28"/>
          <w:szCs w:val="28"/>
        </w:rPr>
        <w:t>Issues</w:t>
      </w:r>
    </w:p>
    <w:p w:rsidR="007115CB" w:rsidRDefault="007115CB">
      <w:pPr>
        <w:rPr>
          <w:rFonts w:ascii="Arial Black" w:hAnsi="Arial Black" w:cs="Arial"/>
          <w:sz w:val="28"/>
          <w:szCs w:val="28"/>
        </w:rPr>
      </w:pPr>
    </w:p>
    <w:p w:rsidR="00391F72" w:rsidRDefault="007115CB">
      <w:pPr>
        <w:rPr>
          <w:rFonts w:ascii="Arial" w:hAnsi="Arial" w:cs="Arial"/>
          <w:sz w:val="24"/>
          <w:szCs w:val="24"/>
        </w:rPr>
      </w:pPr>
      <w:r>
        <w:rPr>
          <w:rFonts w:ascii="Arial" w:hAnsi="Arial" w:cs="Arial"/>
          <w:sz w:val="24"/>
          <w:szCs w:val="24"/>
        </w:rPr>
        <w:t xml:space="preserve">I will comment on the issues list, not in the sequence given. Most of the issues will be covered and some new issues added. </w:t>
      </w:r>
    </w:p>
    <w:p w:rsidR="00391F72" w:rsidRDefault="00391F72">
      <w:pPr>
        <w:rPr>
          <w:rFonts w:ascii="Arial" w:hAnsi="Arial" w:cs="Arial"/>
          <w:sz w:val="24"/>
          <w:szCs w:val="24"/>
        </w:rPr>
      </w:pPr>
    </w:p>
    <w:p w:rsidR="007115CB" w:rsidRDefault="00863EE6">
      <w:pPr>
        <w:rPr>
          <w:rFonts w:ascii="Arial Black" w:hAnsi="Arial Black" w:cs="Arial"/>
          <w:sz w:val="24"/>
          <w:szCs w:val="24"/>
        </w:rPr>
      </w:pPr>
      <w:r>
        <w:rPr>
          <w:rFonts w:ascii="Arial Black" w:hAnsi="Arial Black" w:cs="Arial"/>
          <w:sz w:val="24"/>
          <w:szCs w:val="24"/>
        </w:rPr>
        <w:t>RATE SHOCK AT THE 50 KW level</w:t>
      </w:r>
    </w:p>
    <w:p w:rsidR="007115CB" w:rsidRDefault="007115CB">
      <w:pPr>
        <w:rPr>
          <w:rFonts w:ascii="Arial" w:hAnsi="Arial" w:cs="Arial"/>
          <w:sz w:val="24"/>
          <w:szCs w:val="24"/>
        </w:rPr>
      </w:pPr>
    </w:p>
    <w:p w:rsidR="007115CB" w:rsidRDefault="007115CB">
      <w:pPr>
        <w:rPr>
          <w:rFonts w:ascii="Arial" w:hAnsi="Arial" w:cs="Arial"/>
          <w:sz w:val="24"/>
          <w:szCs w:val="24"/>
        </w:rPr>
      </w:pPr>
      <w:r>
        <w:rPr>
          <w:rFonts w:ascii="Arial" w:hAnsi="Arial" w:cs="Arial"/>
          <w:sz w:val="24"/>
          <w:szCs w:val="24"/>
        </w:rPr>
        <w:t xml:space="preserve">Prior to the Distribution Rates Handbook rates were co-ordinated at the 50kw level so a customer with a typical 36% load factor (250 hrs use/month) would pass through the 50 </w:t>
      </w:r>
      <w:proofErr w:type="spellStart"/>
      <w:proofErr w:type="gramStart"/>
      <w:r>
        <w:rPr>
          <w:rFonts w:ascii="Arial" w:hAnsi="Arial" w:cs="Arial"/>
          <w:sz w:val="24"/>
          <w:szCs w:val="24"/>
        </w:rPr>
        <w:t>kw</w:t>
      </w:r>
      <w:proofErr w:type="spellEnd"/>
      <w:proofErr w:type="gramEnd"/>
      <w:r>
        <w:rPr>
          <w:rFonts w:ascii="Arial" w:hAnsi="Arial" w:cs="Arial"/>
          <w:sz w:val="24"/>
          <w:szCs w:val="24"/>
        </w:rPr>
        <w:t xml:space="preserve"> boundary </w:t>
      </w:r>
      <w:r w:rsidR="00C45737">
        <w:rPr>
          <w:rFonts w:ascii="Arial" w:hAnsi="Arial" w:cs="Arial"/>
          <w:sz w:val="24"/>
          <w:szCs w:val="24"/>
        </w:rPr>
        <w:t xml:space="preserve">either way </w:t>
      </w:r>
      <w:r>
        <w:rPr>
          <w:rFonts w:ascii="Arial" w:hAnsi="Arial" w:cs="Arial"/>
          <w:sz w:val="24"/>
          <w:szCs w:val="24"/>
        </w:rPr>
        <w:t xml:space="preserve">with no </w:t>
      </w:r>
      <w:r w:rsidR="00C45737">
        <w:rPr>
          <w:rFonts w:ascii="Arial" w:hAnsi="Arial" w:cs="Arial"/>
          <w:sz w:val="24"/>
          <w:szCs w:val="24"/>
        </w:rPr>
        <w:t xml:space="preserve">or minimal </w:t>
      </w:r>
      <w:r>
        <w:rPr>
          <w:rFonts w:ascii="Arial" w:hAnsi="Arial" w:cs="Arial"/>
          <w:sz w:val="24"/>
          <w:szCs w:val="24"/>
        </w:rPr>
        <w:t>rate shock</w:t>
      </w:r>
      <w:r w:rsidR="00C45737">
        <w:rPr>
          <w:rFonts w:ascii="Arial" w:hAnsi="Arial" w:cs="Arial"/>
          <w:sz w:val="24"/>
          <w:szCs w:val="24"/>
        </w:rPr>
        <w:t>.</w:t>
      </w:r>
    </w:p>
    <w:p w:rsidR="00C45737" w:rsidRDefault="00C45737">
      <w:pPr>
        <w:rPr>
          <w:rFonts w:ascii="Arial" w:hAnsi="Arial" w:cs="Arial"/>
          <w:sz w:val="24"/>
          <w:szCs w:val="24"/>
        </w:rPr>
      </w:pPr>
      <w:r>
        <w:rPr>
          <w:rFonts w:ascii="Arial" w:hAnsi="Arial" w:cs="Arial"/>
          <w:sz w:val="24"/>
          <w:szCs w:val="24"/>
        </w:rPr>
        <w:t>That was all thrown out by introducing fixe</w:t>
      </w:r>
      <w:r w:rsidR="00863EE6">
        <w:rPr>
          <w:rFonts w:ascii="Arial" w:hAnsi="Arial" w:cs="Arial"/>
          <w:sz w:val="24"/>
          <w:szCs w:val="24"/>
        </w:rPr>
        <w:t>d</w:t>
      </w:r>
      <w:r>
        <w:rPr>
          <w:rFonts w:ascii="Arial" w:hAnsi="Arial" w:cs="Arial"/>
          <w:sz w:val="24"/>
          <w:szCs w:val="24"/>
        </w:rPr>
        <w:t xml:space="preserve"> rates. It is not possible to co-ordinate rates at the 50 </w:t>
      </w:r>
      <w:proofErr w:type="spellStart"/>
      <w:proofErr w:type="gramStart"/>
      <w:r>
        <w:rPr>
          <w:rFonts w:ascii="Arial" w:hAnsi="Arial" w:cs="Arial"/>
          <w:sz w:val="24"/>
          <w:szCs w:val="24"/>
        </w:rPr>
        <w:t>kw</w:t>
      </w:r>
      <w:proofErr w:type="spellEnd"/>
      <w:proofErr w:type="gramEnd"/>
      <w:r>
        <w:rPr>
          <w:rFonts w:ascii="Arial" w:hAnsi="Arial" w:cs="Arial"/>
          <w:sz w:val="24"/>
          <w:szCs w:val="24"/>
        </w:rPr>
        <w:t xml:space="preserve"> level with the fixed/variable rate structure</w:t>
      </w:r>
      <w:r w:rsidR="00391F72">
        <w:rPr>
          <w:rFonts w:ascii="Arial" w:hAnsi="Arial" w:cs="Arial"/>
          <w:sz w:val="24"/>
          <w:szCs w:val="24"/>
        </w:rPr>
        <w:t>.</w:t>
      </w:r>
    </w:p>
    <w:p w:rsidR="00C45737" w:rsidRDefault="00C45737">
      <w:pPr>
        <w:rPr>
          <w:rFonts w:ascii="Arial" w:hAnsi="Arial" w:cs="Arial"/>
          <w:sz w:val="24"/>
          <w:szCs w:val="24"/>
        </w:rPr>
      </w:pPr>
      <w:r>
        <w:rPr>
          <w:rFonts w:ascii="Arial" w:hAnsi="Arial" w:cs="Arial"/>
          <w:sz w:val="24"/>
          <w:szCs w:val="24"/>
        </w:rPr>
        <w:t>Rate shocks at the 50kw level were pointed out in the RP-2000-0069 proceeding.</w:t>
      </w:r>
    </w:p>
    <w:p w:rsidR="00C45737" w:rsidRDefault="00C45737">
      <w:pPr>
        <w:rPr>
          <w:rFonts w:ascii="Arial" w:hAnsi="Arial" w:cs="Arial"/>
          <w:sz w:val="24"/>
          <w:szCs w:val="24"/>
        </w:rPr>
      </w:pPr>
      <w:r>
        <w:rPr>
          <w:rFonts w:ascii="Arial" w:hAnsi="Arial" w:cs="Arial"/>
          <w:sz w:val="24"/>
          <w:szCs w:val="24"/>
        </w:rPr>
        <w:t xml:space="preserve">At that time the Board ordered that customers advancing through the 50 </w:t>
      </w:r>
      <w:proofErr w:type="spellStart"/>
      <w:r>
        <w:rPr>
          <w:rFonts w:ascii="Arial" w:hAnsi="Arial" w:cs="Arial"/>
          <w:sz w:val="24"/>
          <w:szCs w:val="24"/>
        </w:rPr>
        <w:t>kw</w:t>
      </w:r>
      <w:proofErr w:type="spellEnd"/>
      <w:r>
        <w:rPr>
          <w:rFonts w:ascii="Arial" w:hAnsi="Arial" w:cs="Arial"/>
          <w:sz w:val="24"/>
          <w:szCs w:val="24"/>
        </w:rPr>
        <w:t xml:space="preserve"> boundary would be billed at the GS&lt; 50 rates until their demand reached 100 </w:t>
      </w:r>
      <w:proofErr w:type="spellStart"/>
      <w:r>
        <w:rPr>
          <w:rFonts w:ascii="Arial" w:hAnsi="Arial" w:cs="Arial"/>
          <w:sz w:val="24"/>
          <w:szCs w:val="24"/>
        </w:rPr>
        <w:t>kw</w:t>
      </w:r>
      <w:proofErr w:type="spellEnd"/>
      <w:proofErr w:type="gramStart"/>
      <w:r w:rsidR="00DE0C82">
        <w:rPr>
          <w:rFonts w:ascii="Arial" w:hAnsi="Arial" w:cs="Arial"/>
          <w:sz w:val="24"/>
          <w:szCs w:val="24"/>
        </w:rPr>
        <w:t>.</w:t>
      </w:r>
      <w:r>
        <w:rPr>
          <w:rFonts w:ascii="Arial" w:hAnsi="Arial" w:cs="Arial"/>
          <w:sz w:val="24"/>
          <w:szCs w:val="24"/>
        </w:rPr>
        <w:t>.</w:t>
      </w:r>
      <w:proofErr w:type="gramEnd"/>
    </w:p>
    <w:p w:rsidR="00391F72" w:rsidRDefault="00391F72">
      <w:pPr>
        <w:rPr>
          <w:rFonts w:ascii="Arial" w:hAnsi="Arial" w:cs="Arial"/>
          <w:sz w:val="24"/>
          <w:szCs w:val="24"/>
        </w:rPr>
      </w:pPr>
    </w:p>
    <w:p w:rsidR="00391F72" w:rsidRDefault="00391F72">
      <w:pPr>
        <w:rPr>
          <w:rFonts w:ascii="Arial" w:hAnsi="Arial" w:cs="Arial"/>
          <w:sz w:val="24"/>
          <w:szCs w:val="24"/>
        </w:rPr>
      </w:pPr>
      <w:r>
        <w:rPr>
          <w:rFonts w:ascii="Arial" w:hAnsi="Arial" w:cs="Arial"/>
          <w:sz w:val="24"/>
          <w:szCs w:val="24"/>
        </w:rPr>
        <w:t xml:space="preserve">To my knowledge no LDC followed this directive and there appeared to be no </w:t>
      </w:r>
      <w:r w:rsidR="00E013A9">
        <w:rPr>
          <w:rFonts w:ascii="Arial" w:hAnsi="Arial" w:cs="Arial"/>
          <w:sz w:val="24"/>
          <w:szCs w:val="24"/>
        </w:rPr>
        <w:t xml:space="preserve">corrective </w:t>
      </w:r>
      <w:r>
        <w:rPr>
          <w:rFonts w:ascii="Arial" w:hAnsi="Arial" w:cs="Arial"/>
          <w:sz w:val="24"/>
          <w:szCs w:val="24"/>
        </w:rPr>
        <w:t>action by the OEB enforcement department.</w:t>
      </w:r>
    </w:p>
    <w:p w:rsidR="00C51B25" w:rsidRDefault="00C51B25">
      <w:pPr>
        <w:rPr>
          <w:rFonts w:ascii="Arial" w:hAnsi="Arial" w:cs="Arial"/>
          <w:sz w:val="24"/>
          <w:szCs w:val="24"/>
        </w:rPr>
      </w:pPr>
    </w:p>
    <w:p w:rsidR="00C51B25" w:rsidRDefault="00C51B25">
      <w:pPr>
        <w:rPr>
          <w:rFonts w:ascii="Arial" w:hAnsi="Arial" w:cs="Arial"/>
          <w:sz w:val="24"/>
          <w:szCs w:val="24"/>
        </w:rPr>
      </w:pPr>
      <w:r>
        <w:rPr>
          <w:rFonts w:ascii="Arial" w:hAnsi="Arial" w:cs="Arial"/>
          <w:sz w:val="24"/>
          <w:szCs w:val="24"/>
        </w:rPr>
        <w:t xml:space="preserve">Introduction of a 100% fixed rate design will greatly </w:t>
      </w:r>
      <w:r w:rsidR="007762C4">
        <w:rPr>
          <w:rFonts w:ascii="Arial" w:hAnsi="Arial" w:cs="Arial"/>
          <w:sz w:val="24"/>
          <w:szCs w:val="24"/>
        </w:rPr>
        <w:t xml:space="preserve">increase </w:t>
      </w:r>
      <w:r>
        <w:rPr>
          <w:rFonts w:ascii="Arial" w:hAnsi="Arial" w:cs="Arial"/>
          <w:sz w:val="24"/>
          <w:szCs w:val="24"/>
        </w:rPr>
        <w:t xml:space="preserve">rate shocks at the 50 </w:t>
      </w:r>
      <w:proofErr w:type="spellStart"/>
      <w:proofErr w:type="gramStart"/>
      <w:r>
        <w:rPr>
          <w:rFonts w:ascii="Arial" w:hAnsi="Arial" w:cs="Arial"/>
          <w:sz w:val="24"/>
          <w:szCs w:val="24"/>
        </w:rPr>
        <w:t>kw</w:t>
      </w:r>
      <w:proofErr w:type="spellEnd"/>
      <w:proofErr w:type="gramEnd"/>
      <w:r>
        <w:rPr>
          <w:rFonts w:ascii="Arial" w:hAnsi="Arial" w:cs="Arial"/>
          <w:sz w:val="24"/>
          <w:szCs w:val="24"/>
        </w:rPr>
        <w:t xml:space="preserve"> level.</w:t>
      </w:r>
    </w:p>
    <w:p w:rsidR="00C51B25" w:rsidRDefault="00C51B25">
      <w:pPr>
        <w:rPr>
          <w:rFonts w:ascii="Arial" w:hAnsi="Arial" w:cs="Arial"/>
          <w:sz w:val="24"/>
          <w:szCs w:val="24"/>
        </w:rPr>
      </w:pPr>
    </w:p>
    <w:p w:rsidR="007762C4" w:rsidRDefault="007762C4">
      <w:pPr>
        <w:rPr>
          <w:rFonts w:ascii="Arial Black" w:hAnsi="Arial Black" w:cs="Arial"/>
          <w:sz w:val="28"/>
          <w:szCs w:val="28"/>
        </w:rPr>
      </w:pPr>
    </w:p>
    <w:p w:rsidR="007762C4" w:rsidRDefault="007762C4">
      <w:pPr>
        <w:rPr>
          <w:rFonts w:ascii="Arial Black" w:hAnsi="Arial Black" w:cs="Arial"/>
          <w:sz w:val="28"/>
          <w:szCs w:val="28"/>
        </w:rPr>
      </w:pPr>
    </w:p>
    <w:p w:rsidR="007762C4" w:rsidRDefault="007762C4">
      <w:pPr>
        <w:rPr>
          <w:rFonts w:ascii="Arial Black" w:hAnsi="Arial Black" w:cs="Arial"/>
          <w:sz w:val="28"/>
          <w:szCs w:val="28"/>
        </w:rPr>
      </w:pPr>
    </w:p>
    <w:p w:rsidR="007762C4" w:rsidRDefault="007762C4">
      <w:pPr>
        <w:rPr>
          <w:rFonts w:ascii="Arial Black" w:hAnsi="Arial Black" w:cs="Arial"/>
          <w:sz w:val="28"/>
          <w:szCs w:val="28"/>
        </w:rPr>
      </w:pPr>
    </w:p>
    <w:p w:rsidR="007762C4" w:rsidRDefault="007762C4">
      <w:pPr>
        <w:rPr>
          <w:rFonts w:ascii="Arial Black" w:hAnsi="Arial Black" w:cs="Arial"/>
          <w:sz w:val="28"/>
          <w:szCs w:val="28"/>
        </w:rPr>
      </w:pPr>
    </w:p>
    <w:p w:rsidR="007762C4" w:rsidRDefault="007762C4">
      <w:pPr>
        <w:rPr>
          <w:rFonts w:ascii="Arial Black" w:hAnsi="Arial Black" w:cs="Arial"/>
          <w:sz w:val="28"/>
          <w:szCs w:val="28"/>
        </w:rPr>
      </w:pPr>
    </w:p>
    <w:p w:rsidR="007762C4" w:rsidRDefault="007762C4">
      <w:pPr>
        <w:rPr>
          <w:rFonts w:ascii="Arial Black" w:hAnsi="Arial Black" w:cs="Arial"/>
          <w:sz w:val="28"/>
          <w:szCs w:val="28"/>
        </w:rPr>
      </w:pPr>
    </w:p>
    <w:p w:rsidR="007762C4" w:rsidRDefault="007762C4">
      <w:pPr>
        <w:rPr>
          <w:rFonts w:ascii="Arial Black" w:hAnsi="Arial Black" w:cs="Arial"/>
          <w:sz w:val="28"/>
          <w:szCs w:val="28"/>
        </w:rPr>
      </w:pPr>
    </w:p>
    <w:p w:rsidR="007762C4" w:rsidRDefault="007762C4">
      <w:pPr>
        <w:rPr>
          <w:rFonts w:ascii="Arial Black" w:hAnsi="Arial Black" w:cs="Arial"/>
          <w:sz w:val="28"/>
          <w:szCs w:val="28"/>
        </w:rPr>
      </w:pPr>
    </w:p>
    <w:p w:rsidR="00C51B25" w:rsidRPr="00C51B25" w:rsidRDefault="00C51B25">
      <w:pPr>
        <w:rPr>
          <w:rFonts w:ascii="Arial Black" w:hAnsi="Arial Black" w:cs="Arial"/>
          <w:sz w:val="28"/>
          <w:szCs w:val="28"/>
        </w:rPr>
      </w:pPr>
      <w:r>
        <w:rPr>
          <w:rFonts w:ascii="Arial Black" w:hAnsi="Arial Black" w:cs="Arial"/>
          <w:sz w:val="28"/>
          <w:szCs w:val="28"/>
        </w:rPr>
        <w:t xml:space="preserve">Intermediate </w:t>
      </w:r>
      <w:r w:rsidR="007762C4">
        <w:rPr>
          <w:rFonts w:ascii="Arial Black" w:hAnsi="Arial Black" w:cs="Arial"/>
          <w:sz w:val="28"/>
          <w:szCs w:val="28"/>
        </w:rPr>
        <w:t>Classes</w:t>
      </w:r>
    </w:p>
    <w:p w:rsidR="00391F72" w:rsidRDefault="00391F72">
      <w:pPr>
        <w:rPr>
          <w:rFonts w:ascii="Arial" w:hAnsi="Arial" w:cs="Arial"/>
          <w:sz w:val="24"/>
          <w:szCs w:val="24"/>
        </w:rPr>
      </w:pPr>
    </w:p>
    <w:p w:rsidR="00391F72" w:rsidRDefault="00C51B25">
      <w:pPr>
        <w:rPr>
          <w:rFonts w:ascii="Arial" w:hAnsi="Arial" w:cs="Arial"/>
          <w:sz w:val="24"/>
          <w:szCs w:val="24"/>
        </w:rPr>
      </w:pPr>
      <w:r>
        <w:rPr>
          <w:rFonts w:ascii="Arial" w:hAnsi="Arial" w:cs="Arial"/>
          <w:sz w:val="24"/>
          <w:szCs w:val="24"/>
        </w:rPr>
        <w:t xml:space="preserve">Customers </w:t>
      </w:r>
      <w:r w:rsidR="00391F72">
        <w:rPr>
          <w:rFonts w:ascii="Arial" w:hAnsi="Arial" w:cs="Arial"/>
          <w:sz w:val="24"/>
          <w:szCs w:val="24"/>
        </w:rPr>
        <w:t xml:space="preserve">having anticipated demand &gt;500 </w:t>
      </w:r>
      <w:proofErr w:type="spellStart"/>
      <w:proofErr w:type="gramStart"/>
      <w:r w:rsidR="00391F72">
        <w:rPr>
          <w:rFonts w:ascii="Arial" w:hAnsi="Arial" w:cs="Arial"/>
          <w:sz w:val="24"/>
          <w:szCs w:val="24"/>
        </w:rPr>
        <w:t>kw</w:t>
      </w:r>
      <w:proofErr w:type="spellEnd"/>
      <w:proofErr w:type="gramEnd"/>
      <w:r w:rsidR="00391F72">
        <w:rPr>
          <w:rFonts w:ascii="Arial" w:hAnsi="Arial" w:cs="Arial"/>
          <w:sz w:val="24"/>
          <w:szCs w:val="24"/>
        </w:rPr>
        <w:t xml:space="preserve"> </w:t>
      </w:r>
      <w:r w:rsidR="007762C4">
        <w:rPr>
          <w:rFonts w:ascii="Arial" w:hAnsi="Arial" w:cs="Arial"/>
          <w:sz w:val="24"/>
          <w:szCs w:val="24"/>
        </w:rPr>
        <w:t>are</w:t>
      </w:r>
      <w:r w:rsidR="00391F72">
        <w:rPr>
          <w:rFonts w:ascii="Arial" w:hAnsi="Arial" w:cs="Arial"/>
          <w:sz w:val="24"/>
          <w:szCs w:val="24"/>
        </w:rPr>
        <w:t xml:space="preserve"> required to supply there own transformers as </w:t>
      </w:r>
      <w:r w:rsidR="00067005">
        <w:rPr>
          <w:rFonts w:ascii="Arial" w:hAnsi="Arial" w:cs="Arial"/>
          <w:sz w:val="24"/>
          <w:szCs w:val="24"/>
        </w:rPr>
        <w:t>few LDCs stock transformers of that size. As well these customers were to be served at a sub transmission voltage typically 13.8, 27.6 or 44kv.</w:t>
      </w:r>
    </w:p>
    <w:p w:rsidR="00863EE6" w:rsidRDefault="00863EE6">
      <w:pPr>
        <w:rPr>
          <w:rFonts w:ascii="Arial" w:hAnsi="Arial" w:cs="Arial"/>
          <w:sz w:val="24"/>
          <w:szCs w:val="24"/>
        </w:rPr>
      </w:pPr>
    </w:p>
    <w:p w:rsidR="00863EE6" w:rsidRDefault="00C51B25">
      <w:pPr>
        <w:rPr>
          <w:rFonts w:ascii="Arial" w:hAnsi="Arial" w:cs="Arial"/>
          <w:sz w:val="24"/>
          <w:szCs w:val="24"/>
        </w:rPr>
      </w:pPr>
      <w:r>
        <w:rPr>
          <w:rFonts w:ascii="Arial" w:hAnsi="Arial" w:cs="Arial"/>
          <w:sz w:val="24"/>
          <w:szCs w:val="24"/>
        </w:rPr>
        <w:t>Hy</w:t>
      </w:r>
      <w:r w:rsidR="00863EE6">
        <w:rPr>
          <w:rFonts w:ascii="Arial" w:hAnsi="Arial" w:cs="Arial"/>
          <w:sz w:val="24"/>
          <w:szCs w:val="24"/>
        </w:rPr>
        <w:t xml:space="preserve">dro One has a rate class called ST or Sub Transmission. This class includes virtually all GS customers who own their own transformers. Hence H1 no larger </w:t>
      </w:r>
      <w:r w:rsidR="00333AD4">
        <w:rPr>
          <w:rFonts w:ascii="Arial" w:hAnsi="Arial" w:cs="Arial"/>
          <w:sz w:val="24"/>
          <w:szCs w:val="24"/>
        </w:rPr>
        <w:t>has a large or</w:t>
      </w:r>
      <w:r w:rsidR="00863EE6">
        <w:rPr>
          <w:rFonts w:ascii="Arial" w:hAnsi="Arial" w:cs="Arial"/>
          <w:sz w:val="24"/>
          <w:szCs w:val="24"/>
        </w:rPr>
        <w:t xml:space="preserve"> intermediate </w:t>
      </w:r>
      <w:r w:rsidR="00333AD4">
        <w:rPr>
          <w:rFonts w:ascii="Arial" w:hAnsi="Arial" w:cs="Arial"/>
          <w:sz w:val="24"/>
          <w:szCs w:val="24"/>
        </w:rPr>
        <w:t xml:space="preserve">user </w:t>
      </w:r>
      <w:r w:rsidR="00863EE6">
        <w:rPr>
          <w:rFonts w:ascii="Arial" w:hAnsi="Arial" w:cs="Arial"/>
          <w:sz w:val="24"/>
          <w:szCs w:val="24"/>
        </w:rPr>
        <w:t>class.</w:t>
      </w:r>
    </w:p>
    <w:p w:rsidR="00067005" w:rsidRDefault="00067005">
      <w:pPr>
        <w:rPr>
          <w:rFonts w:ascii="Arial" w:hAnsi="Arial" w:cs="Arial"/>
          <w:sz w:val="24"/>
          <w:szCs w:val="24"/>
        </w:rPr>
      </w:pPr>
    </w:p>
    <w:p w:rsidR="00067005" w:rsidRDefault="0087129E">
      <w:pPr>
        <w:rPr>
          <w:rFonts w:ascii="Arial" w:hAnsi="Arial" w:cs="Arial"/>
          <w:sz w:val="24"/>
          <w:szCs w:val="24"/>
        </w:rPr>
      </w:pPr>
      <w:r>
        <w:rPr>
          <w:rFonts w:ascii="Arial" w:hAnsi="Arial" w:cs="Arial"/>
          <w:sz w:val="24"/>
          <w:szCs w:val="24"/>
        </w:rPr>
        <w:t>O</w:t>
      </w:r>
      <w:r w:rsidR="00863EE6">
        <w:rPr>
          <w:rFonts w:ascii="Arial" w:hAnsi="Arial" w:cs="Arial"/>
          <w:sz w:val="24"/>
          <w:szCs w:val="24"/>
        </w:rPr>
        <w:t xml:space="preserve">ther LDCs </w:t>
      </w:r>
      <w:r w:rsidR="00067005">
        <w:rPr>
          <w:rFonts w:ascii="Arial" w:hAnsi="Arial" w:cs="Arial"/>
          <w:sz w:val="24"/>
          <w:szCs w:val="24"/>
        </w:rPr>
        <w:t xml:space="preserve">did </w:t>
      </w:r>
      <w:r w:rsidR="00C54187">
        <w:rPr>
          <w:rFonts w:ascii="Arial" w:hAnsi="Arial" w:cs="Arial"/>
          <w:sz w:val="24"/>
          <w:szCs w:val="24"/>
        </w:rPr>
        <w:t xml:space="preserve">not </w:t>
      </w:r>
      <w:r w:rsidR="00067005">
        <w:rPr>
          <w:rFonts w:ascii="Arial" w:hAnsi="Arial" w:cs="Arial"/>
          <w:sz w:val="24"/>
          <w:szCs w:val="24"/>
        </w:rPr>
        <w:t xml:space="preserve">have to </w:t>
      </w:r>
      <w:r w:rsidR="00C54187">
        <w:rPr>
          <w:rFonts w:ascii="Arial" w:hAnsi="Arial" w:cs="Arial"/>
          <w:sz w:val="24"/>
          <w:szCs w:val="24"/>
        </w:rPr>
        <w:t>provide</w:t>
      </w:r>
      <w:r w:rsidR="00067005">
        <w:rPr>
          <w:rFonts w:ascii="Arial" w:hAnsi="Arial" w:cs="Arial"/>
          <w:sz w:val="24"/>
          <w:szCs w:val="24"/>
        </w:rPr>
        <w:t xml:space="preserve"> distribution station capacity</w:t>
      </w:r>
      <w:r w:rsidR="00863EE6">
        <w:rPr>
          <w:rFonts w:ascii="Arial" w:hAnsi="Arial" w:cs="Arial"/>
          <w:sz w:val="24"/>
          <w:szCs w:val="24"/>
        </w:rPr>
        <w:t xml:space="preserve"> to se</w:t>
      </w:r>
      <w:r w:rsidR="00333AD4">
        <w:rPr>
          <w:rFonts w:ascii="Arial" w:hAnsi="Arial" w:cs="Arial"/>
          <w:sz w:val="24"/>
          <w:szCs w:val="24"/>
        </w:rPr>
        <w:t>r</w:t>
      </w:r>
      <w:r w:rsidR="00863EE6">
        <w:rPr>
          <w:rFonts w:ascii="Arial" w:hAnsi="Arial" w:cs="Arial"/>
          <w:sz w:val="24"/>
          <w:szCs w:val="24"/>
        </w:rPr>
        <w:t>ve ST customers</w:t>
      </w:r>
      <w:r w:rsidR="00C54187">
        <w:rPr>
          <w:rFonts w:ascii="Arial" w:hAnsi="Arial" w:cs="Arial"/>
          <w:sz w:val="24"/>
          <w:szCs w:val="24"/>
        </w:rPr>
        <w:t>. Hence</w:t>
      </w:r>
      <w:r w:rsidR="00067005">
        <w:rPr>
          <w:rFonts w:ascii="Arial" w:hAnsi="Arial" w:cs="Arial"/>
          <w:sz w:val="24"/>
          <w:szCs w:val="24"/>
        </w:rPr>
        <w:t xml:space="preserve"> a transformer ownership allowance was set to replicate their avoided </w:t>
      </w:r>
      <w:r w:rsidR="00DE0C82">
        <w:rPr>
          <w:rFonts w:ascii="Arial" w:hAnsi="Arial" w:cs="Arial"/>
          <w:sz w:val="24"/>
          <w:szCs w:val="24"/>
        </w:rPr>
        <w:t>distribution station costs.</w:t>
      </w:r>
    </w:p>
    <w:p w:rsidR="00DE0C82" w:rsidRDefault="00DE0C82">
      <w:pPr>
        <w:rPr>
          <w:rFonts w:ascii="Arial" w:hAnsi="Arial" w:cs="Arial"/>
          <w:sz w:val="24"/>
          <w:szCs w:val="24"/>
        </w:rPr>
      </w:pPr>
      <w:r>
        <w:rPr>
          <w:rFonts w:ascii="Arial" w:hAnsi="Arial" w:cs="Arial"/>
          <w:sz w:val="24"/>
          <w:szCs w:val="24"/>
        </w:rPr>
        <w:t xml:space="preserve">The allowance was set at $.60 per </w:t>
      </w:r>
      <w:proofErr w:type="spellStart"/>
      <w:proofErr w:type="gramStart"/>
      <w:r>
        <w:rPr>
          <w:rFonts w:ascii="Arial" w:hAnsi="Arial" w:cs="Arial"/>
          <w:sz w:val="24"/>
          <w:szCs w:val="24"/>
        </w:rPr>
        <w:t>kw</w:t>
      </w:r>
      <w:proofErr w:type="spellEnd"/>
      <w:proofErr w:type="gramEnd"/>
      <w:r>
        <w:rPr>
          <w:rFonts w:ascii="Arial" w:hAnsi="Arial" w:cs="Arial"/>
          <w:sz w:val="24"/>
          <w:szCs w:val="24"/>
        </w:rPr>
        <w:t xml:space="preserve"> demand </w:t>
      </w:r>
      <w:r w:rsidR="00863EE6">
        <w:rPr>
          <w:rFonts w:ascii="Arial" w:hAnsi="Arial" w:cs="Arial"/>
          <w:sz w:val="24"/>
          <w:szCs w:val="24"/>
        </w:rPr>
        <w:t>many decades ago</w:t>
      </w:r>
      <w:r>
        <w:rPr>
          <w:rFonts w:ascii="Arial" w:hAnsi="Arial" w:cs="Arial"/>
          <w:sz w:val="24"/>
          <w:szCs w:val="24"/>
        </w:rPr>
        <w:t xml:space="preserve"> and has not been changed since. </w:t>
      </w:r>
      <w:r w:rsidR="00333AD4">
        <w:rPr>
          <w:rFonts w:ascii="Arial" w:hAnsi="Arial" w:cs="Arial"/>
          <w:sz w:val="24"/>
          <w:szCs w:val="24"/>
        </w:rPr>
        <w:t>If the</w:t>
      </w:r>
      <w:r w:rsidR="00C54187">
        <w:rPr>
          <w:rFonts w:ascii="Arial" w:hAnsi="Arial" w:cs="Arial"/>
          <w:sz w:val="24"/>
          <w:szCs w:val="24"/>
        </w:rPr>
        <w:t>y</w:t>
      </w:r>
      <w:r w:rsidR="00333AD4">
        <w:rPr>
          <w:rFonts w:ascii="Arial" w:hAnsi="Arial" w:cs="Arial"/>
          <w:sz w:val="24"/>
          <w:szCs w:val="24"/>
        </w:rPr>
        <w:t xml:space="preserve"> don’t want to set up a</w:t>
      </w:r>
      <w:r w:rsidR="00C54187">
        <w:rPr>
          <w:rFonts w:ascii="Arial" w:hAnsi="Arial" w:cs="Arial"/>
          <w:sz w:val="24"/>
          <w:szCs w:val="24"/>
        </w:rPr>
        <w:t>n</w:t>
      </w:r>
      <w:r w:rsidR="00333AD4">
        <w:rPr>
          <w:rFonts w:ascii="Arial" w:hAnsi="Arial" w:cs="Arial"/>
          <w:sz w:val="24"/>
          <w:szCs w:val="24"/>
        </w:rPr>
        <w:t xml:space="preserve"> ST</w:t>
      </w:r>
      <w:r w:rsidR="00C54187">
        <w:rPr>
          <w:rFonts w:ascii="Arial" w:hAnsi="Arial" w:cs="Arial"/>
          <w:sz w:val="24"/>
          <w:szCs w:val="24"/>
        </w:rPr>
        <w:t xml:space="preserve"> class</w:t>
      </w:r>
      <w:r w:rsidR="00333AD4">
        <w:rPr>
          <w:rFonts w:ascii="Arial" w:hAnsi="Arial" w:cs="Arial"/>
          <w:sz w:val="24"/>
          <w:szCs w:val="24"/>
        </w:rPr>
        <w:t>, this allowance cries out</w:t>
      </w:r>
      <w:r>
        <w:rPr>
          <w:rFonts w:ascii="Arial" w:hAnsi="Arial" w:cs="Arial"/>
          <w:sz w:val="24"/>
          <w:szCs w:val="24"/>
        </w:rPr>
        <w:t xml:space="preserve"> for updating.</w:t>
      </w:r>
    </w:p>
    <w:p w:rsidR="00C45737" w:rsidRDefault="00C45737">
      <w:pPr>
        <w:rPr>
          <w:rFonts w:ascii="Arial" w:hAnsi="Arial" w:cs="Arial"/>
          <w:sz w:val="24"/>
          <w:szCs w:val="24"/>
        </w:rPr>
      </w:pPr>
    </w:p>
    <w:p w:rsidR="00C45737" w:rsidRPr="007115CB" w:rsidRDefault="00C45737">
      <w:pPr>
        <w:rPr>
          <w:rFonts w:ascii="Arial" w:hAnsi="Arial" w:cs="Arial"/>
          <w:sz w:val="24"/>
          <w:szCs w:val="24"/>
        </w:rPr>
      </w:pPr>
      <w:r>
        <w:rPr>
          <w:rFonts w:ascii="Arial" w:hAnsi="Arial" w:cs="Arial"/>
          <w:sz w:val="24"/>
          <w:szCs w:val="24"/>
        </w:rPr>
        <w:t xml:space="preserve"> </w:t>
      </w:r>
    </w:p>
    <w:p w:rsidR="00962304" w:rsidRDefault="00962304">
      <w:pPr>
        <w:rPr>
          <w:rFonts w:ascii="Arial" w:hAnsi="Arial" w:cs="Arial"/>
          <w:sz w:val="24"/>
          <w:szCs w:val="24"/>
        </w:rPr>
      </w:pPr>
    </w:p>
    <w:p w:rsidR="00962304" w:rsidRPr="00733657" w:rsidRDefault="00962304">
      <w:pPr>
        <w:rPr>
          <w:rFonts w:ascii="Arial" w:hAnsi="Arial" w:cs="Arial"/>
          <w:sz w:val="24"/>
          <w:szCs w:val="24"/>
        </w:rPr>
      </w:pPr>
    </w:p>
    <w:sectPr w:rsidR="00962304" w:rsidRPr="00733657" w:rsidSect="002D490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733657"/>
    <w:rsid w:val="00067005"/>
    <w:rsid w:val="000776FC"/>
    <w:rsid w:val="000C4D63"/>
    <w:rsid w:val="001344B7"/>
    <w:rsid w:val="00271086"/>
    <w:rsid w:val="002D490E"/>
    <w:rsid w:val="00333AD4"/>
    <w:rsid w:val="003459AB"/>
    <w:rsid w:val="00391F72"/>
    <w:rsid w:val="004540F4"/>
    <w:rsid w:val="0052551B"/>
    <w:rsid w:val="00561054"/>
    <w:rsid w:val="0056716B"/>
    <w:rsid w:val="006B4961"/>
    <w:rsid w:val="006E0EBC"/>
    <w:rsid w:val="007115CB"/>
    <w:rsid w:val="00733657"/>
    <w:rsid w:val="007762C4"/>
    <w:rsid w:val="00863EE6"/>
    <w:rsid w:val="0087129E"/>
    <w:rsid w:val="00962304"/>
    <w:rsid w:val="00A6182B"/>
    <w:rsid w:val="00AA32EE"/>
    <w:rsid w:val="00AA7848"/>
    <w:rsid w:val="00C17429"/>
    <w:rsid w:val="00C35D9A"/>
    <w:rsid w:val="00C45737"/>
    <w:rsid w:val="00C51B25"/>
    <w:rsid w:val="00C54187"/>
    <w:rsid w:val="00DE0C82"/>
    <w:rsid w:val="00DF778E"/>
    <w:rsid w:val="00E013A9"/>
    <w:rsid w:val="00F21F63"/>
    <w:rsid w:val="00F27A01"/>
    <w:rsid w:val="00F85D2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9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11</cp:revision>
  <cp:lastPrinted>2015-06-02T10:41:00Z</cp:lastPrinted>
  <dcterms:created xsi:type="dcterms:W3CDTF">2015-06-01T22:38:00Z</dcterms:created>
  <dcterms:modified xsi:type="dcterms:W3CDTF">2015-06-08T22:18:00Z</dcterms:modified>
</cp:coreProperties>
</file>