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DF" w:rsidRPr="002159DF" w:rsidRDefault="002159DF" w:rsidP="002159DF">
      <w:pPr>
        <w:jc w:val="center"/>
        <w:rPr>
          <w:b/>
        </w:rPr>
      </w:pPr>
      <w:r w:rsidRPr="002159DF">
        <w:rPr>
          <w:b/>
        </w:rPr>
        <w:t>INTERROGATORIES FROM THE CONSUMERS COUNCIL OF CANADA</w:t>
      </w:r>
    </w:p>
    <w:p w:rsidR="002159DF" w:rsidRPr="002159DF" w:rsidRDefault="002159DF" w:rsidP="002159DF">
      <w:pPr>
        <w:jc w:val="center"/>
        <w:rPr>
          <w:b/>
        </w:rPr>
      </w:pPr>
    </w:p>
    <w:p w:rsidR="002159DF" w:rsidRPr="002159DF" w:rsidRDefault="002159DF" w:rsidP="002159DF">
      <w:pPr>
        <w:jc w:val="center"/>
        <w:rPr>
          <w:b/>
        </w:rPr>
      </w:pPr>
      <w:r w:rsidRPr="002159DF">
        <w:rPr>
          <w:b/>
        </w:rPr>
        <w:t>FOR UNION GAS LIMITED</w:t>
      </w:r>
    </w:p>
    <w:p w:rsidR="002159DF" w:rsidRDefault="002159DF" w:rsidP="002159DF">
      <w:pPr>
        <w:jc w:val="center"/>
        <w:rPr>
          <w:b/>
        </w:rPr>
      </w:pPr>
      <w:r w:rsidRPr="002159DF">
        <w:rPr>
          <w:b/>
        </w:rPr>
        <w:t>EB-2015-0010</w:t>
      </w:r>
    </w:p>
    <w:p w:rsidR="002159DF" w:rsidRPr="002159DF" w:rsidRDefault="002159DF" w:rsidP="002159DF">
      <w:pPr>
        <w:jc w:val="center"/>
        <w:rPr>
          <w:b/>
        </w:rPr>
      </w:pPr>
      <w:r>
        <w:rPr>
          <w:b/>
        </w:rPr>
        <w:t>2014 Earnings Sharing and Deferral and Variance Accounts</w:t>
      </w:r>
    </w:p>
    <w:p w:rsidR="002159DF" w:rsidRPr="002159DF" w:rsidRDefault="002159DF">
      <w:pPr>
        <w:rPr>
          <w:b/>
        </w:rPr>
      </w:pPr>
    </w:p>
    <w:p w:rsidR="002159DF" w:rsidRDefault="002159DF"/>
    <w:p w:rsidR="002159DF" w:rsidRDefault="002159DF"/>
    <w:p w:rsidR="00E10146" w:rsidRDefault="002159DF">
      <w:r>
        <w:t>1.</w:t>
      </w:r>
      <w:r>
        <w:tab/>
        <w:t>E</w:t>
      </w:r>
      <w:r w:rsidR="005A3FD4">
        <w:t xml:space="preserve">x. A/T1/p. 12  </w:t>
      </w:r>
    </w:p>
    <w:p w:rsidR="005A3FD4" w:rsidRDefault="005A3FD4">
      <w:r>
        <w:t xml:space="preserve">The evidence states that the Upstream Transportation Optimization revenue is lower the Board approved amount primarily because of the elimination of the TCPL FT-RAM program.  </w:t>
      </w:r>
      <w:r w:rsidR="007460EC">
        <w:t>How much of the reduction is related to the FT-RAM program elimination?  What other factors have contributed to the reduction in revenue?</w:t>
      </w:r>
    </w:p>
    <w:p w:rsidR="007460EC" w:rsidRDefault="007460EC"/>
    <w:p w:rsidR="007460EC" w:rsidRDefault="002159DF">
      <w:r>
        <w:t>2.</w:t>
      </w:r>
      <w:r>
        <w:tab/>
      </w:r>
      <w:r w:rsidR="00346AB6">
        <w:t>Ex. A/T1/p. 21</w:t>
      </w:r>
    </w:p>
    <w:p w:rsidR="00346AB6" w:rsidRDefault="00346AB6">
      <w:r>
        <w:t>Will Account 179-120 continue beyond 2014?  If</w:t>
      </w:r>
      <w:r w:rsidR="00AD734C">
        <w:t xml:space="preserve"> so, please explain why.</w:t>
      </w:r>
    </w:p>
    <w:p w:rsidR="00AD734C" w:rsidRDefault="00AD734C"/>
    <w:p w:rsidR="00AD734C" w:rsidRDefault="002159DF">
      <w:r>
        <w:t>3.</w:t>
      </w:r>
      <w:r>
        <w:tab/>
      </w:r>
      <w:r w:rsidR="00AD734C">
        <w:t>Ex. A/T1/p. 22</w:t>
      </w:r>
    </w:p>
    <w:p w:rsidR="00A5560B" w:rsidRDefault="00AD734C">
      <w:r>
        <w:t>For Account 179-123</w:t>
      </w:r>
      <w:r w:rsidR="002159DF">
        <w:t>,</w:t>
      </w:r>
      <w:r>
        <w:t xml:space="preserve"> which records the costs and revenues related to Union’s involvement in CDM activities, please explain how the costs and revenues are derived for each of the programs.   Please include all assumptions.  Please provide the costs and revenues recorded in this account since it was established. </w:t>
      </w:r>
    </w:p>
    <w:p w:rsidR="00A5560B" w:rsidRDefault="00A5560B"/>
    <w:p w:rsidR="00AD734C" w:rsidRDefault="002159DF">
      <w:r>
        <w:t>4.</w:t>
      </w:r>
      <w:r>
        <w:tab/>
      </w:r>
      <w:r w:rsidR="00A5560B">
        <w:t xml:space="preserve">Ex. A/T1/p. </w:t>
      </w:r>
      <w:r w:rsidR="00AD734C">
        <w:t xml:space="preserve"> </w:t>
      </w:r>
      <w:r w:rsidR="00A5560B">
        <w:t>29</w:t>
      </w:r>
    </w:p>
    <w:p w:rsidR="00A5560B" w:rsidRDefault="00A5560B">
      <w:r>
        <w:t xml:space="preserve">Please explain why the Rate 01 Normalized average consumption in 2014 was greater than the forecast.  Why, in this case, was residential consumption higher for residential consumers?   </w:t>
      </w:r>
    </w:p>
    <w:p w:rsidR="00A5560B" w:rsidRDefault="00A5560B"/>
    <w:p w:rsidR="00A5560B" w:rsidRDefault="002159DF">
      <w:r>
        <w:t>5.</w:t>
      </w:r>
      <w:r>
        <w:tab/>
      </w:r>
      <w:r w:rsidR="00A5560B">
        <w:t>Ex. A/T1/pp. 24-30</w:t>
      </w:r>
    </w:p>
    <w:p w:rsidR="00A5560B" w:rsidRDefault="00A5560B">
      <w:r>
        <w:t xml:space="preserve">Is Union, through this Application, changing the way in which the Normalized Average Consumption Account – 179-133 operates or the way in which amounts are recorded in the account?  If so, please identify those changes and explain the rationale for making them.  </w:t>
      </w:r>
    </w:p>
    <w:p w:rsidR="00BE78F6" w:rsidRDefault="00BE78F6"/>
    <w:p w:rsidR="00BE78F6" w:rsidRDefault="002159DF">
      <w:r>
        <w:t>6.</w:t>
      </w:r>
      <w:r>
        <w:tab/>
      </w:r>
      <w:r w:rsidR="00BE78F6">
        <w:t>Ex. A/T1/p. 31</w:t>
      </w:r>
    </w:p>
    <w:p w:rsidR="00BE78F6" w:rsidRDefault="00BE78F6">
      <w:r>
        <w:t xml:space="preserve">What were Union’s actual UFG costs in 2014?  What amounts were included in rates?  </w:t>
      </w:r>
    </w:p>
    <w:p w:rsidR="008D275B" w:rsidRDefault="008D275B"/>
    <w:p w:rsidR="008D275B" w:rsidRDefault="002159DF">
      <w:r>
        <w:t>7.</w:t>
      </w:r>
      <w:r>
        <w:tab/>
      </w:r>
      <w:r w:rsidR="008D275B">
        <w:t>Ex. A/T1/p. 34</w:t>
      </w:r>
    </w:p>
    <w:p w:rsidR="008D275B" w:rsidRDefault="008D275B">
      <w:r>
        <w:t xml:space="preserve">Please provide a detailed breakdown of the $19.906 million station infrastructure costs.    What does Union mean that the “associated infrastructure costs for these components were </w:t>
      </w:r>
      <w:r w:rsidRPr="002159DF">
        <w:rPr>
          <w:u w:val="single"/>
        </w:rPr>
        <w:t>consid</w:t>
      </w:r>
      <w:r w:rsidR="004946D4" w:rsidRPr="002159DF">
        <w:rPr>
          <w:u w:val="single"/>
        </w:rPr>
        <w:t>ered</w:t>
      </w:r>
      <w:r w:rsidR="004946D4">
        <w:t xml:space="preserve"> to be in service”?</w:t>
      </w:r>
    </w:p>
    <w:p w:rsidR="004946D4" w:rsidRDefault="004946D4"/>
    <w:p w:rsidR="004946D4" w:rsidRDefault="002159DF">
      <w:r>
        <w:t>8.</w:t>
      </w:r>
      <w:r>
        <w:tab/>
      </w:r>
      <w:r w:rsidR="004946D4">
        <w:t>Ex. A/T1/p. 31</w:t>
      </w:r>
    </w:p>
    <w:p w:rsidR="004946D4" w:rsidRDefault="004946D4">
      <w:r>
        <w:t xml:space="preserve">Please describe the relief that Union is seeking, through this Application, regarding the Parkway West Project Costs.  Please provide the most current estimate for the </w:t>
      </w:r>
      <w:r>
        <w:lastRenderedPageBreak/>
        <w:t>total project costs and the forecast costs</w:t>
      </w:r>
      <w:r w:rsidR="001462BD">
        <w:t xml:space="preserve">.  When is the project expected to be completed?  </w:t>
      </w:r>
    </w:p>
    <w:p w:rsidR="0026464A" w:rsidRDefault="0026464A"/>
    <w:p w:rsidR="0026464A" w:rsidRDefault="002159DF">
      <w:r>
        <w:t>9.</w:t>
      </w:r>
      <w:r>
        <w:tab/>
      </w:r>
      <w:r w:rsidR="0026464A">
        <w:t>Ex. A/T1/p. 38</w:t>
      </w:r>
    </w:p>
    <w:p w:rsidR="0026464A" w:rsidRDefault="0026464A">
      <w:r>
        <w:t xml:space="preserve">Please set out how the $4.665 million related to the Parkway Obligation is recovered from each of </w:t>
      </w:r>
      <w:r w:rsidR="002159DF">
        <w:t xml:space="preserve">Union’s </w:t>
      </w:r>
      <w:r>
        <w:t>rate classes.</w:t>
      </w:r>
    </w:p>
    <w:p w:rsidR="002D2326" w:rsidRDefault="002D2326"/>
    <w:p w:rsidR="002D2326" w:rsidRDefault="002159DF">
      <w:r>
        <w:t>10.</w:t>
      </w:r>
      <w:r>
        <w:tab/>
      </w:r>
      <w:r w:rsidR="002D2326">
        <w:t xml:space="preserve">Ex. A/ T3/p. 1 </w:t>
      </w:r>
    </w:p>
    <w:p w:rsidR="002D2326" w:rsidRDefault="002D2326">
      <w:r>
        <w:t xml:space="preserve">Please explain </w:t>
      </w:r>
      <w:r w:rsidR="008D7433">
        <w:t>how the allocation methodologies proposed in this Application differ from the 2013 Deferral Account Disposition Proceeding (EB-2014-0145)</w:t>
      </w:r>
      <w:r w:rsidR="002159DF">
        <w:t>,</w:t>
      </w:r>
      <w:bookmarkStart w:id="0" w:name="_GoBack"/>
      <w:bookmarkEnd w:id="0"/>
      <w:r w:rsidR="008D7433">
        <w:t xml:space="preserve"> or in the last cost of service proceeding (EB-2011-0210).  </w:t>
      </w:r>
    </w:p>
    <w:p w:rsidR="0026464A" w:rsidRDefault="0026464A"/>
    <w:p w:rsidR="0026464A" w:rsidRDefault="002159DF">
      <w:r>
        <w:t>11.</w:t>
      </w:r>
      <w:r>
        <w:tab/>
      </w:r>
      <w:r w:rsidR="0026464A">
        <w:t>Ex. A/T2/p. 3</w:t>
      </w:r>
    </w:p>
    <w:p w:rsidR="0026464A" w:rsidRDefault="0026464A">
      <w:r>
        <w:t>Union’s actual ROE for 2014 was 176 basis points above the 2014 benchmark ROE.  Please indicate how much of that was related to product</w:t>
      </w:r>
      <w:r w:rsidR="00321ED7">
        <w:t>ivity init</w:t>
      </w:r>
      <w:r w:rsidR="008D7433">
        <w:t>i</w:t>
      </w:r>
      <w:r w:rsidR="00321ED7">
        <w:t>atives.</w:t>
      </w:r>
    </w:p>
    <w:p w:rsidR="0026464A" w:rsidRDefault="0026464A"/>
    <w:p w:rsidR="0026464A" w:rsidRDefault="002159DF">
      <w:r>
        <w:t>12.</w:t>
      </w:r>
      <w:r>
        <w:tab/>
      </w:r>
      <w:r w:rsidR="008D7433">
        <w:t>Ex. A/T4/p. 1</w:t>
      </w:r>
    </w:p>
    <w:p w:rsidR="008D7433" w:rsidRDefault="008D7433">
      <w:r>
        <w:t>What relief is Union seeking, through this Application, regarding the evidence provided regarding its gas supply arrangements as set out in Exhibit A/T4?</w:t>
      </w:r>
    </w:p>
    <w:sectPr w:rsidR="008D7433" w:rsidSect="0048655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DF" w:rsidRDefault="002159DF" w:rsidP="002159DF">
      <w:r>
        <w:separator/>
      </w:r>
    </w:p>
  </w:endnote>
  <w:endnote w:type="continuationSeparator" w:id="0">
    <w:p w:rsidR="002159DF" w:rsidRDefault="002159DF" w:rsidP="0021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DF" w:rsidRDefault="002159DF" w:rsidP="00BA4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9DF" w:rsidRDefault="002159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DF" w:rsidRDefault="002159DF" w:rsidP="00BA4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59DF" w:rsidRDefault="002159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DF" w:rsidRDefault="002159DF" w:rsidP="002159DF">
      <w:r>
        <w:separator/>
      </w:r>
    </w:p>
  </w:footnote>
  <w:footnote w:type="continuationSeparator" w:id="0">
    <w:p w:rsidR="002159DF" w:rsidRDefault="002159DF" w:rsidP="00215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D4"/>
    <w:rsid w:val="001462BD"/>
    <w:rsid w:val="002159DF"/>
    <w:rsid w:val="0026464A"/>
    <w:rsid w:val="002D2326"/>
    <w:rsid w:val="00321ED7"/>
    <w:rsid w:val="00346AB6"/>
    <w:rsid w:val="00486556"/>
    <w:rsid w:val="004946D4"/>
    <w:rsid w:val="005A3FD4"/>
    <w:rsid w:val="007460EC"/>
    <w:rsid w:val="008D275B"/>
    <w:rsid w:val="008D7433"/>
    <w:rsid w:val="00A5560B"/>
    <w:rsid w:val="00AD734C"/>
    <w:rsid w:val="00BE78F6"/>
    <w:rsid w:val="00E1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E28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9DF"/>
    <w:pPr>
      <w:tabs>
        <w:tab w:val="center" w:pos="4320"/>
        <w:tab w:val="right" w:pos="8640"/>
      </w:tabs>
    </w:pPr>
  </w:style>
  <w:style w:type="character" w:customStyle="1" w:styleId="FooterChar">
    <w:name w:val="Footer Char"/>
    <w:basedOn w:val="DefaultParagraphFont"/>
    <w:link w:val="Footer"/>
    <w:uiPriority w:val="99"/>
    <w:rsid w:val="002159DF"/>
  </w:style>
  <w:style w:type="character" w:styleId="PageNumber">
    <w:name w:val="page number"/>
    <w:basedOn w:val="DefaultParagraphFont"/>
    <w:uiPriority w:val="99"/>
    <w:semiHidden/>
    <w:unhideWhenUsed/>
    <w:rsid w:val="002159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9DF"/>
    <w:pPr>
      <w:tabs>
        <w:tab w:val="center" w:pos="4320"/>
        <w:tab w:val="right" w:pos="8640"/>
      </w:tabs>
    </w:pPr>
  </w:style>
  <w:style w:type="character" w:customStyle="1" w:styleId="FooterChar">
    <w:name w:val="Footer Char"/>
    <w:basedOn w:val="DefaultParagraphFont"/>
    <w:link w:val="Footer"/>
    <w:uiPriority w:val="99"/>
    <w:rsid w:val="002159DF"/>
  </w:style>
  <w:style w:type="character" w:styleId="PageNumber">
    <w:name w:val="page number"/>
    <w:basedOn w:val="DefaultParagraphFont"/>
    <w:uiPriority w:val="99"/>
    <w:semiHidden/>
    <w:unhideWhenUsed/>
    <w:rsid w:val="0021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407</Words>
  <Characters>2323</Characters>
  <Application>Microsoft Macintosh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1</cp:revision>
  <dcterms:created xsi:type="dcterms:W3CDTF">2015-06-09T18:17:00Z</dcterms:created>
  <dcterms:modified xsi:type="dcterms:W3CDTF">2015-06-09T23:41:00Z</dcterms:modified>
</cp:coreProperties>
</file>