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BD" w:rsidRDefault="005E0EBD" w:rsidP="005E0EBD">
      <w:pPr>
        <w:spacing w:after="0"/>
        <w:rPr>
          <w:rFonts w:ascii="Arial" w:hAnsi="Arial" w:cs="Arial"/>
          <w:b/>
          <w:sz w:val="24"/>
          <w:szCs w:val="24"/>
        </w:rPr>
      </w:pPr>
      <w:r>
        <w:rPr>
          <w:rFonts w:ascii="Arial" w:hAnsi="Arial" w:cs="Arial"/>
          <w:b/>
          <w:sz w:val="24"/>
          <w:szCs w:val="24"/>
        </w:rPr>
        <w:t>II-1-Staff-30</w:t>
      </w:r>
    </w:p>
    <w:p w:rsidR="005E0EBD" w:rsidRDefault="005E0EBD" w:rsidP="005E0EBD">
      <w:pPr>
        <w:spacing w:after="0"/>
        <w:rPr>
          <w:rFonts w:ascii="Arial" w:hAnsi="Arial" w:cs="Arial"/>
          <w:sz w:val="24"/>
          <w:szCs w:val="24"/>
          <w:u w:val="single"/>
        </w:rPr>
      </w:pPr>
      <w:r w:rsidRPr="00371769">
        <w:rPr>
          <w:rFonts w:ascii="Arial" w:hAnsi="Arial" w:cs="Arial"/>
          <w:sz w:val="24"/>
          <w:szCs w:val="24"/>
          <w:u w:val="single"/>
        </w:rPr>
        <w:t xml:space="preserve">Ref: </w:t>
      </w:r>
      <w:r>
        <w:rPr>
          <w:rFonts w:ascii="Arial" w:hAnsi="Arial" w:cs="Arial"/>
          <w:sz w:val="24"/>
          <w:szCs w:val="24"/>
          <w:u w:val="single"/>
        </w:rPr>
        <w:t>E N/T1/S1/p. 1</w:t>
      </w:r>
    </w:p>
    <w:p w:rsidR="005E0EBD" w:rsidRDefault="005E0EBD" w:rsidP="005E0EBD">
      <w:pPr>
        <w:spacing w:after="0"/>
        <w:rPr>
          <w:rFonts w:ascii="Arial" w:hAnsi="Arial" w:cs="Arial"/>
          <w:sz w:val="24"/>
          <w:szCs w:val="24"/>
        </w:rPr>
      </w:pPr>
      <w:r>
        <w:rPr>
          <w:rFonts w:ascii="Arial" w:hAnsi="Arial" w:cs="Arial"/>
          <w:sz w:val="24"/>
          <w:szCs w:val="24"/>
        </w:rPr>
        <w:t>At the above reference, PowerStream discusses its OPEB Deferral Account.</w:t>
      </w:r>
    </w:p>
    <w:p w:rsidR="005E0EBD" w:rsidRDefault="005E0EBD" w:rsidP="005E0EBD">
      <w:pPr>
        <w:spacing w:after="0"/>
        <w:rPr>
          <w:rFonts w:ascii="Arial" w:hAnsi="Arial" w:cs="Arial"/>
          <w:b/>
        </w:rPr>
      </w:pPr>
    </w:p>
    <w:p w:rsidR="005E0EBD" w:rsidRDefault="005E0EBD" w:rsidP="005E0EBD">
      <w:pPr>
        <w:rPr>
          <w:rFonts w:ascii="Arial" w:hAnsi="Arial" w:cs="Arial"/>
          <w:sz w:val="24"/>
          <w:szCs w:val="24"/>
        </w:rPr>
      </w:pPr>
      <w:r w:rsidRPr="00BB25C9">
        <w:rPr>
          <w:rFonts w:ascii="Arial" w:hAnsi="Arial" w:cs="Arial"/>
          <w:sz w:val="24"/>
          <w:szCs w:val="24"/>
        </w:rPr>
        <w:t xml:space="preserve">PowerStream has recovered OPEBs in rates previously.  </w:t>
      </w:r>
    </w:p>
    <w:p w:rsidR="005E0EBD" w:rsidRPr="00BB25C9" w:rsidRDefault="005E0EBD" w:rsidP="005E0EBD">
      <w:pPr>
        <w:pStyle w:val="ListParagraph"/>
        <w:numPr>
          <w:ilvl w:val="0"/>
          <w:numId w:val="1"/>
        </w:numPr>
        <w:spacing w:after="0"/>
        <w:rPr>
          <w:rFonts w:ascii="Arial" w:hAnsi="Arial" w:cs="Arial"/>
          <w:sz w:val="24"/>
          <w:szCs w:val="24"/>
        </w:rPr>
      </w:pPr>
      <w:r w:rsidRPr="00BB25C9">
        <w:rPr>
          <w:rFonts w:ascii="Arial" w:hAnsi="Arial" w:cs="Arial"/>
          <w:sz w:val="24"/>
          <w:szCs w:val="24"/>
        </w:rPr>
        <w:t>Please indicate if OPEBs were recovered on a cash or accrual accounting basis for each year since PowerStream started to recover OPEBs.</w:t>
      </w:r>
    </w:p>
    <w:p w:rsidR="005E0EBD" w:rsidRPr="00BB25C9" w:rsidRDefault="005E0EBD" w:rsidP="005E0EBD">
      <w:pPr>
        <w:pStyle w:val="ListParagraph"/>
        <w:rPr>
          <w:rFonts w:ascii="Arial" w:hAnsi="Arial" w:cs="Arial"/>
          <w:sz w:val="24"/>
          <w:szCs w:val="24"/>
        </w:rPr>
      </w:pPr>
    </w:p>
    <w:p w:rsidR="005E0EBD" w:rsidRPr="00BB25C9" w:rsidRDefault="005E0EBD" w:rsidP="005E0EBD">
      <w:pPr>
        <w:pStyle w:val="ListParagraph"/>
        <w:numPr>
          <w:ilvl w:val="0"/>
          <w:numId w:val="1"/>
        </w:numPr>
        <w:spacing w:after="0"/>
        <w:rPr>
          <w:rFonts w:ascii="Arial" w:hAnsi="Arial" w:cs="Arial"/>
          <w:sz w:val="24"/>
          <w:szCs w:val="24"/>
        </w:rPr>
      </w:pPr>
      <w:r w:rsidRPr="00BB25C9">
        <w:rPr>
          <w:rFonts w:ascii="Arial" w:hAnsi="Arial" w:cs="Arial"/>
          <w:sz w:val="24"/>
          <w:szCs w:val="24"/>
        </w:rPr>
        <w:t xml:space="preserve">Please complete the table below to show </w:t>
      </w:r>
      <w:r>
        <w:rPr>
          <w:rFonts w:ascii="Arial" w:hAnsi="Arial" w:cs="Arial"/>
          <w:sz w:val="24"/>
          <w:szCs w:val="24"/>
        </w:rPr>
        <w:t xml:space="preserve">the difference, if any, between </w:t>
      </w:r>
      <w:r w:rsidRPr="00BB25C9">
        <w:rPr>
          <w:rFonts w:ascii="Arial" w:hAnsi="Arial" w:cs="Arial"/>
          <w:sz w:val="24"/>
          <w:szCs w:val="24"/>
        </w:rPr>
        <w:t>the actual cash benefit payments</w:t>
      </w:r>
      <w:r>
        <w:rPr>
          <w:rFonts w:ascii="Arial" w:hAnsi="Arial" w:cs="Arial"/>
          <w:sz w:val="24"/>
          <w:szCs w:val="24"/>
        </w:rPr>
        <w:t xml:space="preserve"> and the amounts</w:t>
      </w:r>
      <w:r w:rsidRPr="00BB25C9">
        <w:rPr>
          <w:rFonts w:ascii="Arial" w:hAnsi="Arial" w:cs="Arial"/>
          <w:sz w:val="24"/>
          <w:szCs w:val="24"/>
        </w:rPr>
        <w:t xml:space="preserve"> recovered from ratepayers from the year PowerStream started recovering amounts for OPEBs.</w:t>
      </w:r>
    </w:p>
    <w:p w:rsidR="005E0EBD" w:rsidRPr="00BB25C9" w:rsidRDefault="005E0EBD" w:rsidP="005E0EBD">
      <w:pPr>
        <w:rPr>
          <w:rFonts w:ascii="Arial" w:hAnsi="Arial" w:cs="Arial"/>
        </w:rPr>
      </w:pPr>
    </w:p>
    <w:tbl>
      <w:tblPr>
        <w:tblW w:w="10456" w:type="dxa"/>
        <w:tblInd w:w="-893" w:type="dxa"/>
        <w:tblCellMar>
          <w:left w:w="0" w:type="dxa"/>
          <w:right w:w="0" w:type="dxa"/>
        </w:tblCellMar>
        <w:tblLook w:val="04A0" w:firstRow="1" w:lastRow="0" w:firstColumn="1" w:lastColumn="0" w:noHBand="0" w:noVBand="1"/>
      </w:tblPr>
      <w:tblGrid>
        <w:gridCol w:w="2376"/>
        <w:gridCol w:w="1418"/>
        <w:gridCol w:w="992"/>
        <w:gridCol w:w="992"/>
        <w:gridCol w:w="993"/>
        <w:gridCol w:w="1134"/>
        <w:gridCol w:w="1134"/>
        <w:gridCol w:w="1417"/>
      </w:tblGrid>
      <w:tr w:rsidR="005E0EBD" w:rsidRPr="00BB25C9" w:rsidTr="00E37E7F">
        <w:trPr>
          <w:trHeight w:val="551"/>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b/>
                <w:bCs/>
                <w:lang w:eastAsia="en-CA"/>
              </w:rPr>
              <w:t>OPEBs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jc w:val="center"/>
              <w:rPr>
                <w:rFonts w:ascii="Arial" w:eastAsia="Calibri" w:hAnsi="Arial" w:cs="Arial"/>
                <w:lang w:eastAsia="en-CA"/>
              </w:rPr>
            </w:pPr>
            <w:r w:rsidRPr="00BB25C9">
              <w:rPr>
                <w:rFonts w:ascii="Arial" w:hAnsi="Arial" w:cs="Arial"/>
                <w:b/>
                <w:bCs/>
                <w:lang w:eastAsia="en-CA"/>
              </w:rPr>
              <w:t>First year of recovery to 2011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jc w:val="center"/>
              <w:rPr>
                <w:rFonts w:ascii="Arial" w:eastAsia="Calibri" w:hAnsi="Arial" w:cs="Arial"/>
                <w:b/>
                <w:bCs/>
                <w:lang w:eastAsia="en-CA"/>
              </w:rPr>
            </w:pPr>
            <w:r w:rsidRPr="00BB25C9">
              <w:rPr>
                <w:rFonts w:ascii="Arial" w:hAnsi="Arial" w:cs="Arial"/>
                <w:b/>
                <w:bCs/>
                <w:lang w:eastAsia="en-CA"/>
              </w:rPr>
              <w:t>2012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jc w:val="center"/>
              <w:rPr>
                <w:rFonts w:ascii="Arial" w:eastAsia="Calibri" w:hAnsi="Arial" w:cs="Arial"/>
                <w:b/>
                <w:bCs/>
                <w:lang w:eastAsia="en-CA"/>
              </w:rPr>
            </w:pPr>
            <w:r w:rsidRPr="00BB25C9">
              <w:rPr>
                <w:rFonts w:ascii="Arial" w:hAnsi="Arial" w:cs="Arial"/>
                <w:b/>
                <w:bCs/>
                <w:lang w:eastAsia="en-CA"/>
              </w:rPr>
              <w:t>2013</w:t>
            </w:r>
          </w:p>
        </w:tc>
        <w:tc>
          <w:tcPr>
            <w:tcW w:w="993" w:type="dxa"/>
            <w:tcBorders>
              <w:top w:val="single" w:sz="8" w:space="0" w:color="auto"/>
              <w:left w:val="nil"/>
              <w:bottom w:val="single" w:sz="8" w:space="0" w:color="auto"/>
              <w:right w:val="single" w:sz="8" w:space="0" w:color="auto"/>
            </w:tcBorders>
            <w:hideMark/>
          </w:tcPr>
          <w:p w:rsidR="005E0EBD" w:rsidRPr="00BB25C9" w:rsidRDefault="005E0EBD" w:rsidP="00E37E7F">
            <w:pPr>
              <w:spacing w:before="100" w:beforeAutospacing="1"/>
              <w:jc w:val="center"/>
              <w:rPr>
                <w:rFonts w:ascii="Arial" w:eastAsia="Calibri" w:hAnsi="Arial" w:cs="Arial"/>
                <w:lang w:eastAsia="en-CA"/>
              </w:rPr>
            </w:pPr>
            <w:r w:rsidRPr="00BB25C9">
              <w:rPr>
                <w:rFonts w:ascii="Arial" w:hAnsi="Arial" w:cs="Arial"/>
                <w:b/>
                <w:bCs/>
                <w:lang w:eastAsia="en-CA"/>
              </w:rPr>
              <w:t xml:space="preserve">2014 </w:t>
            </w:r>
          </w:p>
        </w:tc>
        <w:tc>
          <w:tcPr>
            <w:tcW w:w="1134" w:type="dxa"/>
            <w:tcBorders>
              <w:top w:val="single" w:sz="8" w:space="0" w:color="auto"/>
              <w:left w:val="nil"/>
              <w:bottom w:val="single" w:sz="8" w:space="0" w:color="auto"/>
              <w:right w:val="single" w:sz="8" w:space="0" w:color="auto"/>
            </w:tcBorders>
            <w:hideMark/>
          </w:tcPr>
          <w:p w:rsidR="005E0EBD" w:rsidRPr="00BB25C9" w:rsidRDefault="005E0EBD" w:rsidP="00E37E7F">
            <w:pPr>
              <w:spacing w:before="100" w:beforeAutospacing="1"/>
              <w:jc w:val="center"/>
              <w:rPr>
                <w:rFonts w:ascii="Arial" w:eastAsia="Calibri" w:hAnsi="Arial" w:cs="Arial"/>
                <w:b/>
                <w:bCs/>
                <w:lang w:eastAsia="en-CA"/>
              </w:rPr>
            </w:pPr>
            <w:r w:rsidRPr="00BB25C9">
              <w:rPr>
                <w:rFonts w:ascii="Arial" w:hAnsi="Arial" w:cs="Arial"/>
                <w:b/>
                <w:bCs/>
                <w:lang w:eastAsia="en-CA"/>
              </w:rPr>
              <w:t>2015</w:t>
            </w: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jc w:val="center"/>
              <w:rPr>
                <w:rFonts w:ascii="Arial" w:hAnsi="Arial" w:cs="Arial"/>
                <w:b/>
                <w:bCs/>
                <w:lang w:eastAsia="en-CA"/>
              </w:rPr>
            </w:pPr>
            <w:r w:rsidRPr="00BB25C9">
              <w:rPr>
                <w:rFonts w:ascii="Arial" w:hAnsi="Arial" w:cs="Arial"/>
                <w:b/>
                <w:bCs/>
                <w:lang w:eastAsia="en-CA"/>
              </w:rPr>
              <w:t>2016</w:t>
            </w:r>
          </w:p>
        </w:tc>
        <w:tc>
          <w:tcPr>
            <w:tcW w:w="1417" w:type="dxa"/>
            <w:tcBorders>
              <w:top w:val="single" w:sz="8" w:space="0" w:color="auto"/>
              <w:left w:val="single" w:sz="8" w:space="0" w:color="auto"/>
              <w:bottom w:val="single" w:sz="8" w:space="0" w:color="auto"/>
              <w:right w:val="single" w:sz="8" w:space="0" w:color="auto"/>
            </w:tcBorders>
            <w:hideMark/>
          </w:tcPr>
          <w:p w:rsidR="005E0EBD" w:rsidRPr="00BB25C9" w:rsidRDefault="005E0EBD" w:rsidP="00E37E7F">
            <w:pPr>
              <w:spacing w:before="100" w:beforeAutospacing="1"/>
              <w:jc w:val="center"/>
              <w:rPr>
                <w:rFonts w:ascii="Arial" w:eastAsia="Calibri" w:hAnsi="Arial" w:cs="Arial"/>
                <w:b/>
                <w:bCs/>
                <w:lang w:eastAsia="en-CA"/>
              </w:rPr>
            </w:pPr>
            <w:r w:rsidRPr="00BB25C9">
              <w:rPr>
                <w:rFonts w:ascii="Arial" w:hAnsi="Arial" w:cs="Arial"/>
                <w:b/>
                <w:bCs/>
                <w:lang w:eastAsia="en-CA"/>
              </w:rPr>
              <w:t>Total</w:t>
            </w:r>
          </w:p>
        </w:tc>
      </w:tr>
      <w:tr w:rsidR="005E0EBD" w:rsidRPr="00BB25C9" w:rsidTr="00E37E7F">
        <w:trPr>
          <w:trHeight w:val="328"/>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Amounts included in rates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3"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417" w:type="dxa"/>
            <w:tcBorders>
              <w:top w:val="nil"/>
              <w:left w:val="single" w:sz="8" w:space="0" w:color="auto"/>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r>
      <w:tr w:rsidR="005E0EBD" w:rsidRPr="00BB25C9" w:rsidTr="00E37E7F">
        <w:trPr>
          <w:trHeight w:val="344"/>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OM&amp;A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3"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417" w:type="dxa"/>
            <w:tcBorders>
              <w:top w:val="nil"/>
              <w:left w:val="single" w:sz="8" w:space="0" w:color="auto"/>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r>
      <w:tr w:rsidR="005E0EBD" w:rsidRPr="00BB25C9" w:rsidTr="00E37E7F">
        <w:trPr>
          <w:trHeight w:val="344"/>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xml:space="preserve">      Capital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3"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417" w:type="dxa"/>
            <w:tcBorders>
              <w:top w:val="nil"/>
              <w:left w:val="single" w:sz="8" w:space="0" w:color="auto"/>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r>
      <w:tr w:rsidR="005E0EBD" w:rsidRPr="00BB25C9" w:rsidTr="00E37E7F">
        <w:trPr>
          <w:trHeight w:val="344"/>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Sub-total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3"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417" w:type="dxa"/>
            <w:tcBorders>
              <w:top w:val="nil"/>
              <w:left w:val="single" w:sz="8" w:space="0" w:color="auto"/>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r>
      <w:tr w:rsidR="005E0EBD" w:rsidRPr="00BB25C9" w:rsidTr="00E37E7F">
        <w:trPr>
          <w:trHeight w:val="344"/>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Paid benefit amounts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3"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417" w:type="dxa"/>
            <w:tcBorders>
              <w:top w:val="nil"/>
              <w:left w:val="single" w:sz="8" w:space="0" w:color="auto"/>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r>
      <w:tr w:rsidR="005E0EBD" w:rsidRPr="00BB25C9" w:rsidTr="00E37E7F">
        <w:trPr>
          <w:trHeight w:val="344"/>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Net excess amount included in rates greater than amounts actually paid</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E0EBD" w:rsidRPr="00BB25C9" w:rsidRDefault="005E0EBD" w:rsidP="00E37E7F">
            <w:pPr>
              <w:spacing w:before="100" w:beforeAutospacing="1"/>
              <w:rPr>
                <w:rFonts w:ascii="Arial" w:eastAsia="Calibri" w:hAnsi="Arial" w:cs="Arial"/>
                <w:lang w:eastAsia="en-CA"/>
              </w:rPr>
            </w:pPr>
            <w:r w:rsidRPr="00BB25C9">
              <w:rPr>
                <w:rFonts w:ascii="Arial" w:hAnsi="Arial" w:cs="Arial"/>
                <w:lang w:eastAsia="en-CA"/>
              </w:rPr>
              <w:t> </w:t>
            </w:r>
          </w:p>
        </w:tc>
        <w:tc>
          <w:tcPr>
            <w:tcW w:w="993"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nil"/>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134" w:type="dxa"/>
            <w:tcBorders>
              <w:top w:val="single" w:sz="8" w:space="0" w:color="auto"/>
              <w:left w:val="nil"/>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c>
          <w:tcPr>
            <w:tcW w:w="1417" w:type="dxa"/>
            <w:tcBorders>
              <w:top w:val="nil"/>
              <w:left w:val="single" w:sz="8" w:space="0" w:color="auto"/>
              <w:bottom w:val="single" w:sz="8" w:space="0" w:color="auto"/>
              <w:right w:val="single" w:sz="8" w:space="0" w:color="auto"/>
            </w:tcBorders>
          </w:tcPr>
          <w:p w:rsidR="005E0EBD" w:rsidRPr="00BB25C9" w:rsidRDefault="005E0EBD" w:rsidP="00E37E7F">
            <w:pPr>
              <w:spacing w:before="100" w:beforeAutospacing="1"/>
              <w:rPr>
                <w:rFonts w:ascii="Arial" w:eastAsia="Calibri" w:hAnsi="Arial" w:cs="Arial"/>
                <w:lang w:eastAsia="en-CA"/>
              </w:rPr>
            </w:pPr>
          </w:p>
        </w:tc>
      </w:tr>
    </w:tbl>
    <w:p w:rsidR="005E0EBD" w:rsidRPr="00BB25C9" w:rsidRDefault="005E0EBD" w:rsidP="005E0EBD">
      <w:pPr>
        <w:rPr>
          <w:rFonts w:ascii="Arial" w:eastAsia="Calibri" w:hAnsi="Arial" w:cs="Arial"/>
        </w:rPr>
      </w:pPr>
    </w:p>
    <w:p w:rsidR="005E0EBD" w:rsidRPr="00BB25C9" w:rsidRDefault="005E0EBD" w:rsidP="005E0EBD">
      <w:pPr>
        <w:pStyle w:val="ListParagraph"/>
        <w:numPr>
          <w:ilvl w:val="0"/>
          <w:numId w:val="1"/>
        </w:numPr>
        <w:spacing w:after="10"/>
        <w:rPr>
          <w:rFonts w:ascii="Arial" w:hAnsi="Arial" w:cs="Arial"/>
          <w:sz w:val="24"/>
          <w:szCs w:val="24"/>
        </w:rPr>
      </w:pPr>
      <w:r w:rsidRPr="00BB25C9">
        <w:rPr>
          <w:rFonts w:ascii="Arial" w:hAnsi="Arial" w:cs="Arial"/>
          <w:sz w:val="24"/>
          <w:szCs w:val="24"/>
        </w:rPr>
        <w:t xml:space="preserve">Please describe what PowerStream has done with </w:t>
      </w:r>
      <w:r>
        <w:rPr>
          <w:rFonts w:ascii="Arial" w:hAnsi="Arial" w:cs="Arial"/>
          <w:sz w:val="24"/>
          <w:szCs w:val="24"/>
        </w:rPr>
        <w:t>any</w:t>
      </w:r>
      <w:r w:rsidRPr="00BB25C9">
        <w:rPr>
          <w:rFonts w:ascii="Arial" w:hAnsi="Arial" w:cs="Arial"/>
          <w:sz w:val="24"/>
          <w:szCs w:val="24"/>
        </w:rPr>
        <w:t xml:space="preserve"> recoveries in excess of </w:t>
      </w:r>
      <w:r w:rsidR="00B71756">
        <w:rPr>
          <w:rFonts w:ascii="Arial" w:hAnsi="Arial" w:cs="Arial"/>
          <w:sz w:val="24"/>
          <w:szCs w:val="24"/>
        </w:rPr>
        <w:t>c</w:t>
      </w:r>
      <w:r w:rsidRPr="00BB25C9">
        <w:rPr>
          <w:rFonts w:ascii="Arial" w:hAnsi="Arial" w:cs="Arial"/>
          <w:sz w:val="24"/>
          <w:szCs w:val="24"/>
        </w:rPr>
        <w:t>ash benefit payments.</w:t>
      </w:r>
    </w:p>
    <w:p w:rsidR="003F3341" w:rsidRPr="00A720EB" w:rsidRDefault="003F3341" w:rsidP="00B71756">
      <w:pPr>
        <w:spacing w:before="360"/>
        <w:rPr>
          <w:rFonts w:ascii="Arial" w:hAnsi="Arial" w:cs="Arial"/>
          <w:b/>
          <w:sz w:val="24"/>
        </w:rPr>
      </w:pPr>
      <w:r w:rsidRPr="00A720EB">
        <w:rPr>
          <w:rFonts w:ascii="Arial" w:hAnsi="Arial" w:cs="Arial"/>
          <w:b/>
          <w:sz w:val="24"/>
        </w:rPr>
        <w:t>Response:</w:t>
      </w:r>
    </w:p>
    <w:p w:rsidR="00BD2BDD" w:rsidRDefault="00FD6D2F" w:rsidP="00B71756">
      <w:pPr>
        <w:pStyle w:val="ListParagraph"/>
        <w:numPr>
          <w:ilvl w:val="0"/>
          <w:numId w:val="2"/>
        </w:numPr>
        <w:rPr>
          <w:rFonts w:ascii="Arial" w:hAnsi="Arial" w:cs="Arial"/>
          <w:sz w:val="24"/>
          <w:szCs w:val="24"/>
        </w:rPr>
      </w:pPr>
      <w:r w:rsidRPr="00FD6D2F">
        <w:rPr>
          <w:rFonts w:ascii="Arial" w:hAnsi="Arial" w:cs="Arial"/>
          <w:sz w:val="24"/>
          <w:szCs w:val="24"/>
        </w:rPr>
        <w:t xml:space="preserve">PowerStream </w:t>
      </w:r>
      <w:r w:rsidR="00B71756">
        <w:rPr>
          <w:rFonts w:ascii="Arial" w:hAnsi="Arial" w:cs="Arial"/>
          <w:sz w:val="24"/>
          <w:szCs w:val="24"/>
        </w:rPr>
        <w:t>can</w:t>
      </w:r>
      <w:r w:rsidRPr="00FD6D2F">
        <w:rPr>
          <w:rFonts w:ascii="Arial" w:hAnsi="Arial" w:cs="Arial"/>
          <w:sz w:val="24"/>
          <w:szCs w:val="24"/>
        </w:rPr>
        <w:t xml:space="preserve">not </w:t>
      </w:r>
      <w:r w:rsidR="00B71756">
        <w:rPr>
          <w:rFonts w:ascii="Arial" w:hAnsi="Arial" w:cs="Arial"/>
          <w:sz w:val="24"/>
          <w:szCs w:val="24"/>
        </w:rPr>
        <w:t>provide</w:t>
      </w:r>
      <w:r w:rsidR="007149F7">
        <w:rPr>
          <w:rFonts w:ascii="Arial" w:hAnsi="Arial" w:cs="Arial"/>
          <w:sz w:val="24"/>
          <w:szCs w:val="24"/>
        </w:rPr>
        <w:t xml:space="preserve"> all of</w:t>
      </w:r>
      <w:r w:rsidRPr="00FD6D2F">
        <w:rPr>
          <w:rFonts w:ascii="Arial" w:hAnsi="Arial" w:cs="Arial"/>
          <w:sz w:val="24"/>
          <w:szCs w:val="24"/>
        </w:rPr>
        <w:t xml:space="preserve"> the information requested</w:t>
      </w:r>
      <w:r w:rsidR="00E10085">
        <w:rPr>
          <w:rFonts w:ascii="Arial" w:hAnsi="Arial" w:cs="Arial"/>
          <w:sz w:val="24"/>
          <w:szCs w:val="24"/>
        </w:rPr>
        <w:t xml:space="preserve"> within the schedule for interrogatory responses</w:t>
      </w:r>
      <w:r w:rsidR="00F21E36">
        <w:rPr>
          <w:rFonts w:ascii="Arial" w:hAnsi="Arial" w:cs="Arial"/>
          <w:sz w:val="24"/>
          <w:szCs w:val="24"/>
        </w:rPr>
        <w:t xml:space="preserve">.  This time period </w:t>
      </w:r>
      <w:r w:rsidR="00E10085">
        <w:rPr>
          <w:rFonts w:ascii="Arial" w:hAnsi="Arial" w:cs="Arial"/>
          <w:sz w:val="24"/>
          <w:szCs w:val="24"/>
        </w:rPr>
        <w:t xml:space="preserve">in the table </w:t>
      </w:r>
      <w:r w:rsidR="00F21E36">
        <w:rPr>
          <w:rFonts w:ascii="Arial" w:hAnsi="Arial" w:cs="Arial"/>
          <w:sz w:val="24"/>
          <w:szCs w:val="24"/>
        </w:rPr>
        <w:t>pre-dates the</w:t>
      </w:r>
      <w:r w:rsidR="00B71756" w:rsidRPr="00FD6D2F">
        <w:rPr>
          <w:rFonts w:ascii="Arial" w:hAnsi="Arial" w:cs="Arial"/>
          <w:sz w:val="24"/>
          <w:szCs w:val="24"/>
        </w:rPr>
        <w:t xml:space="preserve"> first rate case </w:t>
      </w:r>
      <w:r w:rsidR="00F21E36">
        <w:rPr>
          <w:rFonts w:ascii="Arial" w:hAnsi="Arial" w:cs="Arial"/>
          <w:sz w:val="24"/>
          <w:szCs w:val="24"/>
        </w:rPr>
        <w:t>of the</w:t>
      </w:r>
      <w:r w:rsidR="00B71756" w:rsidRPr="00FD6D2F">
        <w:rPr>
          <w:rFonts w:ascii="Arial" w:hAnsi="Arial" w:cs="Arial"/>
          <w:sz w:val="24"/>
          <w:szCs w:val="24"/>
        </w:rPr>
        <w:t xml:space="preserve"> amalgamated </w:t>
      </w:r>
      <w:r w:rsidRPr="00FD6D2F">
        <w:rPr>
          <w:rFonts w:ascii="Arial" w:hAnsi="Arial" w:cs="Arial"/>
          <w:sz w:val="24"/>
          <w:szCs w:val="24"/>
        </w:rPr>
        <w:t>company</w:t>
      </w:r>
      <w:r w:rsidR="00EE285F">
        <w:rPr>
          <w:rFonts w:ascii="Arial" w:hAnsi="Arial" w:cs="Arial"/>
          <w:sz w:val="24"/>
          <w:szCs w:val="24"/>
        </w:rPr>
        <w:t xml:space="preserve"> </w:t>
      </w:r>
      <w:r w:rsidR="00F21E36">
        <w:rPr>
          <w:rFonts w:ascii="Arial" w:hAnsi="Arial" w:cs="Arial"/>
          <w:sz w:val="24"/>
          <w:szCs w:val="24"/>
        </w:rPr>
        <w:t>resulting from</w:t>
      </w:r>
      <w:r w:rsidR="00D64584">
        <w:rPr>
          <w:rFonts w:ascii="Arial" w:hAnsi="Arial" w:cs="Arial"/>
          <w:sz w:val="24"/>
          <w:szCs w:val="24"/>
        </w:rPr>
        <w:t xml:space="preserve"> the </w:t>
      </w:r>
      <w:r w:rsidR="00F21E36">
        <w:rPr>
          <w:rFonts w:ascii="Arial" w:hAnsi="Arial" w:cs="Arial"/>
          <w:sz w:val="24"/>
          <w:szCs w:val="24"/>
        </w:rPr>
        <w:t xml:space="preserve">PowerStream </w:t>
      </w:r>
      <w:r w:rsidR="00D64584">
        <w:rPr>
          <w:rFonts w:ascii="Arial" w:hAnsi="Arial" w:cs="Arial"/>
          <w:sz w:val="24"/>
          <w:szCs w:val="24"/>
        </w:rPr>
        <w:t xml:space="preserve">merger with </w:t>
      </w:r>
      <w:r w:rsidR="00D64584">
        <w:rPr>
          <w:rFonts w:ascii="Arial" w:hAnsi="Arial" w:cs="Arial"/>
          <w:sz w:val="24"/>
          <w:szCs w:val="24"/>
        </w:rPr>
        <w:lastRenderedPageBreak/>
        <w:t>Barrie Hydro Distribution Limited</w:t>
      </w:r>
      <w:r w:rsidR="00F21E36">
        <w:rPr>
          <w:rFonts w:ascii="Arial" w:hAnsi="Arial" w:cs="Arial"/>
          <w:sz w:val="24"/>
          <w:szCs w:val="24"/>
        </w:rPr>
        <w:t xml:space="preserve"> (EB-2012-0161</w:t>
      </w:r>
      <w:r w:rsidR="00F21E36" w:rsidRPr="00FD6D2F">
        <w:rPr>
          <w:rFonts w:ascii="Arial" w:hAnsi="Arial" w:cs="Arial"/>
          <w:sz w:val="24"/>
          <w:szCs w:val="24"/>
        </w:rPr>
        <w:t>)</w:t>
      </w:r>
      <w:r w:rsidR="00F21E36">
        <w:rPr>
          <w:rFonts w:ascii="Arial" w:hAnsi="Arial" w:cs="Arial"/>
          <w:sz w:val="24"/>
          <w:szCs w:val="24"/>
        </w:rPr>
        <w:t>.</w:t>
      </w:r>
      <w:r w:rsidRPr="00FD6D2F">
        <w:rPr>
          <w:rFonts w:ascii="Arial" w:hAnsi="Arial" w:cs="Arial"/>
          <w:sz w:val="24"/>
          <w:szCs w:val="24"/>
        </w:rPr>
        <w:t xml:space="preserve"> </w:t>
      </w:r>
      <w:r w:rsidR="00F21E36">
        <w:rPr>
          <w:rFonts w:ascii="Arial" w:hAnsi="Arial" w:cs="Arial"/>
          <w:sz w:val="24"/>
          <w:szCs w:val="24"/>
        </w:rPr>
        <w:t xml:space="preserve"> </w:t>
      </w:r>
      <w:r w:rsidR="00D64584">
        <w:rPr>
          <w:rFonts w:ascii="Arial" w:hAnsi="Arial" w:cs="Arial"/>
          <w:sz w:val="24"/>
          <w:szCs w:val="24"/>
        </w:rPr>
        <w:t>In its 2013 rate application and the current Application</w:t>
      </w:r>
      <w:r w:rsidRPr="00FD6D2F">
        <w:rPr>
          <w:rFonts w:ascii="Arial" w:hAnsi="Arial" w:cs="Arial"/>
          <w:sz w:val="24"/>
          <w:szCs w:val="24"/>
        </w:rPr>
        <w:t>, PowerStream has used the accrual method.</w:t>
      </w:r>
      <w:r w:rsidR="007149F7">
        <w:rPr>
          <w:rFonts w:ascii="Arial" w:hAnsi="Arial" w:cs="Arial"/>
          <w:sz w:val="24"/>
          <w:szCs w:val="24"/>
        </w:rPr>
        <w:t xml:space="preserve"> </w:t>
      </w:r>
    </w:p>
    <w:p w:rsidR="00D64584" w:rsidRDefault="00D64584" w:rsidP="00D64584">
      <w:pPr>
        <w:pStyle w:val="ListParagraph"/>
        <w:rPr>
          <w:rFonts w:ascii="Arial" w:hAnsi="Arial" w:cs="Arial"/>
          <w:sz w:val="24"/>
          <w:szCs w:val="24"/>
        </w:rPr>
      </w:pPr>
    </w:p>
    <w:p w:rsidR="00F35A7A" w:rsidRPr="00F35A7A" w:rsidRDefault="00F35A7A" w:rsidP="00F35A7A">
      <w:pPr>
        <w:pStyle w:val="ListParagraph"/>
        <w:numPr>
          <w:ilvl w:val="0"/>
          <w:numId w:val="2"/>
        </w:numPr>
        <w:spacing w:after="0"/>
        <w:rPr>
          <w:rFonts w:ascii="Arial" w:hAnsi="Arial" w:cs="Arial"/>
          <w:sz w:val="24"/>
          <w:szCs w:val="24"/>
        </w:rPr>
      </w:pPr>
      <w:r w:rsidRPr="00F35A7A">
        <w:rPr>
          <w:rFonts w:ascii="Arial" w:hAnsi="Arial" w:cs="Arial"/>
          <w:sz w:val="24"/>
          <w:szCs w:val="24"/>
        </w:rPr>
        <w:t>PowerStream has provided the available data in Table II-1-Staff-30-1 below.</w:t>
      </w:r>
    </w:p>
    <w:p w:rsidR="00265EB7" w:rsidRDefault="00050F94" w:rsidP="00050F94">
      <w:pPr>
        <w:spacing w:before="240" w:after="240"/>
        <w:jc w:val="center"/>
        <w:rPr>
          <w:rFonts w:ascii="Arial" w:hAnsi="Arial" w:cs="Arial"/>
          <w:b/>
          <w:sz w:val="24"/>
          <w:szCs w:val="24"/>
        </w:rPr>
      </w:pPr>
      <w:r w:rsidRPr="00050F94">
        <w:rPr>
          <w:rFonts w:ascii="Arial" w:hAnsi="Arial" w:cs="Arial"/>
          <w:b/>
          <w:sz w:val="24"/>
          <w:szCs w:val="24"/>
        </w:rPr>
        <w:t>Table II-1-Staff-30-1: OPEB Data</w:t>
      </w:r>
      <w:r w:rsidR="005F67D6">
        <w:rPr>
          <w:rFonts w:ascii="Arial" w:hAnsi="Arial" w:cs="Arial"/>
          <w:b/>
          <w:sz w:val="24"/>
          <w:szCs w:val="24"/>
        </w:rPr>
        <w:t xml:space="preserve"> ($ thousands)</w:t>
      </w:r>
    </w:p>
    <w:tbl>
      <w:tblPr>
        <w:tblW w:w="9118" w:type="dxa"/>
        <w:jc w:val="center"/>
        <w:tblInd w:w="93" w:type="dxa"/>
        <w:tblLook w:val="04A0" w:firstRow="1" w:lastRow="0" w:firstColumn="1" w:lastColumn="0" w:noHBand="0" w:noVBand="1"/>
      </w:tblPr>
      <w:tblGrid>
        <w:gridCol w:w="1658"/>
        <w:gridCol w:w="980"/>
        <w:gridCol w:w="980"/>
        <w:gridCol w:w="1000"/>
        <w:gridCol w:w="980"/>
        <w:gridCol w:w="840"/>
        <w:gridCol w:w="840"/>
        <w:gridCol w:w="840"/>
        <w:gridCol w:w="1000"/>
      </w:tblGrid>
      <w:tr w:rsidR="007149F7" w:rsidRPr="007149F7" w:rsidTr="007149F7">
        <w:trPr>
          <w:trHeight w:val="315"/>
          <w:jc w:val="center"/>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2009</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2011</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2012</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2013</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2014</w:t>
            </w:r>
          </w:p>
        </w:tc>
        <w:tc>
          <w:tcPr>
            <w:tcW w:w="840" w:type="dxa"/>
            <w:tcBorders>
              <w:top w:val="single" w:sz="4" w:space="0" w:color="auto"/>
              <w:left w:val="nil"/>
              <w:bottom w:val="single" w:sz="4" w:space="0" w:color="auto"/>
              <w:right w:val="nil"/>
            </w:tcBorders>
            <w:shd w:val="clear" w:color="auto" w:fill="auto"/>
            <w:noWrap/>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jc w:val="center"/>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2016</w:t>
            </w:r>
          </w:p>
        </w:tc>
      </w:tr>
      <w:tr w:rsidR="007149F7" w:rsidRPr="007149F7" w:rsidTr="007149F7">
        <w:trPr>
          <w:trHeight w:val="345"/>
          <w:jc w:val="center"/>
        </w:trPr>
        <w:tc>
          <w:tcPr>
            <w:tcW w:w="16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Amounts in rates</w:t>
            </w:r>
            <w:r w:rsidRPr="007149F7">
              <w:rPr>
                <w:rFonts w:ascii="Arial Narrow" w:eastAsia="Times New Roman" w:hAnsi="Arial Narrow" w:cs="Times New Roman"/>
                <w:b/>
                <w:bCs/>
                <w:color w:val="000000"/>
                <w:sz w:val="18"/>
                <w:szCs w:val="18"/>
                <w:vertAlign w:val="superscript"/>
                <w:lang w:eastAsia="en-CA"/>
              </w:rPr>
              <w:t>1</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w:t>
            </w:r>
          </w:p>
        </w:tc>
        <w:tc>
          <w:tcPr>
            <w:tcW w:w="840" w:type="dxa"/>
            <w:tcBorders>
              <w:top w:val="single" w:sz="8"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840" w:type="dxa"/>
            <w:tcBorders>
              <w:top w:val="single" w:sz="8" w:space="0" w:color="auto"/>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840" w:type="dxa"/>
            <w:tcBorders>
              <w:top w:val="single" w:sz="8" w:space="0" w:color="auto"/>
              <w:left w:val="nil"/>
              <w:bottom w:val="single" w:sz="4" w:space="0" w:color="auto"/>
              <w:right w:val="nil"/>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10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r>
      <w:tr w:rsidR="007149F7" w:rsidRPr="007149F7" w:rsidTr="007149F7">
        <w:trPr>
          <w:trHeight w:val="300"/>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OM&amp;A</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100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1,198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1,198 </w:t>
            </w:r>
          </w:p>
        </w:tc>
        <w:tc>
          <w:tcPr>
            <w:tcW w:w="840" w:type="dxa"/>
            <w:tcBorders>
              <w:top w:val="nil"/>
              <w:left w:val="nil"/>
              <w:bottom w:val="single" w:sz="4" w:space="0" w:color="auto"/>
              <w:right w:val="nil"/>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1,198 </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7149F7" w:rsidRPr="007149F7" w:rsidRDefault="007149F7" w:rsidP="007149F7">
            <w:pPr>
              <w:spacing w:after="0" w:line="240" w:lineRule="auto"/>
              <w:jc w:val="right"/>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875</w:t>
            </w:r>
          </w:p>
        </w:tc>
      </w:tr>
      <w:tr w:rsidR="007149F7" w:rsidRPr="007149F7" w:rsidTr="007149F7">
        <w:trPr>
          <w:trHeight w:val="300"/>
          <w:jc w:val="center"/>
        </w:trPr>
        <w:tc>
          <w:tcPr>
            <w:tcW w:w="1658" w:type="dxa"/>
            <w:tcBorders>
              <w:top w:val="nil"/>
              <w:left w:val="single" w:sz="8"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Capital</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100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0"/>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617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617 </w:t>
            </w:r>
          </w:p>
        </w:tc>
        <w:tc>
          <w:tcPr>
            <w:tcW w:w="840" w:type="dxa"/>
            <w:tcBorders>
              <w:top w:val="nil"/>
              <w:left w:val="nil"/>
              <w:bottom w:val="single" w:sz="4" w:space="0" w:color="auto"/>
              <w:right w:val="nil"/>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617 </w:t>
            </w:r>
          </w:p>
        </w:tc>
        <w:tc>
          <w:tcPr>
            <w:tcW w:w="1000" w:type="dxa"/>
            <w:tcBorders>
              <w:top w:val="nil"/>
              <w:left w:val="single" w:sz="4" w:space="0" w:color="auto"/>
              <w:bottom w:val="single" w:sz="4" w:space="0" w:color="auto"/>
              <w:right w:val="single" w:sz="8" w:space="0" w:color="auto"/>
            </w:tcBorders>
            <w:shd w:val="clear" w:color="auto" w:fill="auto"/>
            <w:noWrap/>
            <w:vAlign w:val="bottom"/>
            <w:hideMark/>
          </w:tcPr>
          <w:p w:rsidR="007149F7" w:rsidRPr="007149F7" w:rsidRDefault="007149F7" w:rsidP="007149F7">
            <w:pPr>
              <w:spacing w:after="0" w:line="240" w:lineRule="auto"/>
              <w:jc w:val="right"/>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451</w:t>
            </w:r>
          </w:p>
        </w:tc>
      </w:tr>
      <w:tr w:rsidR="007149F7" w:rsidRPr="007149F7" w:rsidTr="007149F7">
        <w:trPr>
          <w:trHeight w:val="315"/>
          <w:jc w:val="center"/>
        </w:trPr>
        <w:tc>
          <w:tcPr>
            <w:tcW w:w="1658" w:type="dxa"/>
            <w:tcBorders>
              <w:top w:val="nil"/>
              <w:left w:val="single" w:sz="8" w:space="0" w:color="auto"/>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1"/>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Total</w:t>
            </w:r>
          </w:p>
        </w:tc>
        <w:tc>
          <w:tcPr>
            <w:tcW w:w="980" w:type="dxa"/>
            <w:tcBorders>
              <w:top w:val="nil"/>
              <w:left w:val="nil"/>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1"/>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1,345 </w:t>
            </w:r>
          </w:p>
        </w:tc>
        <w:tc>
          <w:tcPr>
            <w:tcW w:w="980" w:type="dxa"/>
            <w:tcBorders>
              <w:top w:val="nil"/>
              <w:left w:val="nil"/>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1"/>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1,345 </w:t>
            </w:r>
          </w:p>
        </w:tc>
        <w:tc>
          <w:tcPr>
            <w:tcW w:w="1000" w:type="dxa"/>
            <w:tcBorders>
              <w:top w:val="nil"/>
              <w:left w:val="nil"/>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1"/>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1,345 </w:t>
            </w:r>
          </w:p>
        </w:tc>
        <w:tc>
          <w:tcPr>
            <w:tcW w:w="980" w:type="dxa"/>
            <w:tcBorders>
              <w:top w:val="nil"/>
              <w:left w:val="nil"/>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ind w:firstLineChars="100" w:firstLine="181"/>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1,345 </w:t>
            </w:r>
          </w:p>
        </w:tc>
        <w:tc>
          <w:tcPr>
            <w:tcW w:w="840" w:type="dxa"/>
            <w:tcBorders>
              <w:top w:val="nil"/>
              <w:left w:val="nil"/>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1,815 </w:t>
            </w:r>
          </w:p>
        </w:tc>
        <w:tc>
          <w:tcPr>
            <w:tcW w:w="840" w:type="dxa"/>
            <w:tcBorders>
              <w:top w:val="nil"/>
              <w:left w:val="nil"/>
              <w:bottom w:val="single" w:sz="8"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1,815 </w:t>
            </w:r>
          </w:p>
        </w:tc>
        <w:tc>
          <w:tcPr>
            <w:tcW w:w="840" w:type="dxa"/>
            <w:tcBorders>
              <w:top w:val="nil"/>
              <w:left w:val="nil"/>
              <w:bottom w:val="single" w:sz="8" w:space="0" w:color="auto"/>
              <w:right w:val="nil"/>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1,815 </w:t>
            </w:r>
          </w:p>
        </w:tc>
        <w:tc>
          <w:tcPr>
            <w:tcW w:w="1000" w:type="dxa"/>
            <w:tcBorders>
              <w:top w:val="nil"/>
              <w:left w:val="single" w:sz="4" w:space="0" w:color="auto"/>
              <w:bottom w:val="single" w:sz="8" w:space="0" w:color="auto"/>
              <w:right w:val="single" w:sz="8"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b/>
                <w:bCs/>
                <w:color w:val="000000"/>
                <w:sz w:val="18"/>
                <w:szCs w:val="18"/>
                <w:lang w:eastAsia="en-CA"/>
              </w:rPr>
            </w:pPr>
            <w:r w:rsidRPr="007149F7">
              <w:rPr>
                <w:rFonts w:ascii="Arial Narrow" w:eastAsia="Times New Roman" w:hAnsi="Arial Narrow" w:cs="Times New Roman"/>
                <w:b/>
                <w:bCs/>
                <w:color w:val="000000"/>
                <w:sz w:val="18"/>
                <w:szCs w:val="18"/>
                <w:lang w:eastAsia="en-CA"/>
              </w:rPr>
              <w:t xml:space="preserve"> $     1,326 </w:t>
            </w:r>
          </w:p>
        </w:tc>
      </w:tr>
      <w:tr w:rsidR="007149F7" w:rsidRPr="007149F7" w:rsidTr="007149F7">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Amounts paid</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393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428 </w:t>
            </w:r>
          </w:p>
        </w:tc>
        <w:tc>
          <w:tcPr>
            <w:tcW w:w="100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319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558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628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299 </w:t>
            </w:r>
          </w:p>
        </w:tc>
        <w:tc>
          <w:tcPr>
            <w:tcW w:w="840" w:type="dxa"/>
            <w:tcBorders>
              <w:top w:val="nil"/>
              <w:left w:val="nil"/>
              <w:bottom w:val="single" w:sz="4" w:space="0" w:color="auto"/>
              <w:right w:val="nil"/>
            </w:tcBorders>
            <w:shd w:val="clear" w:color="000000" w:fill="BFBFBF"/>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1000" w:type="dxa"/>
            <w:tcBorders>
              <w:top w:val="nil"/>
              <w:left w:val="single" w:sz="4" w:space="0" w:color="auto"/>
              <w:bottom w:val="single" w:sz="4" w:space="0" w:color="auto"/>
              <w:right w:val="single" w:sz="4" w:space="0" w:color="auto"/>
            </w:tcBorders>
            <w:shd w:val="clear" w:color="000000" w:fill="BFBFBF"/>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r>
      <w:tr w:rsidR="007149F7" w:rsidRPr="007149F7" w:rsidTr="007149F7">
        <w:trPr>
          <w:trHeight w:val="300"/>
          <w:jc w:val="center"/>
        </w:trPr>
        <w:tc>
          <w:tcPr>
            <w:tcW w:w="1658" w:type="dxa"/>
            <w:tcBorders>
              <w:top w:val="nil"/>
              <w:left w:val="single" w:sz="4" w:space="0" w:color="auto"/>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Variance</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952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917 </w:t>
            </w:r>
          </w:p>
        </w:tc>
        <w:tc>
          <w:tcPr>
            <w:tcW w:w="100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1,026 </w:t>
            </w:r>
          </w:p>
        </w:tc>
        <w:tc>
          <w:tcPr>
            <w:tcW w:w="98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787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1,187 </w:t>
            </w:r>
          </w:p>
        </w:tc>
        <w:tc>
          <w:tcPr>
            <w:tcW w:w="840" w:type="dxa"/>
            <w:tcBorders>
              <w:top w:val="nil"/>
              <w:left w:val="nil"/>
              <w:bottom w:val="single" w:sz="4" w:space="0" w:color="auto"/>
              <w:right w:val="single" w:sz="4" w:space="0" w:color="auto"/>
            </w:tcBorders>
            <w:shd w:val="clear" w:color="auto" w:fill="auto"/>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xml:space="preserve"> $  1,516 </w:t>
            </w:r>
          </w:p>
        </w:tc>
        <w:tc>
          <w:tcPr>
            <w:tcW w:w="840" w:type="dxa"/>
            <w:tcBorders>
              <w:top w:val="nil"/>
              <w:left w:val="nil"/>
              <w:bottom w:val="single" w:sz="4" w:space="0" w:color="auto"/>
              <w:right w:val="nil"/>
            </w:tcBorders>
            <w:shd w:val="clear" w:color="000000" w:fill="BFBFBF"/>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c>
          <w:tcPr>
            <w:tcW w:w="1000" w:type="dxa"/>
            <w:tcBorders>
              <w:top w:val="nil"/>
              <w:left w:val="single" w:sz="4" w:space="0" w:color="auto"/>
              <w:bottom w:val="single" w:sz="4" w:space="0" w:color="auto"/>
              <w:right w:val="single" w:sz="4" w:space="0" w:color="auto"/>
            </w:tcBorders>
            <w:shd w:val="clear" w:color="000000" w:fill="BFBFBF"/>
            <w:noWrap/>
            <w:vAlign w:val="bottom"/>
            <w:hideMark/>
          </w:tcPr>
          <w:p w:rsidR="007149F7" w:rsidRPr="007149F7" w:rsidRDefault="007149F7" w:rsidP="007149F7">
            <w:pPr>
              <w:spacing w:after="0" w:line="240" w:lineRule="auto"/>
              <w:rPr>
                <w:rFonts w:ascii="Arial Narrow" w:eastAsia="Times New Roman" w:hAnsi="Arial Narrow" w:cs="Times New Roman"/>
                <w:color w:val="000000"/>
                <w:sz w:val="18"/>
                <w:szCs w:val="18"/>
                <w:lang w:eastAsia="en-CA"/>
              </w:rPr>
            </w:pPr>
            <w:r w:rsidRPr="007149F7">
              <w:rPr>
                <w:rFonts w:ascii="Arial Narrow" w:eastAsia="Times New Roman" w:hAnsi="Arial Narrow" w:cs="Times New Roman"/>
                <w:color w:val="000000"/>
                <w:sz w:val="18"/>
                <w:szCs w:val="18"/>
                <w:lang w:eastAsia="en-CA"/>
              </w:rPr>
              <w:t> </w:t>
            </w:r>
          </w:p>
        </w:tc>
      </w:tr>
    </w:tbl>
    <w:p w:rsidR="007149F7" w:rsidRDefault="007149F7" w:rsidP="007149F7">
      <w:pPr>
        <w:pStyle w:val="ListParagraph"/>
        <w:spacing w:before="240" w:after="240"/>
        <w:ind w:left="709" w:hanging="709"/>
        <w:contextualSpacing w:val="0"/>
        <w:rPr>
          <w:rFonts w:ascii="Arial" w:hAnsi="Arial" w:cs="Arial"/>
          <w:sz w:val="24"/>
          <w:szCs w:val="24"/>
        </w:rPr>
      </w:pPr>
      <w:r>
        <w:rPr>
          <w:rFonts w:ascii="Arial" w:hAnsi="Arial" w:cs="Arial"/>
          <w:sz w:val="24"/>
          <w:szCs w:val="24"/>
        </w:rPr>
        <w:t xml:space="preserve">Note: The amount in rates shown for 2009 to 2012 is based on the budgeted OPEB costs on an accrued basis that are believed to have been used in the Barrie Hydro Distribution Inc. 2008 Cost of Service application and the PowerStream Inc. (pre-merger) 2009 Cost of Service application. PowerStream believes that this is accurate but would need to do more work to verify this. </w:t>
      </w:r>
    </w:p>
    <w:p w:rsidR="005F67D6" w:rsidRDefault="005F67D6" w:rsidP="005F67D6">
      <w:pPr>
        <w:pStyle w:val="ListParagraph"/>
        <w:spacing w:before="240" w:after="240"/>
        <w:ind w:left="714"/>
        <w:contextualSpacing w:val="0"/>
        <w:rPr>
          <w:rFonts w:ascii="Arial" w:hAnsi="Arial" w:cs="Arial"/>
          <w:sz w:val="24"/>
          <w:szCs w:val="24"/>
        </w:rPr>
      </w:pPr>
      <w:r>
        <w:rPr>
          <w:rFonts w:ascii="Arial" w:hAnsi="Arial" w:cs="Arial"/>
          <w:sz w:val="24"/>
          <w:szCs w:val="24"/>
        </w:rPr>
        <w:t xml:space="preserve">The amount included in rates for the 2013 Cost of Service was the 2013 budgeted OPEB cost. Rates for 2014 and 2015 are based on the 2013 amount. The amount shown for Rates in 2016 represents the budgeted OPEB cost included in this Application. </w:t>
      </w:r>
    </w:p>
    <w:p w:rsidR="008F5624" w:rsidRPr="00A720EB" w:rsidRDefault="008F5624" w:rsidP="00265EB7">
      <w:pPr>
        <w:pStyle w:val="ListParagraph"/>
        <w:numPr>
          <w:ilvl w:val="0"/>
          <w:numId w:val="2"/>
        </w:numPr>
        <w:spacing w:before="240" w:after="240"/>
        <w:ind w:left="714" w:hanging="357"/>
        <w:contextualSpacing w:val="0"/>
        <w:rPr>
          <w:rFonts w:ascii="Arial" w:hAnsi="Arial" w:cs="Arial"/>
          <w:sz w:val="24"/>
          <w:szCs w:val="24"/>
        </w:rPr>
      </w:pPr>
      <w:r>
        <w:rPr>
          <w:rFonts w:ascii="Arial" w:hAnsi="Arial" w:cs="Arial"/>
          <w:sz w:val="24"/>
          <w:szCs w:val="24"/>
        </w:rPr>
        <w:t xml:space="preserve">Amounts recovered in rates in excess of cash benefits paid </w:t>
      </w:r>
      <w:r w:rsidR="004044B9">
        <w:rPr>
          <w:rFonts w:ascii="Arial" w:hAnsi="Arial" w:cs="Arial"/>
          <w:sz w:val="24"/>
          <w:szCs w:val="24"/>
        </w:rPr>
        <w:t>for OPEB are</w:t>
      </w:r>
      <w:r>
        <w:rPr>
          <w:rFonts w:ascii="Arial" w:hAnsi="Arial" w:cs="Arial"/>
          <w:sz w:val="24"/>
          <w:szCs w:val="24"/>
        </w:rPr>
        <w:t xml:space="preserve"> part of the funds </w:t>
      </w:r>
      <w:r w:rsidR="00C766FA">
        <w:rPr>
          <w:rFonts w:ascii="Arial" w:hAnsi="Arial" w:cs="Arial"/>
          <w:sz w:val="24"/>
          <w:szCs w:val="24"/>
        </w:rPr>
        <w:t>r</w:t>
      </w:r>
      <w:r>
        <w:rPr>
          <w:rFonts w:ascii="Arial" w:hAnsi="Arial" w:cs="Arial"/>
          <w:sz w:val="24"/>
          <w:szCs w:val="24"/>
        </w:rPr>
        <w:t xml:space="preserve">etained in the business. </w:t>
      </w:r>
    </w:p>
    <w:sectPr w:rsidR="008F5624" w:rsidRPr="00A720EB" w:rsidSect="005E0E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01" w:rsidRDefault="00DA4001" w:rsidP="00DA4001">
      <w:pPr>
        <w:spacing w:after="0" w:line="240" w:lineRule="auto"/>
      </w:pPr>
      <w:r>
        <w:separator/>
      </w:r>
    </w:p>
  </w:endnote>
  <w:endnote w:type="continuationSeparator" w:id="0">
    <w:p w:rsidR="00DA4001" w:rsidRDefault="00DA4001" w:rsidP="00DA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1" w:rsidRDefault="00DA4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1" w:rsidRDefault="00DA4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1" w:rsidRDefault="00DA4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01" w:rsidRDefault="00DA4001" w:rsidP="00DA4001">
      <w:pPr>
        <w:spacing w:after="0" w:line="240" w:lineRule="auto"/>
      </w:pPr>
      <w:r>
        <w:separator/>
      </w:r>
    </w:p>
  </w:footnote>
  <w:footnote w:type="continuationSeparator" w:id="0">
    <w:p w:rsidR="00DA4001" w:rsidRDefault="00DA4001" w:rsidP="00DA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1" w:rsidRDefault="00DA4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1" w:rsidRDefault="00DA4001" w:rsidP="00DA4001">
    <w:pPr>
      <w:pStyle w:val="Header"/>
      <w:jc w:val="right"/>
    </w:pPr>
    <w:r>
      <w:t>EB-2015-0003</w:t>
    </w:r>
  </w:p>
  <w:p w:rsidR="00DA4001" w:rsidRDefault="00DA4001" w:rsidP="00DA4001">
    <w:pPr>
      <w:pStyle w:val="Header"/>
      <w:jc w:val="right"/>
    </w:pPr>
    <w:r>
      <w:t xml:space="preserve">PowerStream </w:t>
    </w:r>
    <w:r>
      <w:t>Inc.</w:t>
    </w:r>
    <w:bookmarkStart w:id="0" w:name="_GoBack"/>
    <w:bookmarkEnd w:id="0"/>
  </w:p>
  <w:p w:rsidR="00DA4001" w:rsidRDefault="00DA4001" w:rsidP="00DA4001">
    <w:pPr>
      <w:pStyle w:val="Header"/>
      <w:jc w:val="right"/>
    </w:pPr>
    <w:r>
      <w:t>Filed: September 4,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01" w:rsidRDefault="00DA4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366A"/>
    <w:multiLevelType w:val="hybridMultilevel"/>
    <w:tmpl w:val="0D6C5AC2"/>
    <w:lvl w:ilvl="0" w:tplc="981287B8">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63FF685A"/>
    <w:multiLevelType w:val="hybridMultilevel"/>
    <w:tmpl w:val="6862E0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59E1B71"/>
    <w:multiLevelType w:val="hybridMultilevel"/>
    <w:tmpl w:val="AB0EDAE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Vlahos">
    <w15:presenceInfo w15:providerId="Windows Live" w15:userId="7a667f252049c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BD"/>
    <w:rsid w:val="00050F94"/>
    <w:rsid w:val="000B2437"/>
    <w:rsid w:val="001401B9"/>
    <w:rsid w:val="001D08F4"/>
    <w:rsid w:val="00265EB7"/>
    <w:rsid w:val="00321E6E"/>
    <w:rsid w:val="00382525"/>
    <w:rsid w:val="003F3341"/>
    <w:rsid w:val="004044B9"/>
    <w:rsid w:val="00437839"/>
    <w:rsid w:val="004A0282"/>
    <w:rsid w:val="005E0EBD"/>
    <w:rsid w:val="005F67D6"/>
    <w:rsid w:val="00665BC3"/>
    <w:rsid w:val="00680281"/>
    <w:rsid w:val="006F30D3"/>
    <w:rsid w:val="007070EB"/>
    <w:rsid w:val="007149F7"/>
    <w:rsid w:val="00873D6B"/>
    <w:rsid w:val="008F5624"/>
    <w:rsid w:val="00A3145A"/>
    <w:rsid w:val="00A720EB"/>
    <w:rsid w:val="00B71756"/>
    <w:rsid w:val="00BA2BD7"/>
    <w:rsid w:val="00BD2BDD"/>
    <w:rsid w:val="00C766FA"/>
    <w:rsid w:val="00D64584"/>
    <w:rsid w:val="00DA4001"/>
    <w:rsid w:val="00E10085"/>
    <w:rsid w:val="00EE285F"/>
    <w:rsid w:val="00F21E36"/>
    <w:rsid w:val="00F35A7A"/>
    <w:rsid w:val="00F67481"/>
    <w:rsid w:val="00FD6D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EBD"/>
    <w:pPr>
      <w:ind w:left="720"/>
      <w:contextualSpacing/>
    </w:pPr>
  </w:style>
  <w:style w:type="character" w:styleId="LineNumber">
    <w:name w:val="line number"/>
    <w:basedOn w:val="DefaultParagraphFont"/>
    <w:uiPriority w:val="99"/>
    <w:semiHidden/>
    <w:unhideWhenUsed/>
    <w:rsid w:val="005E0EBD"/>
  </w:style>
  <w:style w:type="paragraph" w:styleId="BalloonText">
    <w:name w:val="Balloon Text"/>
    <w:basedOn w:val="Normal"/>
    <w:link w:val="BalloonTextChar"/>
    <w:uiPriority w:val="99"/>
    <w:semiHidden/>
    <w:unhideWhenUsed/>
    <w:rsid w:val="00B71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756"/>
    <w:rPr>
      <w:rFonts w:ascii="Tahoma" w:hAnsi="Tahoma" w:cs="Tahoma"/>
      <w:sz w:val="16"/>
      <w:szCs w:val="16"/>
    </w:rPr>
  </w:style>
  <w:style w:type="paragraph" w:styleId="Header">
    <w:name w:val="header"/>
    <w:basedOn w:val="Normal"/>
    <w:link w:val="HeaderChar"/>
    <w:uiPriority w:val="99"/>
    <w:unhideWhenUsed/>
    <w:rsid w:val="00DA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01"/>
  </w:style>
  <w:style w:type="paragraph" w:styleId="Footer">
    <w:name w:val="footer"/>
    <w:basedOn w:val="Normal"/>
    <w:link w:val="FooterChar"/>
    <w:uiPriority w:val="99"/>
    <w:unhideWhenUsed/>
    <w:rsid w:val="00DA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EBD"/>
    <w:pPr>
      <w:ind w:left="720"/>
      <w:contextualSpacing/>
    </w:pPr>
  </w:style>
  <w:style w:type="character" w:styleId="LineNumber">
    <w:name w:val="line number"/>
    <w:basedOn w:val="DefaultParagraphFont"/>
    <w:uiPriority w:val="99"/>
    <w:semiHidden/>
    <w:unhideWhenUsed/>
    <w:rsid w:val="005E0EBD"/>
  </w:style>
  <w:style w:type="paragraph" w:styleId="BalloonText">
    <w:name w:val="Balloon Text"/>
    <w:basedOn w:val="Normal"/>
    <w:link w:val="BalloonTextChar"/>
    <w:uiPriority w:val="99"/>
    <w:semiHidden/>
    <w:unhideWhenUsed/>
    <w:rsid w:val="00B71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756"/>
    <w:rPr>
      <w:rFonts w:ascii="Tahoma" w:hAnsi="Tahoma" w:cs="Tahoma"/>
      <w:sz w:val="16"/>
      <w:szCs w:val="16"/>
    </w:rPr>
  </w:style>
  <w:style w:type="paragraph" w:styleId="Header">
    <w:name w:val="header"/>
    <w:basedOn w:val="Normal"/>
    <w:link w:val="HeaderChar"/>
    <w:uiPriority w:val="99"/>
    <w:unhideWhenUsed/>
    <w:rsid w:val="00DA4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01"/>
  </w:style>
  <w:style w:type="paragraph" w:styleId="Footer">
    <w:name w:val="footer"/>
    <w:basedOn w:val="Normal"/>
    <w:link w:val="FooterChar"/>
    <w:uiPriority w:val="99"/>
    <w:unhideWhenUsed/>
    <w:rsid w:val="00DA4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3240">
      <w:bodyDiv w:val="1"/>
      <w:marLeft w:val="0"/>
      <w:marRight w:val="0"/>
      <w:marTop w:val="0"/>
      <w:marBottom w:val="0"/>
      <w:divBdr>
        <w:top w:val="none" w:sz="0" w:space="0" w:color="auto"/>
        <w:left w:val="none" w:sz="0" w:space="0" w:color="auto"/>
        <w:bottom w:val="none" w:sz="0" w:space="0" w:color="auto"/>
        <w:right w:val="none" w:sz="0" w:space="0" w:color="auto"/>
      </w:divBdr>
    </w:div>
    <w:div w:id="696737170">
      <w:bodyDiv w:val="1"/>
      <w:marLeft w:val="0"/>
      <w:marRight w:val="0"/>
      <w:marTop w:val="0"/>
      <w:marBottom w:val="0"/>
      <w:divBdr>
        <w:top w:val="none" w:sz="0" w:space="0" w:color="auto"/>
        <w:left w:val="none" w:sz="0" w:space="0" w:color="auto"/>
        <w:bottom w:val="none" w:sz="0" w:space="0" w:color="auto"/>
        <w:right w:val="none" w:sz="0" w:space="0" w:color="auto"/>
      </w:divBdr>
    </w:div>
    <w:div w:id="954217719">
      <w:bodyDiv w:val="1"/>
      <w:marLeft w:val="0"/>
      <w:marRight w:val="0"/>
      <w:marTop w:val="0"/>
      <w:marBottom w:val="0"/>
      <w:divBdr>
        <w:top w:val="none" w:sz="0" w:space="0" w:color="auto"/>
        <w:left w:val="none" w:sz="0" w:space="0" w:color="auto"/>
        <w:bottom w:val="none" w:sz="0" w:space="0" w:color="auto"/>
        <w:right w:val="none" w:sz="0" w:space="0" w:color="auto"/>
      </w:divBdr>
    </w:div>
    <w:div w:id="984312271">
      <w:bodyDiv w:val="1"/>
      <w:marLeft w:val="0"/>
      <w:marRight w:val="0"/>
      <w:marTop w:val="0"/>
      <w:marBottom w:val="0"/>
      <w:divBdr>
        <w:top w:val="none" w:sz="0" w:space="0" w:color="auto"/>
        <w:left w:val="none" w:sz="0" w:space="0" w:color="auto"/>
        <w:bottom w:val="none" w:sz="0" w:space="0" w:color="auto"/>
        <w:right w:val="none" w:sz="0" w:space="0" w:color="auto"/>
      </w:divBdr>
    </w:div>
    <w:div w:id="1260333312">
      <w:bodyDiv w:val="1"/>
      <w:marLeft w:val="0"/>
      <w:marRight w:val="0"/>
      <w:marTop w:val="0"/>
      <w:marBottom w:val="0"/>
      <w:divBdr>
        <w:top w:val="none" w:sz="0" w:space="0" w:color="auto"/>
        <w:left w:val="none" w:sz="0" w:space="0" w:color="auto"/>
        <w:bottom w:val="none" w:sz="0" w:space="0" w:color="auto"/>
        <w:right w:val="none" w:sz="0" w:space="0" w:color="auto"/>
      </w:divBdr>
    </w:div>
    <w:div w:id="1732775150">
      <w:bodyDiv w:val="1"/>
      <w:marLeft w:val="0"/>
      <w:marRight w:val="0"/>
      <w:marTop w:val="0"/>
      <w:marBottom w:val="0"/>
      <w:divBdr>
        <w:top w:val="none" w:sz="0" w:space="0" w:color="auto"/>
        <w:left w:val="none" w:sz="0" w:space="0" w:color="auto"/>
        <w:bottom w:val="none" w:sz="0" w:space="0" w:color="auto"/>
        <w:right w:val="none" w:sz="0" w:space="0" w:color="auto"/>
      </w:divBdr>
    </w:div>
    <w:div w:id="1757944702">
      <w:bodyDiv w:val="1"/>
      <w:marLeft w:val="0"/>
      <w:marRight w:val="0"/>
      <w:marTop w:val="0"/>
      <w:marBottom w:val="0"/>
      <w:divBdr>
        <w:top w:val="none" w:sz="0" w:space="0" w:color="auto"/>
        <w:left w:val="none" w:sz="0" w:space="0" w:color="auto"/>
        <w:bottom w:val="none" w:sz="0" w:space="0" w:color="auto"/>
        <w:right w:val="none" w:sz="0" w:space="0" w:color="auto"/>
      </w:divBdr>
    </w:div>
    <w:div w:id="1759137974">
      <w:bodyDiv w:val="1"/>
      <w:marLeft w:val="0"/>
      <w:marRight w:val="0"/>
      <w:marTop w:val="0"/>
      <w:marBottom w:val="0"/>
      <w:divBdr>
        <w:top w:val="none" w:sz="0" w:space="0" w:color="auto"/>
        <w:left w:val="none" w:sz="0" w:space="0" w:color="auto"/>
        <w:bottom w:val="none" w:sz="0" w:space="0" w:color="auto"/>
        <w:right w:val="none" w:sz="0" w:space="0" w:color="auto"/>
      </w:divBdr>
    </w:div>
    <w:div w:id="18541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D7FD-35C3-421C-91A0-F00E8E08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PowerStream</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Barrett</dc:creator>
  <cp:lastModifiedBy>Tom Barrett</cp:lastModifiedBy>
  <cp:revision>6</cp:revision>
  <cp:lastPrinted>2015-08-13T17:26:00Z</cp:lastPrinted>
  <dcterms:created xsi:type="dcterms:W3CDTF">2015-08-13T17:33:00Z</dcterms:created>
  <dcterms:modified xsi:type="dcterms:W3CDTF">2015-09-04T18:41:00Z</dcterms:modified>
</cp:coreProperties>
</file>