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4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863"/>
        <w:gridCol w:w="2004"/>
        <w:gridCol w:w="3798"/>
      </w:tblGrid>
      <w:tr w:rsidR="0094505E" w:rsidRPr="0092752E" w:rsidTr="00ED18D2">
        <w:trPr>
          <w:trHeight w:val="557"/>
          <w:jc w:val="center"/>
        </w:trPr>
        <w:tc>
          <w:tcPr>
            <w:tcW w:w="9810" w:type="dxa"/>
            <w:gridSpan w:val="4"/>
            <w:shd w:val="clear" w:color="auto" w:fill="000000" w:themeFill="text1"/>
            <w:vAlign w:val="center"/>
          </w:tcPr>
          <w:p w:rsidR="0094505E" w:rsidRPr="00BC57C1" w:rsidRDefault="0094505E" w:rsidP="00545B6F">
            <w:pPr>
              <w:tabs>
                <w:tab w:val="center" w:pos="4455"/>
              </w:tabs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31"/>
                <w:szCs w:val="31"/>
                <w:highlight w:val="black"/>
              </w:rPr>
            </w:pPr>
            <w:r w:rsidRPr="00BC57C1">
              <w:rPr>
                <w:rFonts w:ascii="Arial" w:hAnsi="Arial" w:cs="Arial"/>
                <w:b/>
                <w:color w:val="FFFFFF" w:themeColor="background1"/>
                <w:sz w:val="31"/>
                <w:szCs w:val="31"/>
                <w:highlight w:val="black"/>
              </w:rPr>
              <w:t xml:space="preserve">ONTARIO ENERGY BOARD NOTICE </w:t>
            </w:r>
          </w:p>
          <w:p w:rsidR="0094505E" w:rsidRPr="0092752E" w:rsidRDefault="0094505E" w:rsidP="005672C7">
            <w:pPr>
              <w:jc w:val="center"/>
              <w:rPr>
                <w:rFonts w:ascii="Arial" w:hAnsi="Arial" w:cs="Arial"/>
                <w:b/>
                <w:color w:val="FFFFFF" w:themeColor="background1"/>
                <w:sz w:val="31"/>
                <w:szCs w:val="31"/>
                <w:highlight w:val="black"/>
              </w:rPr>
            </w:pPr>
          </w:p>
        </w:tc>
      </w:tr>
      <w:tr w:rsidR="0094505E" w:rsidRPr="00E33467" w:rsidTr="00ED18D2">
        <w:trPr>
          <w:trHeight w:val="475"/>
          <w:jc w:val="center"/>
        </w:trPr>
        <w:tc>
          <w:tcPr>
            <w:tcW w:w="4008" w:type="dxa"/>
            <w:gridSpan w:val="2"/>
          </w:tcPr>
          <w:p w:rsidR="0094505E" w:rsidRPr="00BD1BDD" w:rsidRDefault="0094505E" w:rsidP="009A0D5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vAlign w:val="center"/>
          </w:tcPr>
          <w:p w:rsidR="0094505E" w:rsidRPr="00E33467" w:rsidRDefault="0094505E" w:rsidP="001F778E">
            <w:pPr>
              <w:rPr>
                <w:rFonts w:ascii="Arial" w:hAnsi="Arial" w:cs="Arial"/>
              </w:rPr>
            </w:pPr>
          </w:p>
        </w:tc>
      </w:tr>
      <w:tr w:rsidR="0094505E" w:rsidTr="00ED18D2">
        <w:trPr>
          <w:trHeight w:val="9066"/>
          <w:jc w:val="center"/>
        </w:trPr>
        <w:tc>
          <w:tcPr>
            <w:tcW w:w="9810" w:type="dxa"/>
            <w:gridSpan w:val="4"/>
          </w:tcPr>
          <w:p w:rsidR="002F7448" w:rsidRPr="00716C86" w:rsidRDefault="00417401" w:rsidP="00716C86">
            <w:pPr>
              <w:pStyle w:val="Default"/>
              <w:ind w:left="259" w:right="263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Enbridge Gas Distribution Inc. </w:t>
            </w:r>
            <w:r w:rsidR="002F7448" w:rsidRPr="00716C86">
              <w:rPr>
                <w:b/>
                <w:sz w:val="28"/>
                <w:szCs w:val="28"/>
              </w:rPr>
              <w:t xml:space="preserve">has </w:t>
            </w:r>
            <w:r w:rsidR="002C1E78" w:rsidRPr="00716C86">
              <w:rPr>
                <w:b/>
                <w:sz w:val="28"/>
                <w:szCs w:val="28"/>
              </w:rPr>
              <w:t>applied for approval</w:t>
            </w:r>
            <w:r w:rsidR="00A54476">
              <w:rPr>
                <w:b/>
                <w:sz w:val="28"/>
                <w:szCs w:val="28"/>
              </w:rPr>
              <w:t xml:space="preserve"> to drill a</w:t>
            </w:r>
            <w:r w:rsidR="005D4D80">
              <w:rPr>
                <w:b/>
                <w:sz w:val="28"/>
                <w:szCs w:val="28"/>
              </w:rPr>
              <w:t xml:space="preserve"> </w:t>
            </w:r>
            <w:r w:rsidR="0019123B">
              <w:rPr>
                <w:b/>
                <w:sz w:val="28"/>
                <w:szCs w:val="28"/>
              </w:rPr>
              <w:t xml:space="preserve">natural gas </w:t>
            </w:r>
            <w:r w:rsidR="00A54476">
              <w:rPr>
                <w:b/>
                <w:sz w:val="28"/>
                <w:szCs w:val="28"/>
              </w:rPr>
              <w:t>well</w:t>
            </w:r>
            <w:r w:rsidR="002F7448" w:rsidRPr="00716C86">
              <w:rPr>
                <w:rFonts w:eastAsia="Times New Roman"/>
                <w:b/>
                <w:sz w:val="28"/>
                <w:szCs w:val="28"/>
              </w:rPr>
              <w:t>.</w:t>
            </w:r>
          </w:p>
          <w:p w:rsidR="002F7448" w:rsidRPr="00716C86" w:rsidRDefault="002F7448" w:rsidP="00716C86">
            <w:pPr>
              <w:pStyle w:val="Default"/>
              <w:spacing w:before="120"/>
              <w:ind w:left="261" w:right="261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16C86">
              <w:rPr>
                <w:rFonts w:eastAsia="Times New Roman"/>
                <w:b/>
                <w:sz w:val="28"/>
                <w:szCs w:val="28"/>
              </w:rPr>
              <w:t>Learn More. Have Your Say.</w:t>
            </w:r>
          </w:p>
          <w:p w:rsidR="002F7448" w:rsidRDefault="002F7448" w:rsidP="00716C86">
            <w:pPr>
              <w:pStyle w:val="Default"/>
              <w:ind w:left="259" w:right="263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5D4D80" w:rsidRDefault="005D4D80" w:rsidP="005D4D80">
            <w:pPr>
              <w:pStyle w:val="Default"/>
              <w:ind w:left="259" w:right="263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5D4D80" w:rsidRPr="00276EC0" w:rsidRDefault="005D4D80" w:rsidP="008A35CB">
            <w:pPr>
              <w:pStyle w:val="Default"/>
              <w:ind w:left="401" w:right="2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Enbridge Gas Distribution Inc. has </w:t>
            </w:r>
            <w:r w:rsidRPr="00913A58">
              <w:rPr>
                <w:b/>
                <w:sz w:val="22"/>
                <w:szCs w:val="22"/>
              </w:rPr>
              <w:t xml:space="preserve">applied </w:t>
            </w:r>
            <w:r w:rsidR="00210D67">
              <w:rPr>
                <w:b/>
                <w:sz w:val="22"/>
                <w:szCs w:val="22"/>
              </w:rPr>
              <w:t>to the Minister of Natural Resources</w:t>
            </w:r>
            <w:r w:rsidR="00BC3580">
              <w:rPr>
                <w:b/>
                <w:sz w:val="22"/>
                <w:szCs w:val="22"/>
              </w:rPr>
              <w:t xml:space="preserve"> and Forestry</w:t>
            </w:r>
            <w:r w:rsidR="00210D67">
              <w:rPr>
                <w:b/>
                <w:sz w:val="22"/>
                <w:szCs w:val="22"/>
              </w:rPr>
              <w:t xml:space="preserve"> </w:t>
            </w:r>
            <w:r w:rsidRPr="00913A58">
              <w:rPr>
                <w:b/>
                <w:sz w:val="22"/>
                <w:szCs w:val="22"/>
              </w:rPr>
              <w:t xml:space="preserve">for approval </w:t>
            </w:r>
            <w:r w:rsidRPr="00276EC0"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to </w:t>
            </w:r>
            <w:r w:rsidR="00C95ECA"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drill </w:t>
            </w:r>
            <w:r w:rsidR="00A54476"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a </w:t>
            </w:r>
            <w:r w:rsidR="0019123B"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natural gas </w:t>
            </w:r>
            <w:r w:rsidR="00A54476">
              <w:rPr>
                <w:rFonts w:eastAsia="Times New Roman"/>
                <w:b/>
                <w:sz w:val="22"/>
                <w:szCs w:val="22"/>
                <w:lang w:val="en-US" w:eastAsia="en-CA"/>
              </w:rPr>
              <w:t>injection/withdrawal well</w:t>
            </w:r>
            <w:r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 in its </w:t>
            </w:r>
            <w:r w:rsidR="00A54476"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Corunna </w:t>
            </w:r>
            <w:r w:rsidR="00C95ECA">
              <w:rPr>
                <w:rFonts w:eastAsia="Times New Roman"/>
                <w:b/>
                <w:sz w:val="22"/>
                <w:szCs w:val="22"/>
                <w:lang w:val="en-US" w:eastAsia="en-CA"/>
              </w:rPr>
              <w:t>designated</w:t>
            </w:r>
            <w:r w:rsidR="008269C1"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 storage area </w:t>
            </w:r>
            <w:r w:rsidRPr="00276EC0">
              <w:rPr>
                <w:rFonts w:eastAsia="Times New Roman"/>
                <w:b/>
                <w:sz w:val="22"/>
                <w:szCs w:val="22"/>
                <w:lang w:val="en-US" w:eastAsia="en-CA"/>
              </w:rPr>
              <w:t xml:space="preserve">located in </w:t>
            </w:r>
            <w:r w:rsidR="00C95ECA">
              <w:rPr>
                <w:rFonts w:eastAsia="Times New Roman"/>
                <w:b/>
                <w:sz w:val="22"/>
                <w:szCs w:val="22"/>
              </w:rPr>
              <w:t>the Township</w:t>
            </w:r>
            <w:r w:rsidRPr="00276EC0">
              <w:rPr>
                <w:rFonts w:eastAsia="Times New Roman"/>
                <w:b/>
                <w:sz w:val="22"/>
                <w:szCs w:val="22"/>
              </w:rPr>
              <w:t xml:space="preserve"> of </w:t>
            </w:r>
            <w:r w:rsidR="00A54476">
              <w:rPr>
                <w:rFonts w:eastAsia="Times New Roman"/>
                <w:b/>
                <w:sz w:val="22"/>
                <w:szCs w:val="22"/>
              </w:rPr>
              <w:t xml:space="preserve">Moore </w:t>
            </w:r>
            <w:r>
              <w:rPr>
                <w:rFonts w:eastAsia="Times New Roman"/>
                <w:b/>
                <w:sz w:val="22"/>
                <w:szCs w:val="22"/>
              </w:rPr>
              <w:t>in</w:t>
            </w:r>
            <w:r w:rsidRPr="00276EC0">
              <w:rPr>
                <w:rFonts w:eastAsia="Times New Roman"/>
                <w:b/>
                <w:sz w:val="22"/>
                <w:szCs w:val="22"/>
              </w:rPr>
              <w:t xml:space="preserve"> Lambton County. </w:t>
            </w:r>
            <w:r w:rsidR="00210D67">
              <w:rPr>
                <w:rFonts w:eastAsia="Times New Roman"/>
                <w:b/>
                <w:sz w:val="22"/>
                <w:szCs w:val="22"/>
              </w:rPr>
              <w:t xml:space="preserve">The Minister of Natural Resources </w:t>
            </w:r>
            <w:r w:rsidR="00BC3580">
              <w:rPr>
                <w:rFonts w:eastAsia="Times New Roman"/>
                <w:b/>
                <w:sz w:val="22"/>
                <w:szCs w:val="22"/>
              </w:rPr>
              <w:t xml:space="preserve">and Forestry </w:t>
            </w:r>
            <w:r w:rsidR="00210D67">
              <w:rPr>
                <w:rFonts w:eastAsia="Times New Roman"/>
                <w:b/>
                <w:sz w:val="22"/>
                <w:szCs w:val="22"/>
              </w:rPr>
              <w:t>referred the application to the Ontario Energy Board. The Ontario Energy Board is required to report to the Minister of Natural Resources</w:t>
            </w:r>
            <w:r w:rsidR="00BC3580">
              <w:rPr>
                <w:rFonts w:eastAsia="Times New Roman"/>
                <w:b/>
                <w:sz w:val="22"/>
                <w:szCs w:val="22"/>
              </w:rPr>
              <w:t xml:space="preserve"> and Forestry</w:t>
            </w:r>
            <w:r w:rsidR="00210D67">
              <w:rPr>
                <w:rFonts w:eastAsia="Times New Roman"/>
                <w:b/>
                <w:sz w:val="22"/>
                <w:szCs w:val="22"/>
              </w:rPr>
              <w:t>.</w:t>
            </w:r>
          </w:p>
          <w:p w:rsidR="005D4D80" w:rsidRPr="00276EC0" w:rsidRDefault="005D4D80" w:rsidP="008A35CB">
            <w:pPr>
              <w:autoSpaceDE w:val="0"/>
              <w:autoSpaceDN w:val="0"/>
              <w:adjustRightInd w:val="0"/>
              <w:ind w:left="401" w:right="263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48"/>
            </w:tblGrid>
            <w:tr w:rsidR="005D4D80" w:rsidRPr="00C2156B" w:rsidTr="00C95ECA">
              <w:trPr>
                <w:trHeight w:val="159"/>
              </w:trPr>
              <w:tc>
                <w:tcPr>
                  <w:tcW w:w="0" w:type="auto"/>
                </w:tcPr>
                <w:p w:rsidR="005D4D80" w:rsidRPr="00C2156B" w:rsidRDefault="005D4D80" w:rsidP="008A35C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01" w:right="263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2156B">
                    <w:rPr>
                      <w:rFonts w:ascii="Arial" w:hAnsi="Arial" w:cs="Arial"/>
                      <w:b/>
                      <w:color w:val="000000"/>
                    </w:rPr>
                    <w:t xml:space="preserve">A map of the general location of the </w:t>
                  </w:r>
                  <w:r w:rsidR="00A54476">
                    <w:rPr>
                      <w:rFonts w:ascii="Arial" w:hAnsi="Arial" w:cs="Arial"/>
                      <w:b/>
                      <w:color w:val="000000"/>
                    </w:rPr>
                    <w:t>Corunna</w:t>
                  </w:r>
                  <w:r w:rsidR="00C95ECA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C2156B">
                    <w:rPr>
                      <w:rFonts w:ascii="Arial" w:hAnsi="Arial" w:cs="Arial"/>
                      <w:b/>
                      <w:color w:val="000000"/>
                    </w:rPr>
                    <w:t>storage p</w:t>
                  </w:r>
                  <w:r w:rsidR="00C95ECA">
                    <w:rPr>
                      <w:rFonts w:ascii="Arial" w:hAnsi="Arial" w:cs="Arial"/>
                      <w:b/>
                      <w:color w:val="000000"/>
                    </w:rPr>
                    <w:t>ool</w:t>
                  </w:r>
                  <w:r w:rsidRPr="00C2156B">
                    <w:rPr>
                      <w:rFonts w:ascii="Arial" w:hAnsi="Arial" w:cs="Arial"/>
                      <w:b/>
                      <w:color w:val="000000"/>
                    </w:rPr>
                    <w:t xml:space="preserve"> is provided below. </w:t>
                  </w:r>
                </w:p>
              </w:tc>
            </w:tr>
          </w:tbl>
          <w:p w:rsidR="0086064C" w:rsidRPr="00276EC0" w:rsidRDefault="0086064C" w:rsidP="00913A58">
            <w:pPr>
              <w:pStyle w:val="Default"/>
              <w:ind w:left="259" w:right="263"/>
              <w:rPr>
                <w:b/>
                <w:sz w:val="22"/>
                <w:szCs w:val="22"/>
              </w:rPr>
            </w:pPr>
          </w:p>
          <w:p w:rsidR="00614C2F" w:rsidRPr="00C2156B" w:rsidRDefault="00EF4954" w:rsidP="0086064C">
            <w:pPr>
              <w:pStyle w:val="Default"/>
              <w:rPr>
                <w:b/>
                <w:sz w:val="22"/>
                <w:szCs w:val="22"/>
              </w:rPr>
            </w:pPr>
            <w:r w:rsidRPr="00C2156B">
              <w:rPr>
                <w:b/>
                <w:sz w:val="22"/>
                <w:szCs w:val="22"/>
              </w:rPr>
              <w:t xml:space="preserve">THE ONTARIO ENERGY BOARD IS HOLDING </w:t>
            </w:r>
            <w:r w:rsidR="00925C9D" w:rsidRPr="00C2156B">
              <w:rPr>
                <w:b/>
                <w:sz w:val="22"/>
                <w:szCs w:val="22"/>
              </w:rPr>
              <w:t xml:space="preserve">A </w:t>
            </w:r>
            <w:r w:rsidRPr="00C2156B">
              <w:rPr>
                <w:b/>
                <w:sz w:val="22"/>
                <w:szCs w:val="22"/>
              </w:rPr>
              <w:t>PUBLIC HEARING</w:t>
            </w:r>
          </w:p>
          <w:p w:rsidR="00BC3580" w:rsidRDefault="0094505E" w:rsidP="00036791">
            <w:pPr>
              <w:rPr>
                <w:rFonts w:ascii="Arial" w:hAnsi="Arial" w:cs="Arial"/>
              </w:rPr>
            </w:pPr>
            <w:r w:rsidRPr="00C2156B">
              <w:rPr>
                <w:rFonts w:ascii="Arial" w:hAnsi="Arial" w:cs="Arial"/>
              </w:rPr>
              <w:t xml:space="preserve">The </w:t>
            </w:r>
            <w:r w:rsidR="00C90B74" w:rsidRPr="00C2156B">
              <w:rPr>
                <w:rFonts w:ascii="Arial" w:hAnsi="Arial" w:cs="Arial"/>
              </w:rPr>
              <w:t>Ontario Energy Board (</w:t>
            </w:r>
            <w:r w:rsidRPr="00C2156B">
              <w:rPr>
                <w:rFonts w:ascii="Arial" w:hAnsi="Arial" w:cs="Arial"/>
              </w:rPr>
              <w:t>OEB</w:t>
            </w:r>
            <w:r w:rsidR="00C90B74" w:rsidRPr="00C2156B">
              <w:rPr>
                <w:rFonts w:ascii="Arial" w:hAnsi="Arial" w:cs="Arial"/>
              </w:rPr>
              <w:t>)</w:t>
            </w:r>
            <w:r w:rsidRPr="00C2156B">
              <w:rPr>
                <w:rFonts w:ascii="Arial" w:hAnsi="Arial" w:cs="Arial"/>
              </w:rPr>
              <w:t xml:space="preserve"> will hold a public hearing to consider </w:t>
            </w:r>
            <w:r w:rsidR="0024761E" w:rsidRPr="00C2156B">
              <w:rPr>
                <w:rFonts w:ascii="Arial" w:hAnsi="Arial" w:cs="Arial"/>
              </w:rPr>
              <w:t>the application filed</w:t>
            </w:r>
            <w:r w:rsidR="009A3222" w:rsidRPr="00C2156B">
              <w:rPr>
                <w:rFonts w:ascii="Arial" w:hAnsi="Arial" w:cs="Arial"/>
              </w:rPr>
              <w:t xml:space="preserve"> </w:t>
            </w:r>
            <w:r w:rsidR="0024761E" w:rsidRPr="00C2156B">
              <w:rPr>
                <w:rFonts w:ascii="Arial" w:hAnsi="Arial" w:cs="Arial"/>
              </w:rPr>
              <w:t>by</w:t>
            </w:r>
            <w:r w:rsidR="008269C1">
              <w:rPr>
                <w:rFonts w:ascii="Arial" w:hAnsi="Arial" w:cs="Arial"/>
              </w:rPr>
              <w:t xml:space="preserve"> Enbridge Gas</w:t>
            </w:r>
            <w:r w:rsidR="00AC5516" w:rsidRPr="00C2156B">
              <w:rPr>
                <w:rFonts w:ascii="Arial" w:hAnsi="Arial" w:cs="Arial"/>
              </w:rPr>
              <w:t>.</w:t>
            </w:r>
            <w:r w:rsidR="00614C2F" w:rsidRPr="00C2156B">
              <w:rPr>
                <w:rFonts w:ascii="Arial" w:hAnsi="Arial" w:cs="Arial"/>
              </w:rPr>
              <w:t xml:space="preserve"> </w:t>
            </w:r>
            <w:r w:rsidR="00FB55AF" w:rsidRPr="00C2156B">
              <w:rPr>
                <w:rFonts w:ascii="Arial" w:hAnsi="Arial" w:cs="Arial"/>
              </w:rPr>
              <w:t xml:space="preserve"> </w:t>
            </w:r>
            <w:r w:rsidR="00614C2F" w:rsidRPr="00C2156B">
              <w:rPr>
                <w:rFonts w:ascii="Arial" w:hAnsi="Arial" w:cs="Arial"/>
              </w:rPr>
              <w:t xml:space="preserve">We will question </w:t>
            </w:r>
            <w:r w:rsidR="004E5799">
              <w:rPr>
                <w:rFonts w:ascii="Arial" w:hAnsi="Arial" w:cs="Arial"/>
              </w:rPr>
              <w:t xml:space="preserve">Enbridge Gas </w:t>
            </w:r>
            <w:r w:rsidR="00B5488C" w:rsidRPr="00C2156B">
              <w:rPr>
                <w:rFonts w:ascii="Arial" w:hAnsi="Arial" w:cs="Arial"/>
              </w:rPr>
              <w:t>on the case</w:t>
            </w:r>
            <w:r w:rsidR="00614C2F" w:rsidRPr="00C2156B">
              <w:rPr>
                <w:rFonts w:ascii="Arial" w:hAnsi="Arial" w:cs="Arial"/>
              </w:rPr>
              <w:t xml:space="preserve">. </w:t>
            </w:r>
            <w:r w:rsidR="00353B18" w:rsidRPr="00C2156B">
              <w:rPr>
                <w:rFonts w:ascii="Arial" w:hAnsi="Arial" w:cs="Arial"/>
              </w:rPr>
              <w:t>We</w:t>
            </w:r>
            <w:r w:rsidRPr="00C2156B">
              <w:rPr>
                <w:rFonts w:ascii="Arial" w:hAnsi="Arial" w:cs="Arial"/>
              </w:rPr>
              <w:t xml:space="preserve"> will </w:t>
            </w:r>
            <w:r w:rsidR="00614C2F" w:rsidRPr="00C2156B">
              <w:rPr>
                <w:rFonts w:ascii="Arial" w:hAnsi="Arial" w:cs="Arial"/>
              </w:rPr>
              <w:t xml:space="preserve">also </w:t>
            </w:r>
            <w:r w:rsidRPr="00C2156B">
              <w:rPr>
                <w:rFonts w:ascii="Arial" w:hAnsi="Arial" w:cs="Arial"/>
              </w:rPr>
              <w:t xml:space="preserve">hear arguments from </w:t>
            </w:r>
            <w:r w:rsidR="00353B18" w:rsidRPr="00C2156B">
              <w:rPr>
                <w:rFonts w:ascii="Arial" w:hAnsi="Arial" w:cs="Arial"/>
              </w:rPr>
              <w:t xml:space="preserve">individuals and from </w:t>
            </w:r>
            <w:r w:rsidRPr="00C2156B">
              <w:rPr>
                <w:rFonts w:ascii="Arial" w:hAnsi="Arial" w:cs="Arial"/>
              </w:rPr>
              <w:t xml:space="preserve">groups that </w:t>
            </w:r>
            <w:r w:rsidR="008F3D8F">
              <w:rPr>
                <w:rFonts w:ascii="Arial" w:hAnsi="Arial" w:cs="Arial"/>
              </w:rPr>
              <w:t>are interested in the case</w:t>
            </w:r>
            <w:r w:rsidR="004E5799">
              <w:rPr>
                <w:rFonts w:ascii="Arial" w:hAnsi="Arial" w:cs="Arial"/>
              </w:rPr>
              <w:t xml:space="preserve">. </w:t>
            </w:r>
            <w:r w:rsidRPr="00C2156B">
              <w:rPr>
                <w:rFonts w:ascii="Arial" w:hAnsi="Arial" w:cs="Arial"/>
              </w:rPr>
              <w:t xml:space="preserve">At the end of this hearing, the </w:t>
            </w:r>
            <w:r w:rsidR="00C90B74" w:rsidRPr="00C2156B">
              <w:rPr>
                <w:rFonts w:ascii="Arial" w:hAnsi="Arial" w:cs="Arial"/>
              </w:rPr>
              <w:t>OEB</w:t>
            </w:r>
          </w:p>
          <w:p w:rsidR="0094505E" w:rsidRPr="00C2156B" w:rsidRDefault="00BC3580" w:rsidP="0003679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w</w:t>
            </w:r>
            <w:r w:rsidR="0094505E" w:rsidRPr="00C2156B">
              <w:rPr>
                <w:rFonts w:ascii="Arial" w:hAnsi="Arial" w:cs="Arial"/>
              </w:rPr>
              <w:t>ill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210D67">
              <w:rPr>
                <w:rFonts w:ascii="Arial" w:hAnsi="Arial" w:cs="Arial"/>
              </w:rPr>
              <w:t>report to the Min</w:t>
            </w:r>
            <w:r w:rsidR="00A54476">
              <w:rPr>
                <w:rFonts w:ascii="Arial" w:hAnsi="Arial" w:cs="Arial"/>
              </w:rPr>
              <w:t>i</w:t>
            </w:r>
            <w:r w:rsidR="00210D67">
              <w:rPr>
                <w:rFonts w:ascii="Arial" w:hAnsi="Arial" w:cs="Arial"/>
              </w:rPr>
              <w:t>ster of Natural Resources</w:t>
            </w:r>
            <w:r>
              <w:rPr>
                <w:rFonts w:ascii="Arial" w:hAnsi="Arial" w:cs="Arial"/>
              </w:rPr>
              <w:t xml:space="preserve"> and Forestry</w:t>
            </w:r>
            <w:r w:rsidR="00210D67">
              <w:rPr>
                <w:rFonts w:ascii="Arial" w:hAnsi="Arial" w:cs="Arial"/>
              </w:rPr>
              <w:t xml:space="preserve"> on the application by Enbridge Gas for a well licence</w:t>
            </w:r>
            <w:r w:rsidR="0094505E" w:rsidRPr="00C2156B">
              <w:rPr>
                <w:rFonts w:ascii="Arial" w:hAnsi="Arial" w:cs="Arial"/>
              </w:rPr>
              <w:t xml:space="preserve">. </w:t>
            </w:r>
            <w:r w:rsidR="00AC5516" w:rsidRPr="00C2156B">
              <w:rPr>
                <w:rFonts w:ascii="Arial" w:hAnsi="Arial" w:cs="Arial"/>
              </w:rPr>
              <w:t xml:space="preserve"> </w:t>
            </w:r>
          </w:p>
          <w:p w:rsidR="00266ABD" w:rsidRPr="00C2156B" w:rsidRDefault="00BC3101" w:rsidP="005C74DD">
            <w:pPr>
              <w:rPr>
                <w:rFonts w:ascii="Arial" w:hAnsi="Arial" w:cs="Arial"/>
              </w:rPr>
            </w:pPr>
            <w:r w:rsidRPr="00C2156B">
              <w:rPr>
                <w:rFonts w:ascii="Arial" w:hAnsi="Arial" w:cs="Arial"/>
              </w:rPr>
              <w:t xml:space="preserve"> </w:t>
            </w:r>
            <w:r w:rsidR="00AC5516" w:rsidRPr="00C2156B">
              <w:rPr>
                <w:rFonts w:ascii="Arial" w:hAnsi="Arial" w:cs="Arial"/>
              </w:rPr>
              <w:t xml:space="preserve"> </w:t>
            </w:r>
          </w:p>
          <w:p w:rsidR="00266ABD" w:rsidRPr="00C2156B" w:rsidRDefault="00266ABD" w:rsidP="00266ABD">
            <w:pPr>
              <w:rPr>
                <w:rFonts w:ascii="Arial" w:hAnsi="Arial" w:cs="Arial"/>
              </w:rPr>
            </w:pPr>
            <w:r w:rsidRPr="00C2156B">
              <w:rPr>
                <w:rFonts w:ascii="Arial" w:hAnsi="Arial" w:cs="Arial"/>
              </w:rPr>
              <w:t xml:space="preserve">The OEB is an independent and impartial public agency. We make decisions that serve the public interest. Our goal is to promote a </w:t>
            </w:r>
            <w:r w:rsidR="004012B9" w:rsidRPr="00C2156B">
              <w:rPr>
                <w:rFonts w:ascii="Arial" w:hAnsi="Arial" w:cs="Arial"/>
              </w:rPr>
              <w:t xml:space="preserve">financially viable </w:t>
            </w:r>
            <w:r w:rsidRPr="00C2156B">
              <w:rPr>
                <w:rFonts w:ascii="Arial" w:hAnsi="Arial" w:cs="Arial"/>
              </w:rPr>
              <w:t xml:space="preserve">and efficient energy sector that provides you with reliable energy services at a reasonable cost. </w:t>
            </w:r>
          </w:p>
          <w:p w:rsidR="0094505E" w:rsidRPr="00C2156B" w:rsidRDefault="0094505E" w:rsidP="009A0D58">
            <w:pPr>
              <w:rPr>
                <w:rFonts w:ascii="Arial" w:hAnsi="Arial" w:cs="Arial"/>
              </w:rPr>
            </w:pPr>
          </w:p>
          <w:p w:rsidR="00444CD9" w:rsidRPr="00C2156B" w:rsidRDefault="00EF4954" w:rsidP="00674B4E">
            <w:pPr>
              <w:rPr>
                <w:rFonts w:ascii="Arial" w:hAnsi="Arial" w:cs="Arial"/>
                <w:b/>
              </w:rPr>
            </w:pPr>
            <w:r w:rsidRPr="00C2156B">
              <w:rPr>
                <w:rFonts w:ascii="Arial" w:hAnsi="Arial" w:cs="Arial"/>
                <w:b/>
              </w:rPr>
              <w:t>BE INFORMED AND HAVE YOUR SAY</w:t>
            </w:r>
            <w:r w:rsidR="00A51C72" w:rsidRPr="00C2156B">
              <w:rPr>
                <w:rFonts w:ascii="Arial" w:hAnsi="Arial" w:cs="Arial"/>
                <w:b/>
              </w:rPr>
              <w:t xml:space="preserve"> </w:t>
            </w:r>
          </w:p>
          <w:p w:rsidR="00444CD9" w:rsidRPr="00C2156B" w:rsidRDefault="00444CD9" w:rsidP="00444CD9">
            <w:pPr>
              <w:spacing w:line="276" w:lineRule="auto"/>
              <w:rPr>
                <w:rFonts w:ascii="Arial" w:hAnsi="Arial" w:cs="Arial"/>
                <w:color w:val="262626" w:themeColor="text1" w:themeTint="D9"/>
              </w:rPr>
            </w:pPr>
            <w:r w:rsidRPr="00C2156B">
              <w:rPr>
                <w:rFonts w:ascii="Arial" w:hAnsi="Arial" w:cs="Arial"/>
                <w:color w:val="262626" w:themeColor="text1" w:themeTint="D9"/>
              </w:rPr>
              <w:t>You have the right to information regarding this application and to be involved in the process.</w:t>
            </w:r>
          </w:p>
          <w:p w:rsidR="00444CD9" w:rsidRPr="00C2156B" w:rsidRDefault="004875E8" w:rsidP="00AC551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color w:val="262626" w:themeColor="text1" w:themeTint="D9"/>
              </w:rPr>
            </w:pPr>
            <w:r w:rsidRPr="00C2156B">
              <w:rPr>
                <w:rFonts w:ascii="Arial" w:hAnsi="Arial" w:cs="Arial"/>
                <w:color w:val="262626" w:themeColor="text1" w:themeTint="D9"/>
              </w:rPr>
              <w:t xml:space="preserve">You can </w:t>
            </w:r>
            <w:r w:rsidR="006B0C3C" w:rsidRPr="00C2156B">
              <w:rPr>
                <w:rFonts w:ascii="Arial" w:hAnsi="Arial" w:cs="Arial"/>
                <w:color w:val="262626" w:themeColor="text1" w:themeTint="D9"/>
              </w:rPr>
              <w:t xml:space="preserve">review </w:t>
            </w:r>
            <w:r w:rsidR="00E57CC2" w:rsidRPr="00C2156B">
              <w:rPr>
                <w:rFonts w:ascii="Arial" w:hAnsi="Arial" w:cs="Arial"/>
                <w:color w:val="262626" w:themeColor="text1" w:themeTint="D9"/>
              </w:rPr>
              <w:t xml:space="preserve">the application filed by </w:t>
            </w:r>
            <w:r w:rsidR="00417401">
              <w:rPr>
                <w:rFonts w:ascii="Arial" w:hAnsi="Arial" w:cs="Arial"/>
                <w:color w:val="262626" w:themeColor="text1" w:themeTint="D9"/>
              </w:rPr>
              <w:t xml:space="preserve">Enbridge </w:t>
            </w:r>
            <w:r w:rsidR="00210D67">
              <w:rPr>
                <w:rFonts w:ascii="Arial" w:hAnsi="Arial" w:cs="Arial"/>
                <w:color w:val="262626" w:themeColor="text1" w:themeTint="D9"/>
              </w:rPr>
              <w:t>Gas with the Ministry of Natural Resources</w:t>
            </w:r>
            <w:r w:rsidR="00BC3580">
              <w:rPr>
                <w:rFonts w:ascii="Arial" w:hAnsi="Arial" w:cs="Arial"/>
                <w:color w:val="262626" w:themeColor="text1" w:themeTint="D9"/>
              </w:rPr>
              <w:t xml:space="preserve"> and Forestry</w:t>
            </w:r>
            <w:r w:rsidR="00210D67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 xml:space="preserve">on </w:t>
            </w:r>
            <w:r w:rsidR="00C90B74" w:rsidRPr="00C2156B">
              <w:rPr>
                <w:rFonts w:ascii="Arial" w:hAnsi="Arial" w:cs="Arial"/>
                <w:color w:val="262626" w:themeColor="text1" w:themeTint="D9"/>
              </w:rPr>
              <w:t xml:space="preserve">the OEB’s 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 xml:space="preserve">website now. </w:t>
            </w:r>
          </w:p>
          <w:p w:rsidR="00444CD9" w:rsidRPr="00C2156B" w:rsidRDefault="004875E8" w:rsidP="00444C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color w:val="262626" w:themeColor="text1" w:themeTint="D9"/>
              </w:rPr>
            </w:pPr>
            <w:r w:rsidRPr="00C2156B">
              <w:rPr>
                <w:rFonts w:ascii="Arial" w:hAnsi="Arial" w:cs="Arial"/>
                <w:color w:val="262626" w:themeColor="text1" w:themeTint="D9"/>
              </w:rPr>
              <w:t xml:space="preserve">You can 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 xml:space="preserve">file a letter with your comments, which will be considered during the hearing. </w:t>
            </w:r>
            <w:r w:rsidR="00DF7149" w:rsidRPr="00C2156B">
              <w:rPr>
                <w:rFonts w:ascii="Arial" w:hAnsi="Arial" w:cs="Arial"/>
                <w:color w:val="262626" w:themeColor="text1" w:themeTint="D9"/>
              </w:rPr>
              <w:t xml:space="preserve"> </w:t>
            </w:r>
          </w:p>
          <w:p w:rsidR="00444CD9" w:rsidRPr="00C2156B" w:rsidRDefault="004875E8" w:rsidP="00BC3580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Arial" w:hAnsi="Arial" w:cs="Arial"/>
                <w:color w:val="262626" w:themeColor="text1" w:themeTint="D9"/>
              </w:rPr>
            </w:pPr>
            <w:r w:rsidRPr="00C2156B">
              <w:rPr>
                <w:rFonts w:ascii="Arial" w:hAnsi="Arial" w:cs="Arial"/>
                <w:color w:val="262626" w:themeColor="text1" w:themeTint="D9"/>
              </w:rPr>
              <w:t xml:space="preserve">You can </w:t>
            </w:r>
            <w:r w:rsidR="004012B9" w:rsidRPr="00C2156B">
              <w:rPr>
                <w:rFonts w:ascii="Arial" w:hAnsi="Arial" w:cs="Arial"/>
                <w:color w:val="262626" w:themeColor="text1" w:themeTint="D9"/>
              </w:rPr>
              <w:t>become an active participant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3852DD" w:rsidRPr="00C2156B">
              <w:rPr>
                <w:rFonts w:ascii="Arial" w:hAnsi="Arial" w:cs="Arial"/>
                <w:color w:val="262626" w:themeColor="text1" w:themeTint="D9"/>
              </w:rPr>
              <w:t xml:space="preserve">(called an </w:t>
            </w:r>
            <w:proofErr w:type="spellStart"/>
            <w:r w:rsidR="003852DD" w:rsidRPr="00C2156B">
              <w:rPr>
                <w:rFonts w:ascii="Arial" w:hAnsi="Arial" w:cs="Arial"/>
                <w:color w:val="262626" w:themeColor="text1" w:themeTint="D9"/>
              </w:rPr>
              <w:t>intervenor</w:t>
            </w:r>
            <w:proofErr w:type="spellEnd"/>
            <w:r w:rsidR="00BE6622" w:rsidRPr="00C2156B">
              <w:rPr>
                <w:rFonts w:ascii="Arial" w:hAnsi="Arial" w:cs="Arial"/>
                <w:color w:val="262626" w:themeColor="text1" w:themeTint="D9"/>
              </w:rPr>
              <w:t>).</w:t>
            </w:r>
            <w:r w:rsidR="00635491" w:rsidRPr="00C2156B">
              <w:rPr>
                <w:rFonts w:ascii="Arial" w:hAnsi="Arial" w:cs="Arial"/>
                <w:color w:val="262626" w:themeColor="text1" w:themeTint="D9"/>
              </w:rPr>
              <w:t xml:space="preserve"> A</w:t>
            </w:r>
            <w:r w:rsidR="003537B8" w:rsidRPr="00C2156B">
              <w:rPr>
                <w:rFonts w:ascii="Arial" w:hAnsi="Arial" w:cs="Arial"/>
                <w:color w:val="262626" w:themeColor="text1" w:themeTint="D9"/>
              </w:rPr>
              <w:t>pply</w:t>
            </w:r>
            <w:r w:rsidR="004012B9" w:rsidRPr="00C2156B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>by</w:t>
            </w:r>
            <w:r w:rsidR="00444CD9" w:rsidRPr="00C2156B">
              <w:rPr>
                <w:rFonts w:ascii="Arial" w:hAnsi="Arial" w:cs="Arial"/>
                <w:b/>
                <w:color w:val="262626" w:themeColor="text1" w:themeTint="D9"/>
              </w:rPr>
              <w:t xml:space="preserve"> </w:t>
            </w:r>
            <w:r w:rsidR="00F32902" w:rsidRPr="00C2156B">
              <w:rPr>
                <w:rFonts w:ascii="Arial" w:hAnsi="Arial" w:cs="Arial"/>
                <w:b/>
                <w:color w:val="262626"/>
              </w:rPr>
              <w:t xml:space="preserve">[insert actual date 10 calendar days 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 xml:space="preserve">rom 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he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d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e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he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no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i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e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is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po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 xml:space="preserve">d on 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ppli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n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2"/>
              </w:rPr>
              <w:t>’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s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b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="009627B5" w:rsidRPr="00C2156B">
              <w:rPr>
                <w:rFonts w:ascii="Arial" w:eastAsia="Arial" w:hAnsi="Arial" w:cs="Arial"/>
                <w:b/>
                <w:bCs/>
              </w:rPr>
              <w:t>i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9627B5" w:rsidRPr="00C2156B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="00F32902" w:rsidRPr="00C2156B">
              <w:rPr>
                <w:rFonts w:ascii="Arial" w:hAnsi="Arial" w:cs="Arial"/>
                <w:b/>
                <w:color w:val="262626"/>
              </w:rPr>
              <w:t>]</w:t>
            </w:r>
            <w:r w:rsidR="00635491" w:rsidRPr="00C2156B">
              <w:rPr>
                <w:rFonts w:ascii="Arial" w:hAnsi="Arial" w:cs="Arial"/>
                <w:b/>
                <w:color w:val="262626" w:themeColor="text1" w:themeTint="D9"/>
              </w:rPr>
              <w:t xml:space="preserve"> </w:t>
            </w:r>
            <w:r w:rsidR="00635491" w:rsidRPr="00C2156B">
              <w:rPr>
                <w:rFonts w:ascii="Arial" w:hAnsi="Arial" w:cs="Arial"/>
                <w:color w:val="262626" w:themeColor="text1" w:themeTint="D9"/>
              </w:rPr>
              <w:t>or</w:t>
            </w:r>
            <w:r w:rsidR="00BE6622" w:rsidRPr="00C2156B">
              <w:rPr>
                <w:rFonts w:ascii="Arial" w:hAnsi="Arial" w:cs="Arial"/>
                <w:b/>
                <w:color w:val="262626" w:themeColor="text1" w:themeTint="D9"/>
              </w:rPr>
              <w:t xml:space="preserve"> 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>the hearing will go ahead without you and you will not receive any further notice of the proceeding.</w:t>
            </w:r>
          </w:p>
          <w:p w:rsidR="00444CD9" w:rsidRPr="00C2156B" w:rsidRDefault="004875E8" w:rsidP="00444C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A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 xml:space="preserve">t the end of the process, </w:t>
            </w:r>
            <w:r>
              <w:rPr>
                <w:rFonts w:ascii="Arial" w:hAnsi="Arial" w:cs="Arial"/>
                <w:color w:val="262626" w:themeColor="text1" w:themeTint="D9"/>
              </w:rPr>
              <w:t>y</w:t>
            </w:r>
            <w:r w:rsidRPr="00C2156B">
              <w:rPr>
                <w:rFonts w:ascii="Arial" w:hAnsi="Arial" w:cs="Arial"/>
                <w:color w:val="262626" w:themeColor="text1" w:themeTint="D9"/>
              </w:rPr>
              <w:t xml:space="preserve">ou can 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 xml:space="preserve">review the </w:t>
            </w:r>
            <w:r w:rsidR="00C90B74" w:rsidRPr="00C2156B">
              <w:rPr>
                <w:rFonts w:ascii="Arial" w:hAnsi="Arial" w:cs="Arial"/>
                <w:color w:val="262626" w:themeColor="text1" w:themeTint="D9"/>
              </w:rPr>
              <w:t xml:space="preserve">OEB’s </w:t>
            </w:r>
            <w:r w:rsidR="00444CD9" w:rsidRPr="00C2156B">
              <w:rPr>
                <w:rFonts w:ascii="Arial" w:hAnsi="Arial" w:cs="Arial"/>
                <w:color w:val="262626" w:themeColor="text1" w:themeTint="D9"/>
              </w:rPr>
              <w:t xml:space="preserve">decision and its reasons on our website. </w:t>
            </w:r>
          </w:p>
          <w:p w:rsidR="009A0D58" w:rsidRPr="00466243" w:rsidRDefault="00EF4954" w:rsidP="009A0D58">
            <w:pPr>
              <w:rPr>
                <w:rFonts w:ascii="Arial" w:hAnsi="Arial" w:cs="Arial"/>
                <w:b/>
              </w:rPr>
            </w:pPr>
            <w:r w:rsidRPr="00466243">
              <w:rPr>
                <w:rFonts w:ascii="Arial" w:hAnsi="Arial" w:cs="Arial"/>
                <w:b/>
              </w:rPr>
              <w:t>LEARN MORE</w:t>
            </w:r>
          </w:p>
          <w:p w:rsidR="000E0334" w:rsidRPr="00466243" w:rsidRDefault="00F41F36" w:rsidP="00C2156B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66243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A0D58" w:rsidRPr="00466243">
              <w:rPr>
                <w:rFonts w:ascii="Arial" w:hAnsi="Arial" w:cs="Arial"/>
                <w:sz w:val="22"/>
                <w:szCs w:val="22"/>
              </w:rPr>
              <w:t>file number</w:t>
            </w:r>
            <w:r w:rsidRPr="00466243">
              <w:rPr>
                <w:rFonts w:ascii="Arial" w:hAnsi="Arial" w:cs="Arial"/>
                <w:sz w:val="22"/>
                <w:szCs w:val="22"/>
              </w:rPr>
              <w:t xml:space="preserve"> for this case </w:t>
            </w:r>
            <w:r w:rsidR="00DF7149" w:rsidRPr="00466243">
              <w:rPr>
                <w:rFonts w:ascii="Arial" w:hAnsi="Arial" w:cs="Arial"/>
                <w:sz w:val="22"/>
                <w:szCs w:val="22"/>
              </w:rPr>
              <w:t>is</w:t>
            </w:r>
            <w:r w:rsidR="009A0D58" w:rsidRPr="004662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476">
              <w:rPr>
                <w:rFonts w:ascii="Arial" w:hAnsi="Arial" w:cs="Arial"/>
                <w:b/>
                <w:noProof/>
                <w:sz w:val="22"/>
                <w:szCs w:val="22"/>
              </w:rPr>
              <w:t>EB-2015-0303</w:t>
            </w:r>
            <w:r w:rsidR="009A0D58" w:rsidRPr="0046624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2156B" w:rsidRPr="00466243">
              <w:rPr>
                <w:rFonts w:ascii="Arial" w:hAnsi="Arial" w:cs="Arial"/>
                <w:sz w:val="22"/>
                <w:szCs w:val="22"/>
              </w:rPr>
              <w:t xml:space="preserve">To learn more about how to participate in this hearing, including how to file a letter with your comments or how to become an </w:t>
            </w:r>
            <w:proofErr w:type="spellStart"/>
            <w:r w:rsidR="00C2156B" w:rsidRPr="00466243">
              <w:rPr>
                <w:rFonts w:ascii="Arial" w:hAnsi="Arial" w:cs="Arial"/>
                <w:sz w:val="22"/>
                <w:szCs w:val="22"/>
              </w:rPr>
              <w:t>intervenor</w:t>
            </w:r>
            <w:proofErr w:type="spellEnd"/>
            <w:r w:rsidR="00C2156B" w:rsidRPr="00466243">
              <w:rPr>
                <w:rFonts w:ascii="Arial" w:hAnsi="Arial" w:cs="Arial"/>
                <w:sz w:val="22"/>
                <w:szCs w:val="22"/>
              </w:rPr>
              <w:t>, go to:</w:t>
            </w:r>
            <w:r w:rsidR="00C2156B" w:rsidRPr="004662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7" w:history="1">
              <w:r w:rsidR="00C2156B" w:rsidRPr="00466243">
                <w:rPr>
                  <w:rStyle w:val="Hyperlink"/>
                  <w:rFonts w:ascii="Arial" w:hAnsi="Arial" w:cs="Arial"/>
                  <w:sz w:val="22"/>
                  <w:szCs w:val="22"/>
                </w:rPr>
                <w:t>www.ontarioenergyboard.ca/participate</w:t>
              </w:r>
            </w:hyperlink>
            <w:r w:rsidR="00C2156B" w:rsidRPr="00466243">
              <w:rPr>
                <w:rFonts w:ascii="Arial" w:hAnsi="Arial" w:cs="Arial"/>
                <w:sz w:val="22"/>
                <w:szCs w:val="22"/>
              </w:rPr>
              <w:t xml:space="preserve">. From that OEB web page you can enter the file number </w:t>
            </w:r>
            <w:r w:rsidR="00417401">
              <w:rPr>
                <w:rFonts w:ascii="Arial" w:hAnsi="Arial" w:cs="Arial"/>
                <w:b/>
                <w:sz w:val="22"/>
                <w:szCs w:val="22"/>
              </w:rPr>
              <w:t>EB-2014-0378</w:t>
            </w:r>
            <w:r w:rsidR="00C2156B" w:rsidRPr="00466243">
              <w:rPr>
                <w:rFonts w:ascii="Arial" w:hAnsi="Arial" w:cs="Arial"/>
                <w:sz w:val="22"/>
                <w:szCs w:val="22"/>
              </w:rPr>
              <w:t xml:space="preserve"> to see all the documents related to this case</w:t>
            </w:r>
            <w:r w:rsidR="00C2156B" w:rsidRPr="0046624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.</w:t>
            </w:r>
            <w:r w:rsidR="00C2156B" w:rsidRPr="004662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D58" w:rsidRPr="0046624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You can also </w:t>
            </w:r>
            <w:r w:rsidR="009A0D58" w:rsidRPr="00466243">
              <w:rPr>
                <w:rFonts w:ascii="Arial" w:hAnsi="Arial" w:cs="Arial"/>
                <w:sz w:val="22"/>
                <w:szCs w:val="22"/>
              </w:rPr>
              <w:t xml:space="preserve">phone our Consumer Relations Centre at 1-877-632-2727 with any questions. </w:t>
            </w:r>
          </w:p>
          <w:p w:rsidR="00266ABD" w:rsidRPr="00C2156B" w:rsidRDefault="00266ABD" w:rsidP="009A0D58">
            <w:pPr>
              <w:rPr>
                <w:rFonts w:ascii="Arial" w:hAnsi="Arial" w:cs="Arial"/>
              </w:rPr>
            </w:pPr>
          </w:p>
          <w:p w:rsidR="00D56761" w:rsidRDefault="00D56761" w:rsidP="00D567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ORAL VS. WRITTEN HEARINGS</w:t>
            </w:r>
          </w:p>
          <w:p w:rsidR="00D56761" w:rsidRDefault="00D56761" w:rsidP="00D567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two types of OEB hearings – oral and written. The OEB will determine at a later date whether to proceed by way of a written or oral hearing. If you think an oral hearing is needed, you can write to the OEB to explain why by </w:t>
            </w:r>
            <w:r>
              <w:rPr>
                <w:rFonts w:ascii="Arial" w:hAnsi="Arial" w:cs="Arial"/>
                <w:b/>
                <w:bCs/>
              </w:rPr>
              <w:t>[insert actual date 10 calendar days from publication]</w:t>
            </w:r>
            <w:r>
              <w:rPr>
                <w:rFonts w:ascii="Arial" w:hAnsi="Arial" w:cs="Arial"/>
              </w:rPr>
              <w:t xml:space="preserve">. </w:t>
            </w:r>
          </w:p>
          <w:p w:rsidR="00D56761" w:rsidRDefault="00D56761" w:rsidP="00D567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2A58B6" w:rsidRPr="00C2156B" w:rsidRDefault="00EF4954" w:rsidP="00BC3580">
            <w:pPr>
              <w:spacing w:line="276" w:lineRule="auto"/>
              <w:rPr>
                <w:rFonts w:ascii="Arial" w:hAnsi="Arial" w:cs="Arial"/>
                <w:b/>
              </w:rPr>
            </w:pPr>
            <w:r w:rsidRPr="00C2156B">
              <w:rPr>
                <w:rFonts w:ascii="Arial" w:hAnsi="Arial" w:cs="Arial"/>
                <w:b/>
              </w:rPr>
              <w:t>PRIVACY</w:t>
            </w:r>
            <w:r w:rsidR="0015477A" w:rsidRPr="00C2156B">
              <w:rPr>
                <w:rFonts w:ascii="Arial" w:hAnsi="Arial" w:cs="Arial"/>
                <w:b/>
              </w:rPr>
              <w:t xml:space="preserve"> </w:t>
            </w:r>
          </w:p>
          <w:p w:rsidR="002A58B6" w:rsidRPr="00C2156B" w:rsidRDefault="002A58B6" w:rsidP="002A58B6">
            <w:pPr>
              <w:rPr>
                <w:rFonts w:ascii="Arial" w:hAnsi="Arial" w:cs="Arial"/>
                <w:i/>
              </w:rPr>
            </w:pPr>
            <w:r w:rsidRPr="00C2156B">
              <w:rPr>
                <w:rFonts w:ascii="Arial" w:hAnsi="Arial" w:cs="Arial"/>
                <w:i/>
              </w:rPr>
              <w:t>If you write a letter of comment</w:t>
            </w:r>
            <w:r w:rsidR="00F859F4" w:rsidRPr="00C2156B">
              <w:rPr>
                <w:rFonts w:ascii="Arial" w:hAnsi="Arial" w:cs="Arial"/>
                <w:i/>
              </w:rPr>
              <w:t xml:space="preserve">, </w:t>
            </w:r>
            <w:r w:rsidRPr="00C2156B">
              <w:rPr>
                <w:rFonts w:ascii="Arial" w:hAnsi="Arial" w:cs="Arial"/>
                <w:i/>
              </w:rPr>
              <w:t>your name and the content of</w:t>
            </w:r>
            <w:r w:rsidR="00954364" w:rsidRPr="00C2156B">
              <w:rPr>
                <w:rFonts w:ascii="Arial" w:hAnsi="Arial" w:cs="Arial"/>
                <w:i/>
              </w:rPr>
              <w:t xml:space="preserve"> </w:t>
            </w:r>
            <w:r w:rsidR="0015477A" w:rsidRPr="00C2156B">
              <w:rPr>
                <w:rFonts w:ascii="Arial" w:hAnsi="Arial" w:cs="Arial"/>
                <w:i/>
              </w:rPr>
              <w:t xml:space="preserve">your letter </w:t>
            </w:r>
            <w:r w:rsidRPr="00C2156B">
              <w:rPr>
                <w:rFonts w:ascii="Arial" w:hAnsi="Arial" w:cs="Arial"/>
                <w:i/>
              </w:rPr>
              <w:t xml:space="preserve">will be put on the public record and the OEB website. However, your personal telephone number, home address and email address will be removed. If you are a business, all your information will remain public. If you apply to become an </w:t>
            </w:r>
            <w:proofErr w:type="spellStart"/>
            <w:r w:rsidRPr="00C2156B">
              <w:rPr>
                <w:rFonts w:ascii="Arial" w:hAnsi="Arial" w:cs="Arial"/>
                <w:i/>
              </w:rPr>
              <w:t>intervenor</w:t>
            </w:r>
            <w:proofErr w:type="spellEnd"/>
            <w:r w:rsidRPr="00C2156B">
              <w:rPr>
                <w:rFonts w:ascii="Arial" w:hAnsi="Arial" w:cs="Arial"/>
                <w:i/>
              </w:rPr>
              <w:t xml:space="preserve">, all information will be public. </w:t>
            </w:r>
          </w:p>
          <w:p w:rsidR="002A58B6" w:rsidRPr="00C2156B" w:rsidRDefault="002A58B6" w:rsidP="002A58B6">
            <w:pPr>
              <w:rPr>
                <w:rFonts w:ascii="Arial" w:hAnsi="Arial" w:cs="Arial"/>
              </w:rPr>
            </w:pPr>
          </w:p>
          <w:p w:rsidR="0094505E" w:rsidRPr="00C34A35" w:rsidRDefault="002A58B6" w:rsidP="004E5799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2156B">
              <w:rPr>
                <w:rFonts w:ascii="Arial" w:hAnsi="Arial" w:cs="Arial"/>
                <w:i/>
              </w:rPr>
              <w:t>This hearing will be held under section</w:t>
            </w:r>
            <w:bookmarkStart w:id="0" w:name="_GoBack"/>
            <w:bookmarkEnd w:id="0"/>
            <w:r w:rsidRPr="00C2156B">
              <w:rPr>
                <w:rFonts w:ascii="Arial" w:hAnsi="Arial" w:cs="Arial"/>
                <w:i/>
              </w:rPr>
              <w:t xml:space="preserve"> </w:t>
            </w:r>
            <w:r w:rsidR="00276EC0" w:rsidRPr="004E5799">
              <w:rPr>
                <w:rFonts w:ascii="Arial" w:hAnsi="Arial" w:cs="Arial"/>
                <w:i/>
              </w:rPr>
              <w:t>40(1)</w:t>
            </w:r>
            <w:r w:rsidR="002C1E78" w:rsidRPr="00C2156B">
              <w:rPr>
                <w:rFonts w:ascii="Arial" w:hAnsi="Arial" w:cs="Arial"/>
                <w:i/>
              </w:rPr>
              <w:t xml:space="preserve"> </w:t>
            </w:r>
            <w:r w:rsidRPr="00C2156B">
              <w:rPr>
                <w:rFonts w:ascii="Arial" w:hAnsi="Arial" w:cs="Arial"/>
                <w:i/>
              </w:rPr>
              <w:t>of the Ontario Energy Board Act, 1998, S.O. 1998 c.15 (Schedule B).</w:t>
            </w:r>
          </w:p>
        </w:tc>
      </w:tr>
      <w:tr w:rsidR="00FA2AC4" w:rsidTr="00ED18D2">
        <w:trPr>
          <w:trHeight w:val="1662"/>
          <w:jc w:val="center"/>
        </w:trPr>
        <w:tc>
          <w:tcPr>
            <w:tcW w:w="9810" w:type="dxa"/>
            <w:gridSpan w:val="4"/>
            <w:vAlign w:val="center"/>
          </w:tcPr>
          <w:p w:rsidR="00FA2AC4" w:rsidRPr="00C34A35" w:rsidRDefault="002A58B6" w:rsidP="002A58B6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C34A35">
              <w:rPr>
                <w:rFonts w:ascii="Arial" w:hAnsi="Arial" w:cs="Arial"/>
                <w:i/>
                <w:noProof/>
                <w:sz w:val="19"/>
                <w:szCs w:val="19"/>
                <w:lang w:eastAsia="en-CA"/>
              </w:rPr>
              <w:drawing>
                <wp:inline distT="0" distB="0" distL="0" distR="0" wp14:anchorId="4F9FECAF" wp14:editId="4547C4EC">
                  <wp:extent cx="978196" cy="932683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196" cy="932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05E" w:rsidTr="00ED18D2">
        <w:trPr>
          <w:trHeight w:val="338"/>
          <w:jc w:val="center"/>
        </w:trPr>
        <w:tc>
          <w:tcPr>
            <w:tcW w:w="3145" w:type="dxa"/>
            <w:shd w:val="clear" w:color="auto" w:fill="000000" w:themeFill="text1"/>
          </w:tcPr>
          <w:p w:rsidR="0094505E" w:rsidRDefault="0094505E" w:rsidP="009A0D58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867" w:type="dxa"/>
            <w:gridSpan w:val="2"/>
            <w:shd w:val="clear" w:color="auto" w:fill="000000" w:themeFill="text1"/>
          </w:tcPr>
          <w:p w:rsidR="0094505E" w:rsidRDefault="0094505E" w:rsidP="009A0D58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3798" w:type="dxa"/>
            <w:shd w:val="clear" w:color="auto" w:fill="000000" w:themeFill="text1"/>
          </w:tcPr>
          <w:p w:rsidR="0094505E" w:rsidRPr="006E41FD" w:rsidRDefault="0094505E" w:rsidP="009A0D58">
            <w:pPr>
              <w:rPr>
                <w:rFonts w:ascii="Arial" w:hAnsi="Arial" w:cs="Arial"/>
                <w:noProof/>
                <w:sz w:val="14"/>
                <w:szCs w:val="24"/>
                <w:lang w:eastAsia="en-CA"/>
              </w:rPr>
            </w:pPr>
          </w:p>
        </w:tc>
      </w:tr>
    </w:tbl>
    <w:p w:rsidR="00746080" w:rsidRPr="00EA0919" w:rsidRDefault="00746080" w:rsidP="006F2345">
      <w:pPr>
        <w:rPr>
          <w:rFonts w:ascii="Arial" w:hAnsi="Arial" w:cs="Arial"/>
          <w:sz w:val="24"/>
          <w:szCs w:val="24"/>
        </w:rPr>
      </w:pPr>
    </w:p>
    <w:sectPr w:rsidR="00746080" w:rsidRPr="00EA0919" w:rsidSect="006F2345">
      <w:pgSz w:w="12240" w:h="20160" w:code="5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095"/>
    <w:multiLevelType w:val="hybridMultilevel"/>
    <w:tmpl w:val="02E2D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036CC"/>
    <w:multiLevelType w:val="hybridMultilevel"/>
    <w:tmpl w:val="0C741D2C"/>
    <w:lvl w:ilvl="0" w:tplc="8A8CB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0099"/>
    <w:multiLevelType w:val="hybridMultilevel"/>
    <w:tmpl w:val="26D03D5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DA"/>
    <w:rsid w:val="00036791"/>
    <w:rsid w:val="00036D39"/>
    <w:rsid w:val="0005118F"/>
    <w:rsid w:val="0005630A"/>
    <w:rsid w:val="000668C4"/>
    <w:rsid w:val="000703C5"/>
    <w:rsid w:val="00074FB9"/>
    <w:rsid w:val="000A2072"/>
    <w:rsid w:val="000B5FD5"/>
    <w:rsid w:val="000C198C"/>
    <w:rsid w:val="000D37E2"/>
    <w:rsid w:val="000E0334"/>
    <w:rsid w:val="000F4323"/>
    <w:rsid w:val="001021C4"/>
    <w:rsid w:val="00110FBE"/>
    <w:rsid w:val="00150BC0"/>
    <w:rsid w:val="0015477A"/>
    <w:rsid w:val="001735EA"/>
    <w:rsid w:val="0019123B"/>
    <w:rsid w:val="00191E06"/>
    <w:rsid w:val="001B0AEB"/>
    <w:rsid w:val="001C3340"/>
    <w:rsid w:val="001D3D4A"/>
    <w:rsid w:val="001F3D9C"/>
    <w:rsid w:val="001F778E"/>
    <w:rsid w:val="0020036D"/>
    <w:rsid w:val="00203EAF"/>
    <w:rsid w:val="00210D67"/>
    <w:rsid w:val="00221214"/>
    <w:rsid w:val="00221399"/>
    <w:rsid w:val="00232410"/>
    <w:rsid w:val="0024366E"/>
    <w:rsid w:val="00246E12"/>
    <w:rsid w:val="0024761E"/>
    <w:rsid w:val="00266ABD"/>
    <w:rsid w:val="00276EC0"/>
    <w:rsid w:val="00284311"/>
    <w:rsid w:val="002A58B6"/>
    <w:rsid w:val="002B0883"/>
    <w:rsid w:val="002C1E78"/>
    <w:rsid w:val="002C5E95"/>
    <w:rsid w:val="002D246A"/>
    <w:rsid w:val="002E7AC0"/>
    <w:rsid w:val="002F7448"/>
    <w:rsid w:val="00311596"/>
    <w:rsid w:val="00312988"/>
    <w:rsid w:val="00312F38"/>
    <w:rsid w:val="0031345B"/>
    <w:rsid w:val="00313921"/>
    <w:rsid w:val="00317BCC"/>
    <w:rsid w:val="003515A4"/>
    <w:rsid w:val="003537B8"/>
    <w:rsid w:val="00353B18"/>
    <w:rsid w:val="00365455"/>
    <w:rsid w:val="003852DD"/>
    <w:rsid w:val="003903D9"/>
    <w:rsid w:val="003A1595"/>
    <w:rsid w:val="003A546C"/>
    <w:rsid w:val="003B6B19"/>
    <w:rsid w:val="003B6DEC"/>
    <w:rsid w:val="003B745D"/>
    <w:rsid w:val="003D36ED"/>
    <w:rsid w:val="003F33D6"/>
    <w:rsid w:val="004012B9"/>
    <w:rsid w:val="00412DC6"/>
    <w:rsid w:val="00417401"/>
    <w:rsid w:val="00444CD9"/>
    <w:rsid w:val="0045354F"/>
    <w:rsid w:val="004627D1"/>
    <w:rsid w:val="00466243"/>
    <w:rsid w:val="004875E8"/>
    <w:rsid w:val="004E5799"/>
    <w:rsid w:val="004F781B"/>
    <w:rsid w:val="00515E5D"/>
    <w:rsid w:val="00545B6F"/>
    <w:rsid w:val="00555F1D"/>
    <w:rsid w:val="00561165"/>
    <w:rsid w:val="005672C7"/>
    <w:rsid w:val="00571A85"/>
    <w:rsid w:val="005733E8"/>
    <w:rsid w:val="00576F44"/>
    <w:rsid w:val="00587533"/>
    <w:rsid w:val="0059546E"/>
    <w:rsid w:val="005C74DD"/>
    <w:rsid w:val="005D4D80"/>
    <w:rsid w:val="00614626"/>
    <w:rsid w:val="00614C2F"/>
    <w:rsid w:val="006300CE"/>
    <w:rsid w:val="00635491"/>
    <w:rsid w:val="00642D1A"/>
    <w:rsid w:val="00672FA4"/>
    <w:rsid w:val="00674B4E"/>
    <w:rsid w:val="0067767F"/>
    <w:rsid w:val="006B0C3C"/>
    <w:rsid w:val="006E339B"/>
    <w:rsid w:val="006E5E4B"/>
    <w:rsid w:val="006F2345"/>
    <w:rsid w:val="006F392E"/>
    <w:rsid w:val="0070423C"/>
    <w:rsid w:val="00716C86"/>
    <w:rsid w:val="00722283"/>
    <w:rsid w:val="00746080"/>
    <w:rsid w:val="00761FFB"/>
    <w:rsid w:val="007918E5"/>
    <w:rsid w:val="007D24BD"/>
    <w:rsid w:val="007E562B"/>
    <w:rsid w:val="0080095E"/>
    <w:rsid w:val="00801719"/>
    <w:rsid w:val="008269C1"/>
    <w:rsid w:val="0086064C"/>
    <w:rsid w:val="008638E0"/>
    <w:rsid w:val="00885BA0"/>
    <w:rsid w:val="008A35CB"/>
    <w:rsid w:val="008B2C25"/>
    <w:rsid w:val="008E7157"/>
    <w:rsid w:val="008F2EB1"/>
    <w:rsid w:val="008F3D8F"/>
    <w:rsid w:val="00901575"/>
    <w:rsid w:val="0091220C"/>
    <w:rsid w:val="00913A58"/>
    <w:rsid w:val="0092174A"/>
    <w:rsid w:val="00925C9D"/>
    <w:rsid w:val="009429D0"/>
    <w:rsid w:val="0094505E"/>
    <w:rsid w:val="00954364"/>
    <w:rsid w:val="009577DD"/>
    <w:rsid w:val="009627B5"/>
    <w:rsid w:val="0099760A"/>
    <w:rsid w:val="009A0D58"/>
    <w:rsid w:val="009A2DA6"/>
    <w:rsid w:val="009A3222"/>
    <w:rsid w:val="009A4DA4"/>
    <w:rsid w:val="009D438B"/>
    <w:rsid w:val="009D7CEE"/>
    <w:rsid w:val="009E455B"/>
    <w:rsid w:val="009F23B3"/>
    <w:rsid w:val="00A07024"/>
    <w:rsid w:val="00A107C6"/>
    <w:rsid w:val="00A12324"/>
    <w:rsid w:val="00A51C72"/>
    <w:rsid w:val="00A54476"/>
    <w:rsid w:val="00A57345"/>
    <w:rsid w:val="00A623DA"/>
    <w:rsid w:val="00A823EA"/>
    <w:rsid w:val="00A939A9"/>
    <w:rsid w:val="00AA06D9"/>
    <w:rsid w:val="00AB31D1"/>
    <w:rsid w:val="00AB34D3"/>
    <w:rsid w:val="00AC5516"/>
    <w:rsid w:val="00AE7EEF"/>
    <w:rsid w:val="00AF1BC9"/>
    <w:rsid w:val="00AF7E8F"/>
    <w:rsid w:val="00B00B89"/>
    <w:rsid w:val="00B047E9"/>
    <w:rsid w:val="00B07931"/>
    <w:rsid w:val="00B25576"/>
    <w:rsid w:val="00B307AA"/>
    <w:rsid w:val="00B37BB4"/>
    <w:rsid w:val="00B5488C"/>
    <w:rsid w:val="00B5553D"/>
    <w:rsid w:val="00B66ACE"/>
    <w:rsid w:val="00B729FA"/>
    <w:rsid w:val="00B97F90"/>
    <w:rsid w:val="00BB4671"/>
    <w:rsid w:val="00BB73D4"/>
    <w:rsid w:val="00BC3101"/>
    <w:rsid w:val="00BC3580"/>
    <w:rsid w:val="00BC57C1"/>
    <w:rsid w:val="00BD1BDD"/>
    <w:rsid w:val="00BE6622"/>
    <w:rsid w:val="00C12FFE"/>
    <w:rsid w:val="00C2156B"/>
    <w:rsid w:val="00C27358"/>
    <w:rsid w:val="00C34A35"/>
    <w:rsid w:val="00C53C41"/>
    <w:rsid w:val="00C57ADC"/>
    <w:rsid w:val="00C7119E"/>
    <w:rsid w:val="00C90B74"/>
    <w:rsid w:val="00C91A7C"/>
    <w:rsid w:val="00C95ECA"/>
    <w:rsid w:val="00D25DCB"/>
    <w:rsid w:val="00D45606"/>
    <w:rsid w:val="00D50121"/>
    <w:rsid w:val="00D536FB"/>
    <w:rsid w:val="00D56761"/>
    <w:rsid w:val="00DB6B50"/>
    <w:rsid w:val="00DF0C5B"/>
    <w:rsid w:val="00DF7149"/>
    <w:rsid w:val="00E010DC"/>
    <w:rsid w:val="00E014A8"/>
    <w:rsid w:val="00E1391C"/>
    <w:rsid w:val="00E455D3"/>
    <w:rsid w:val="00E51719"/>
    <w:rsid w:val="00E57BAE"/>
    <w:rsid w:val="00E57CC2"/>
    <w:rsid w:val="00E64FA4"/>
    <w:rsid w:val="00E702A6"/>
    <w:rsid w:val="00EA0919"/>
    <w:rsid w:val="00ED0FF9"/>
    <w:rsid w:val="00ED18D2"/>
    <w:rsid w:val="00EF4954"/>
    <w:rsid w:val="00F00FC6"/>
    <w:rsid w:val="00F015BC"/>
    <w:rsid w:val="00F14647"/>
    <w:rsid w:val="00F245E3"/>
    <w:rsid w:val="00F32902"/>
    <w:rsid w:val="00F41F36"/>
    <w:rsid w:val="00F859F4"/>
    <w:rsid w:val="00F872BC"/>
    <w:rsid w:val="00FA2AC4"/>
    <w:rsid w:val="00FB55AF"/>
    <w:rsid w:val="00FB5AD4"/>
    <w:rsid w:val="00FB7281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50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E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E5D"/>
    <w:rPr>
      <w:b/>
      <w:bCs/>
      <w:sz w:val="20"/>
      <w:szCs w:val="20"/>
    </w:rPr>
  </w:style>
  <w:style w:type="paragraph" w:customStyle="1" w:styleId="Default">
    <w:name w:val="Default"/>
    <w:rsid w:val="00614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50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E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E5D"/>
    <w:rPr>
      <w:b/>
      <w:bCs/>
      <w:sz w:val="20"/>
      <w:szCs w:val="20"/>
    </w:rPr>
  </w:style>
  <w:style w:type="paragraph" w:customStyle="1" w:styleId="Default">
    <w:name w:val="Default"/>
    <w:rsid w:val="00614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ontarioenergyboard.ca/particip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Ju\AppData\Local\Microsoft\Windows\Temporary%20Internet%20Files\Content.Outlook\PLYR8067\NoA%20-%20CND%20BCP%20MAADs%20(KS)(JF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B689-D616-48F5-96E2-3B0D3F5D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NoA - CND BCP MAADs (KS)(JF).dotx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Template_NoA - Elec - EDR (CoS)</vt:lpstr>
    </vt:vector>
  </TitlesOfParts>
  <Company>OEB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Template_NoA - Elec - EDR (CoS)</dc:title>
  <dc:subject>EDR Cost of Service (CoS)</dc:subject>
  <dc:creator>Judith Fernandes</dc:creator>
  <cp:keywords>template, templates, noa, notice, notice of application, edr, cos, cost of service</cp:keywords>
  <cp:lastModifiedBy>Zora Crnojacki</cp:lastModifiedBy>
  <cp:revision>3</cp:revision>
  <cp:lastPrinted>2014-10-23T20:04:00Z</cp:lastPrinted>
  <dcterms:created xsi:type="dcterms:W3CDTF">2015-12-01T15:42:00Z</dcterms:created>
  <dcterms:modified xsi:type="dcterms:W3CDTF">2015-12-01T19:52:00Z</dcterms:modified>
  <cp:category>templates</cp:category>
</cp:coreProperties>
</file>