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080" w:rsidRPr="00D31675" w:rsidRDefault="00D31675" w:rsidP="00D31675">
      <w:pPr>
        <w:jc w:val="center"/>
        <w:rPr>
          <w:rFonts w:ascii="Arial" w:hAnsi="Arial" w:cs="Arial"/>
          <w:b/>
          <w:sz w:val="24"/>
          <w:szCs w:val="24"/>
        </w:rPr>
      </w:pPr>
      <w:bookmarkStart w:id="0" w:name="_GoBack"/>
      <w:bookmarkEnd w:id="0"/>
      <w:r w:rsidRPr="00D31675">
        <w:rPr>
          <w:rFonts w:ascii="Arial" w:hAnsi="Arial" w:cs="Arial"/>
          <w:b/>
          <w:sz w:val="24"/>
          <w:szCs w:val="24"/>
        </w:rPr>
        <w:t>Thunder Bay Hydro Electricity Distribution Inc.</w:t>
      </w:r>
    </w:p>
    <w:p w:rsidR="00D31675" w:rsidRPr="007E4839" w:rsidRDefault="00D31675" w:rsidP="008C1B53">
      <w:pPr>
        <w:jc w:val="center"/>
        <w:rPr>
          <w:rFonts w:ascii="Arial" w:hAnsi="Arial" w:cs="Arial"/>
          <w:b/>
          <w:sz w:val="24"/>
          <w:szCs w:val="24"/>
        </w:rPr>
      </w:pPr>
      <w:r w:rsidRPr="00D31675">
        <w:rPr>
          <w:rFonts w:ascii="Arial" w:hAnsi="Arial" w:cs="Arial"/>
          <w:b/>
          <w:sz w:val="24"/>
          <w:szCs w:val="24"/>
        </w:rPr>
        <w:t>Application Analysis (EB-2015-0103)</w:t>
      </w:r>
    </w:p>
    <w:p w:rsidR="00D31675" w:rsidRPr="007E4839" w:rsidRDefault="00D31675" w:rsidP="00D31675">
      <w:pPr>
        <w:rPr>
          <w:rFonts w:ascii="Arial" w:hAnsi="Arial" w:cs="Arial"/>
          <w:b/>
          <w:sz w:val="24"/>
          <w:szCs w:val="24"/>
        </w:rPr>
      </w:pPr>
      <w:r w:rsidRPr="007E4839">
        <w:rPr>
          <w:rFonts w:ascii="Arial" w:hAnsi="Arial" w:cs="Arial"/>
          <w:b/>
          <w:sz w:val="24"/>
          <w:szCs w:val="24"/>
        </w:rPr>
        <w:t>Tab 15 – Rev2Cost_GDPIPI</w:t>
      </w:r>
    </w:p>
    <w:p w:rsidR="00D31675" w:rsidRDefault="00D31675" w:rsidP="007E4839">
      <w:pPr>
        <w:spacing w:after="0" w:line="300" w:lineRule="auto"/>
        <w:rPr>
          <w:rFonts w:ascii="Arial" w:hAnsi="Arial" w:cs="Arial"/>
          <w:sz w:val="24"/>
          <w:szCs w:val="24"/>
        </w:rPr>
      </w:pPr>
      <w:r>
        <w:rPr>
          <w:rFonts w:ascii="Arial" w:hAnsi="Arial" w:cs="Arial"/>
          <w:sz w:val="24"/>
          <w:szCs w:val="24"/>
        </w:rPr>
        <w:t xml:space="preserve">This is to confirm that OEB staff </w:t>
      </w:r>
      <w:r w:rsidR="0042059B">
        <w:rPr>
          <w:rFonts w:ascii="Arial" w:hAnsi="Arial" w:cs="Arial"/>
          <w:sz w:val="24"/>
          <w:szCs w:val="24"/>
        </w:rPr>
        <w:t>will update</w:t>
      </w:r>
      <w:r>
        <w:rPr>
          <w:rFonts w:ascii="Arial" w:hAnsi="Arial" w:cs="Arial"/>
          <w:sz w:val="24"/>
          <w:szCs w:val="24"/>
        </w:rPr>
        <w:t xml:space="preserve"> the final model which will be sent back to Thunder Bay Hydro </w:t>
      </w:r>
      <w:r w:rsidR="00092149">
        <w:rPr>
          <w:rFonts w:ascii="Arial" w:hAnsi="Arial" w:cs="Arial"/>
          <w:sz w:val="24"/>
          <w:szCs w:val="24"/>
        </w:rPr>
        <w:t xml:space="preserve">(following confirmation of any other changes resulting from the questions to follow) </w:t>
      </w:r>
      <w:r>
        <w:rPr>
          <w:rFonts w:ascii="Arial" w:hAnsi="Arial" w:cs="Arial"/>
          <w:sz w:val="24"/>
          <w:szCs w:val="24"/>
        </w:rPr>
        <w:t xml:space="preserve">reflecting the updated price escalator of 2.10%. </w:t>
      </w:r>
    </w:p>
    <w:p w:rsidR="00CF2E4F" w:rsidRPr="00CF2E4F" w:rsidRDefault="00CF2E4F" w:rsidP="007E4839">
      <w:pPr>
        <w:spacing w:after="0" w:line="300" w:lineRule="auto"/>
        <w:rPr>
          <w:rFonts w:ascii="Arial" w:hAnsi="Arial" w:cs="Arial"/>
          <w:b/>
          <w:color w:val="F79646" w:themeColor="accent6"/>
          <w:sz w:val="24"/>
          <w:szCs w:val="24"/>
        </w:rPr>
      </w:pPr>
    </w:p>
    <w:p w:rsidR="00CF2E4F" w:rsidRPr="00EE5C52" w:rsidRDefault="00CF2E4F" w:rsidP="007E4839">
      <w:pPr>
        <w:spacing w:after="0" w:line="300" w:lineRule="auto"/>
        <w:rPr>
          <w:rFonts w:ascii="Arial" w:hAnsi="Arial" w:cs="Arial"/>
          <w:color w:val="E36C0A" w:themeColor="accent6" w:themeShade="BF"/>
          <w:sz w:val="24"/>
          <w:szCs w:val="24"/>
        </w:rPr>
      </w:pPr>
      <w:proofErr w:type="gramStart"/>
      <w:r w:rsidRPr="00EE5C52">
        <w:rPr>
          <w:rFonts w:ascii="Arial" w:hAnsi="Arial" w:cs="Arial"/>
          <w:color w:val="E36C0A" w:themeColor="accent6" w:themeShade="BF"/>
          <w:sz w:val="24"/>
          <w:szCs w:val="24"/>
        </w:rPr>
        <w:t>Noted.</w:t>
      </w:r>
      <w:proofErr w:type="gramEnd"/>
      <w:r w:rsidRPr="00EE5C52">
        <w:rPr>
          <w:rFonts w:ascii="Arial" w:hAnsi="Arial" w:cs="Arial"/>
          <w:color w:val="E36C0A" w:themeColor="accent6" w:themeShade="BF"/>
          <w:sz w:val="24"/>
          <w:szCs w:val="24"/>
        </w:rPr>
        <w:t xml:space="preserve"> Thank you.</w:t>
      </w:r>
    </w:p>
    <w:p w:rsidR="007E4839" w:rsidRPr="007E4839" w:rsidRDefault="007E4839" w:rsidP="007E4839">
      <w:pPr>
        <w:spacing w:after="0" w:line="300" w:lineRule="auto"/>
        <w:rPr>
          <w:rFonts w:ascii="Arial" w:hAnsi="Arial" w:cs="Arial"/>
          <w:b/>
          <w:sz w:val="24"/>
          <w:szCs w:val="24"/>
        </w:rPr>
      </w:pPr>
    </w:p>
    <w:p w:rsidR="00D31675" w:rsidRPr="007E4839" w:rsidRDefault="00D04645" w:rsidP="00D548A1">
      <w:pPr>
        <w:spacing w:after="0" w:line="300" w:lineRule="auto"/>
        <w:rPr>
          <w:rFonts w:ascii="Arial" w:hAnsi="Arial" w:cs="Arial"/>
          <w:b/>
          <w:sz w:val="24"/>
          <w:szCs w:val="24"/>
        </w:rPr>
      </w:pPr>
      <w:r w:rsidRPr="007E4839">
        <w:rPr>
          <w:rFonts w:ascii="Arial" w:hAnsi="Arial" w:cs="Arial"/>
          <w:b/>
          <w:sz w:val="24"/>
          <w:szCs w:val="24"/>
        </w:rPr>
        <w:t xml:space="preserve">Tab 3 – 2015 Continuity </w:t>
      </w:r>
      <w:proofErr w:type="gramStart"/>
      <w:r w:rsidRPr="007E4839">
        <w:rPr>
          <w:rFonts w:ascii="Arial" w:hAnsi="Arial" w:cs="Arial"/>
          <w:b/>
          <w:sz w:val="24"/>
          <w:szCs w:val="24"/>
        </w:rPr>
        <w:t>Schedule</w:t>
      </w:r>
      <w:proofErr w:type="gramEnd"/>
    </w:p>
    <w:p w:rsidR="00D548A1" w:rsidRDefault="00D548A1" w:rsidP="00D548A1">
      <w:pPr>
        <w:spacing w:after="0"/>
        <w:rPr>
          <w:rFonts w:ascii="Arial" w:hAnsi="Arial" w:cs="Arial"/>
          <w:b/>
          <w:sz w:val="24"/>
          <w:szCs w:val="24"/>
        </w:rPr>
      </w:pPr>
    </w:p>
    <w:p w:rsidR="00D548A1" w:rsidRDefault="00D548A1" w:rsidP="00D548A1">
      <w:pPr>
        <w:spacing w:after="0"/>
        <w:rPr>
          <w:rFonts w:ascii="Arial" w:hAnsi="Arial" w:cs="Arial"/>
          <w:sz w:val="24"/>
          <w:szCs w:val="24"/>
        </w:rPr>
      </w:pPr>
      <w:r>
        <w:rPr>
          <w:rFonts w:ascii="Arial" w:hAnsi="Arial" w:cs="Arial"/>
          <w:sz w:val="24"/>
          <w:szCs w:val="24"/>
        </w:rPr>
        <w:t>OEB staff is unable to reconcile the following figures entered in the continuity schedule:</w:t>
      </w:r>
    </w:p>
    <w:p w:rsidR="00D548A1" w:rsidRDefault="00D548A1" w:rsidP="00D548A1">
      <w:pPr>
        <w:pStyle w:val="ListParagraph"/>
        <w:numPr>
          <w:ilvl w:val="0"/>
          <w:numId w:val="2"/>
        </w:numPr>
        <w:spacing w:after="0"/>
        <w:rPr>
          <w:rFonts w:ascii="Arial" w:hAnsi="Arial" w:cs="Arial"/>
          <w:sz w:val="24"/>
          <w:szCs w:val="24"/>
        </w:rPr>
      </w:pPr>
      <w:r>
        <w:rPr>
          <w:rFonts w:ascii="Arial" w:hAnsi="Arial" w:cs="Arial"/>
          <w:sz w:val="24"/>
          <w:szCs w:val="24"/>
        </w:rPr>
        <w:t>Column Q – Board-Approved Disposition during 2012: $2,848,731</w:t>
      </w:r>
    </w:p>
    <w:p w:rsidR="00DC45C0" w:rsidRDefault="00DC45C0" w:rsidP="00CF2E4F">
      <w:pPr>
        <w:pStyle w:val="ListParagraph"/>
        <w:spacing w:after="0"/>
        <w:rPr>
          <w:rFonts w:ascii="Arial" w:hAnsi="Arial" w:cs="Arial"/>
          <w:b/>
          <w:color w:val="F79646" w:themeColor="accent6"/>
          <w:sz w:val="24"/>
          <w:szCs w:val="24"/>
        </w:rPr>
      </w:pPr>
    </w:p>
    <w:p w:rsidR="00577DE2" w:rsidRPr="004F7C9C" w:rsidRDefault="00577DE2" w:rsidP="00577DE2">
      <w:pPr>
        <w:spacing w:after="0"/>
        <w:rPr>
          <w:rFonts w:ascii="Arial" w:hAnsi="Arial" w:cs="Arial"/>
          <w:color w:val="E36C0A" w:themeColor="accent6" w:themeShade="BF"/>
          <w:sz w:val="24"/>
          <w:szCs w:val="24"/>
        </w:rPr>
      </w:pPr>
      <w:r w:rsidRPr="004F7C9C">
        <w:rPr>
          <w:rFonts w:ascii="Arial" w:hAnsi="Arial" w:cs="Arial"/>
          <w:color w:val="E36C0A" w:themeColor="accent6" w:themeShade="BF"/>
          <w:sz w:val="24"/>
          <w:szCs w:val="24"/>
        </w:rPr>
        <w:t>$2,848,731 is the net disposition of group one</w:t>
      </w:r>
      <w:r w:rsidRPr="00EE5C52">
        <w:rPr>
          <w:rFonts w:ascii="Arial" w:hAnsi="Arial" w:cs="Arial"/>
          <w:color w:val="E36C0A" w:themeColor="accent6" w:themeShade="BF"/>
          <w:sz w:val="24"/>
          <w:szCs w:val="24"/>
        </w:rPr>
        <w:t xml:space="preserve"> and</w:t>
      </w:r>
      <w:r w:rsidRPr="004F7C9C">
        <w:rPr>
          <w:rFonts w:ascii="Arial" w:hAnsi="Arial" w:cs="Arial"/>
          <w:color w:val="E36C0A" w:themeColor="accent6" w:themeShade="BF"/>
          <w:sz w:val="24"/>
          <w:szCs w:val="24"/>
        </w:rPr>
        <w:t xml:space="preserve"> group two accounts from the Board approved </w:t>
      </w:r>
      <w:r w:rsidR="00312F6C">
        <w:rPr>
          <w:rFonts w:ascii="Arial" w:hAnsi="Arial" w:cs="Arial"/>
          <w:color w:val="E36C0A" w:themeColor="accent6" w:themeShade="BF"/>
          <w:sz w:val="24"/>
          <w:szCs w:val="24"/>
        </w:rPr>
        <w:t xml:space="preserve">2012 IRM </w:t>
      </w:r>
      <w:r w:rsidR="00EE5C52">
        <w:rPr>
          <w:rFonts w:ascii="Arial" w:hAnsi="Arial" w:cs="Arial"/>
          <w:color w:val="E36C0A" w:themeColor="accent6" w:themeShade="BF"/>
          <w:sz w:val="24"/>
          <w:szCs w:val="24"/>
        </w:rPr>
        <w:t>Decision and O</w:t>
      </w:r>
      <w:r w:rsidRPr="004F7C9C">
        <w:rPr>
          <w:rFonts w:ascii="Arial" w:hAnsi="Arial" w:cs="Arial"/>
          <w:color w:val="E36C0A" w:themeColor="accent6" w:themeShade="BF"/>
          <w:sz w:val="24"/>
          <w:szCs w:val="24"/>
        </w:rPr>
        <w:t xml:space="preserve">rder ‘EB 2011-0197’. </w:t>
      </w:r>
      <w:r w:rsidR="00EE5C52">
        <w:rPr>
          <w:rFonts w:ascii="Arial" w:hAnsi="Arial" w:cs="Arial"/>
          <w:color w:val="E36C0A" w:themeColor="accent6" w:themeShade="BF"/>
          <w:sz w:val="24"/>
          <w:szCs w:val="24"/>
        </w:rPr>
        <w:t xml:space="preserve"> See details in Table below.  </w:t>
      </w:r>
      <w:r w:rsidRPr="004F7C9C">
        <w:rPr>
          <w:rFonts w:ascii="Arial" w:hAnsi="Arial" w:cs="Arial"/>
          <w:color w:val="E36C0A" w:themeColor="accent6" w:themeShade="BF"/>
          <w:sz w:val="24"/>
          <w:szCs w:val="24"/>
        </w:rPr>
        <w:t>Thunder Bay Hydro has entered the figure $2,848,731 into column ‘Q’ as it relates to the 2012 _1595 disposition balance.</w:t>
      </w:r>
      <w:r w:rsidR="00312F6C">
        <w:rPr>
          <w:rFonts w:ascii="Arial" w:hAnsi="Arial" w:cs="Arial"/>
          <w:color w:val="E36C0A" w:themeColor="accent6" w:themeShade="BF"/>
          <w:sz w:val="24"/>
          <w:szCs w:val="24"/>
        </w:rPr>
        <w:t xml:space="preserve"> Entering the figure $2,848,731 generates the beginning principal balance for 1595</w:t>
      </w:r>
      <w:proofErr w:type="gramStart"/>
      <w:r w:rsidR="00312F6C">
        <w:rPr>
          <w:rFonts w:ascii="Arial" w:hAnsi="Arial" w:cs="Arial"/>
          <w:color w:val="E36C0A" w:themeColor="accent6" w:themeShade="BF"/>
          <w:sz w:val="24"/>
          <w:szCs w:val="24"/>
        </w:rPr>
        <w:t>_(</w:t>
      </w:r>
      <w:proofErr w:type="gramEnd"/>
      <w:r w:rsidR="00312F6C">
        <w:rPr>
          <w:rFonts w:ascii="Arial" w:hAnsi="Arial" w:cs="Arial"/>
          <w:color w:val="E36C0A" w:themeColor="accent6" w:themeShade="BF"/>
          <w:sz w:val="24"/>
          <w:szCs w:val="24"/>
        </w:rPr>
        <w:t xml:space="preserve">2012) </w:t>
      </w:r>
      <w:r w:rsidR="00A67449">
        <w:rPr>
          <w:rFonts w:ascii="Arial" w:hAnsi="Arial" w:cs="Arial"/>
          <w:color w:val="E36C0A" w:themeColor="accent6" w:themeShade="BF"/>
          <w:sz w:val="24"/>
          <w:szCs w:val="24"/>
        </w:rPr>
        <w:t>set apart</w:t>
      </w:r>
      <w:r w:rsidR="00312F6C">
        <w:rPr>
          <w:rFonts w:ascii="Arial" w:hAnsi="Arial" w:cs="Arial"/>
          <w:color w:val="E36C0A" w:themeColor="accent6" w:themeShade="BF"/>
          <w:sz w:val="24"/>
          <w:szCs w:val="24"/>
        </w:rPr>
        <w:t xml:space="preserve"> from the </w:t>
      </w:r>
      <w:r w:rsidR="00A67449">
        <w:rPr>
          <w:rFonts w:ascii="Arial" w:hAnsi="Arial" w:cs="Arial"/>
          <w:color w:val="E36C0A" w:themeColor="accent6" w:themeShade="BF"/>
          <w:sz w:val="24"/>
          <w:szCs w:val="24"/>
        </w:rPr>
        <w:t xml:space="preserve">debit/credit </w:t>
      </w:r>
      <w:r w:rsidR="00312F6C">
        <w:rPr>
          <w:rFonts w:ascii="Arial" w:hAnsi="Arial" w:cs="Arial"/>
          <w:color w:val="E36C0A" w:themeColor="accent6" w:themeShade="BF"/>
          <w:sz w:val="24"/>
          <w:szCs w:val="24"/>
        </w:rPr>
        <w:t>transactions</w:t>
      </w:r>
      <w:r w:rsidR="00A67449">
        <w:rPr>
          <w:rFonts w:ascii="Arial" w:hAnsi="Arial" w:cs="Arial"/>
          <w:color w:val="E36C0A" w:themeColor="accent6" w:themeShade="BF"/>
          <w:sz w:val="24"/>
          <w:szCs w:val="24"/>
        </w:rPr>
        <w:t xml:space="preserve"> in column ‘P’</w:t>
      </w:r>
      <w:r w:rsidR="00312F6C">
        <w:rPr>
          <w:rFonts w:ascii="Arial" w:hAnsi="Arial" w:cs="Arial"/>
          <w:color w:val="E36C0A" w:themeColor="accent6" w:themeShade="BF"/>
          <w:sz w:val="24"/>
          <w:szCs w:val="24"/>
        </w:rPr>
        <w:t>.</w:t>
      </w:r>
    </w:p>
    <w:p w:rsidR="00577DE2" w:rsidRPr="004F7C9C" w:rsidRDefault="00577DE2" w:rsidP="00577DE2">
      <w:pPr>
        <w:spacing w:after="0"/>
        <w:rPr>
          <w:rFonts w:ascii="Arial" w:hAnsi="Arial" w:cs="Arial"/>
          <w:color w:val="E36C0A" w:themeColor="accent6" w:themeShade="BF"/>
          <w:sz w:val="24"/>
          <w:szCs w:val="24"/>
        </w:rPr>
      </w:pPr>
    </w:p>
    <w:p w:rsidR="00577DE2" w:rsidRPr="004F7C9C" w:rsidRDefault="00577DE2" w:rsidP="00577DE2">
      <w:pPr>
        <w:spacing w:after="0"/>
        <w:rPr>
          <w:rFonts w:ascii="Arial" w:hAnsi="Arial" w:cs="Arial"/>
          <w:color w:val="E36C0A" w:themeColor="accent6" w:themeShade="BF"/>
          <w:sz w:val="24"/>
          <w:szCs w:val="24"/>
        </w:rPr>
      </w:pPr>
      <w:r w:rsidRPr="004F7C9C">
        <w:rPr>
          <w:rFonts w:ascii="Arial" w:hAnsi="Arial" w:cs="Arial"/>
          <w:color w:val="E36C0A" w:themeColor="accent6" w:themeShade="BF"/>
          <w:sz w:val="24"/>
          <w:szCs w:val="24"/>
        </w:rPr>
        <w:t>EB-2011-0197 Disposition Total:</w:t>
      </w:r>
    </w:p>
    <w:p w:rsidR="00577DE2" w:rsidRPr="004F7C9C" w:rsidRDefault="00577DE2" w:rsidP="00577DE2">
      <w:pPr>
        <w:spacing w:after="0"/>
        <w:rPr>
          <w:rFonts w:ascii="Arial" w:hAnsi="Arial" w:cs="Arial"/>
          <w:color w:val="E36C0A" w:themeColor="accent6" w:themeShade="BF"/>
          <w:sz w:val="24"/>
          <w:szCs w:val="24"/>
        </w:rPr>
      </w:pPr>
      <w:r w:rsidRPr="004F7C9C">
        <w:rPr>
          <w:noProof/>
          <w:color w:val="E36C0A" w:themeColor="accent6" w:themeShade="BF"/>
          <w:lang w:eastAsia="en-CA"/>
        </w:rPr>
        <w:drawing>
          <wp:inline distT="0" distB="0" distL="0" distR="0" wp14:anchorId="10B8A6B9" wp14:editId="16E0C793">
            <wp:extent cx="6686093" cy="2157984"/>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96621" cy="2161382"/>
                    </a:xfrm>
                    <a:prstGeom prst="rect">
                      <a:avLst/>
                    </a:prstGeom>
                  </pic:spPr>
                </pic:pic>
              </a:graphicData>
            </a:graphic>
          </wp:inline>
        </w:drawing>
      </w:r>
    </w:p>
    <w:p w:rsidR="00577DE2" w:rsidRPr="004F7C9C" w:rsidRDefault="00577DE2" w:rsidP="00577DE2">
      <w:pPr>
        <w:spacing w:after="0"/>
        <w:rPr>
          <w:rFonts w:ascii="Arial" w:hAnsi="Arial" w:cs="Arial"/>
          <w:color w:val="E36C0A" w:themeColor="accent6" w:themeShade="BF"/>
          <w:sz w:val="24"/>
          <w:szCs w:val="24"/>
        </w:rPr>
      </w:pPr>
    </w:p>
    <w:p w:rsidR="00577DE2" w:rsidRPr="004F7C9C" w:rsidRDefault="00577DE2" w:rsidP="00577DE2">
      <w:pPr>
        <w:rPr>
          <w:rFonts w:ascii="Arial" w:hAnsi="Arial" w:cs="Arial"/>
          <w:color w:val="E36C0A" w:themeColor="accent6" w:themeShade="BF"/>
          <w:sz w:val="24"/>
          <w:szCs w:val="24"/>
        </w:rPr>
      </w:pPr>
      <w:r w:rsidRPr="004F7C9C">
        <w:rPr>
          <w:rFonts w:ascii="Arial" w:hAnsi="Arial" w:cs="Arial"/>
          <w:color w:val="E36C0A" w:themeColor="accent6" w:themeShade="BF"/>
          <w:sz w:val="24"/>
          <w:szCs w:val="24"/>
        </w:rPr>
        <w:br w:type="page"/>
      </w:r>
    </w:p>
    <w:p w:rsidR="00577DE2" w:rsidRPr="002456AB" w:rsidRDefault="00577DE2" w:rsidP="00CF2E4F">
      <w:pPr>
        <w:pStyle w:val="ListParagraph"/>
        <w:spacing w:after="0"/>
        <w:rPr>
          <w:rFonts w:ascii="Arial" w:hAnsi="Arial" w:cs="Arial"/>
          <w:color w:val="E36C0A" w:themeColor="accent6" w:themeShade="BF"/>
          <w:sz w:val="24"/>
          <w:szCs w:val="24"/>
        </w:rPr>
      </w:pPr>
    </w:p>
    <w:p w:rsidR="00CF2E4F" w:rsidRDefault="00CF2E4F" w:rsidP="00CF2E4F">
      <w:pPr>
        <w:pStyle w:val="ListParagraph"/>
        <w:spacing w:after="0"/>
        <w:rPr>
          <w:rFonts w:ascii="Arial" w:hAnsi="Arial" w:cs="Arial"/>
          <w:sz w:val="24"/>
          <w:szCs w:val="24"/>
        </w:rPr>
      </w:pPr>
    </w:p>
    <w:p w:rsidR="00D548A1" w:rsidRDefault="00D548A1" w:rsidP="00D548A1">
      <w:pPr>
        <w:pStyle w:val="ListParagraph"/>
        <w:numPr>
          <w:ilvl w:val="0"/>
          <w:numId w:val="2"/>
        </w:numPr>
        <w:spacing w:after="0"/>
        <w:rPr>
          <w:rFonts w:ascii="Arial" w:hAnsi="Arial" w:cs="Arial"/>
          <w:sz w:val="24"/>
          <w:szCs w:val="24"/>
        </w:rPr>
      </w:pPr>
      <w:r>
        <w:rPr>
          <w:rFonts w:ascii="Arial" w:hAnsi="Arial" w:cs="Arial"/>
          <w:sz w:val="24"/>
          <w:szCs w:val="24"/>
        </w:rPr>
        <w:t>Column AK – Board-Approved Disposition during 2013: the amount</w:t>
      </w:r>
      <w:r w:rsidR="001859A9">
        <w:rPr>
          <w:rFonts w:ascii="Arial" w:hAnsi="Arial" w:cs="Arial"/>
          <w:sz w:val="24"/>
          <w:szCs w:val="24"/>
        </w:rPr>
        <w:t>s entered for Account 1595 (2012) and 1595 (2013</w:t>
      </w:r>
      <w:r>
        <w:rPr>
          <w:rFonts w:ascii="Arial" w:hAnsi="Arial" w:cs="Arial"/>
          <w:sz w:val="24"/>
          <w:szCs w:val="24"/>
        </w:rPr>
        <w:t>) are not found in the approved disposition amounts in Thunder Bay Hydro’s 2014 rates proceeding EB-2013-0172 (table reproduced below).</w:t>
      </w:r>
    </w:p>
    <w:p w:rsidR="00CF2E4F" w:rsidRDefault="00CF2E4F" w:rsidP="00CF2E4F">
      <w:pPr>
        <w:spacing w:after="0"/>
        <w:rPr>
          <w:rFonts w:ascii="Arial" w:hAnsi="Arial" w:cs="Arial"/>
          <w:sz w:val="24"/>
          <w:szCs w:val="24"/>
        </w:rPr>
      </w:pPr>
    </w:p>
    <w:p w:rsidR="006176D3" w:rsidRPr="002456AB" w:rsidRDefault="006176D3" w:rsidP="006176D3">
      <w:pPr>
        <w:spacing w:after="0"/>
        <w:rPr>
          <w:rFonts w:ascii="Arial" w:hAnsi="Arial" w:cs="Arial"/>
          <w:color w:val="E36C0A" w:themeColor="accent6" w:themeShade="BF"/>
          <w:sz w:val="24"/>
          <w:szCs w:val="24"/>
        </w:rPr>
      </w:pPr>
    </w:p>
    <w:p w:rsidR="002F48B2" w:rsidRPr="00803F2A" w:rsidRDefault="006176D3" w:rsidP="006176D3">
      <w:pPr>
        <w:spacing w:after="0"/>
        <w:rPr>
          <w:rFonts w:ascii="Arial" w:hAnsi="Arial" w:cs="Arial"/>
          <w:color w:val="E36C0A" w:themeColor="accent6" w:themeShade="BF"/>
          <w:sz w:val="24"/>
          <w:szCs w:val="24"/>
        </w:rPr>
      </w:pPr>
      <w:r w:rsidRPr="00803F2A">
        <w:rPr>
          <w:rFonts w:ascii="Arial" w:hAnsi="Arial" w:cs="Arial"/>
          <w:color w:val="E36C0A" w:themeColor="accent6" w:themeShade="BF"/>
          <w:sz w:val="24"/>
          <w:szCs w:val="24"/>
        </w:rPr>
        <w:t xml:space="preserve">The figures entered into Column </w:t>
      </w:r>
      <w:proofErr w:type="gramStart"/>
      <w:r w:rsidRPr="00803F2A">
        <w:rPr>
          <w:rFonts w:ascii="Arial" w:hAnsi="Arial" w:cs="Arial"/>
          <w:color w:val="E36C0A" w:themeColor="accent6" w:themeShade="BF"/>
          <w:sz w:val="24"/>
          <w:szCs w:val="24"/>
        </w:rPr>
        <w:t>‘AK’  for</w:t>
      </w:r>
      <w:proofErr w:type="gramEnd"/>
      <w:r w:rsidRPr="00803F2A">
        <w:rPr>
          <w:rFonts w:ascii="Arial" w:hAnsi="Arial" w:cs="Arial"/>
          <w:color w:val="E36C0A" w:themeColor="accent6" w:themeShade="BF"/>
          <w:sz w:val="24"/>
          <w:szCs w:val="24"/>
        </w:rPr>
        <w:t xml:space="preserve"> account 1595_2012 and 1595_2013 are principal activities that were </w:t>
      </w:r>
      <w:r w:rsidR="001A04C1" w:rsidRPr="00803F2A">
        <w:rPr>
          <w:rFonts w:ascii="Arial" w:hAnsi="Arial" w:cs="Arial"/>
          <w:color w:val="E36C0A" w:themeColor="accent6" w:themeShade="BF"/>
          <w:sz w:val="24"/>
          <w:szCs w:val="24"/>
        </w:rPr>
        <w:t>i</w:t>
      </w:r>
      <w:r w:rsidR="001A04C1">
        <w:rPr>
          <w:rFonts w:ascii="Arial" w:hAnsi="Arial" w:cs="Arial"/>
          <w:color w:val="E36C0A" w:themeColor="accent6" w:themeShade="BF"/>
          <w:sz w:val="24"/>
          <w:szCs w:val="24"/>
        </w:rPr>
        <w:t>nadvertently</w:t>
      </w:r>
      <w:r w:rsidR="00026F20">
        <w:rPr>
          <w:rFonts w:ascii="Arial" w:hAnsi="Arial" w:cs="Arial"/>
          <w:color w:val="E36C0A" w:themeColor="accent6" w:themeShade="BF"/>
          <w:sz w:val="24"/>
          <w:szCs w:val="24"/>
        </w:rPr>
        <w:t xml:space="preserve"> reported in the disposition column</w:t>
      </w:r>
      <w:r w:rsidR="00BE6860">
        <w:rPr>
          <w:rFonts w:ascii="Arial" w:hAnsi="Arial" w:cs="Arial"/>
          <w:color w:val="E36C0A" w:themeColor="accent6" w:themeShade="BF"/>
          <w:sz w:val="24"/>
          <w:szCs w:val="24"/>
        </w:rPr>
        <w:t xml:space="preserve">. </w:t>
      </w:r>
      <w:r w:rsidR="00EE5C52">
        <w:rPr>
          <w:rFonts w:ascii="Arial" w:hAnsi="Arial" w:cs="Arial"/>
          <w:color w:val="E36C0A" w:themeColor="accent6" w:themeShade="BF"/>
          <w:sz w:val="24"/>
          <w:szCs w:val="24"/>
        </w:rPr>
        <w:t>A revised snap shot of the schedule below aligns th</w:t>
      </w:r>
      <w:r w:rsidR="00026F20">
        <w:rPr>
          <w:rFonts w:ascii="Arial" w:hAnsi="Arial" w:cs="Arial"/>
          <w:color w:val="E36C0A" w:themeColor="accent6" w:themeShade="BF"/>
          <w:sz w:val="24"/>
          <w:szCs w:val="24"/>
        </w:rPr>
        <w:t xml:space="preserve">e 1595 </w:t>
      </w:r>
      <w:r w:rsidR="002F48B2">
        <w:rPr>
          <w:rFonts w:ascii="Arial" w:hAnsi="Arial" w:cs="Arial"/>
          <w:color w:val="E36C0A" w:themeColor="accent6" w:themeShade="BF"/>
          <w:sz w:val="24"/>
          <w:szCs w:val="24"/>
        </w:rPr>
        <w:t>(</w:t>
      </w:r>
      <w:r>
        <w:rPr>
          <w:rFonts w:ascii="Arial" w:hAnsi="Arial" w:cs="Arial"/>
          <w:color w:val="E36C0A" w:themeColor="accent6" w:themeShade="BF"/>
          <w:sz w:val="24"/>
          <w:szCs w:val="24"/>
        </w:rPr>
        <w:t>2012</w:t>
      </w:r>
      <w:r w:rsidR="002F48B2">
        <w:rPr>
          <w:rFonts w:ascii="Arial" w:hAnsi="Arial" w:cs="Arial"/>
          <w:color w:val="E36C0A" w:themeColor="accent6" w:themeShade="BF"/>
          <w:sz w:val="24"/>
          <w:szCs w:val="24"/>
        </w:rPr>
        <w:t>)</w:t>
      </w:r>
      <w:r>
        <w:rPr>
          <w:rFonts w:ascii="Arial" w:hAnsi="Arial" w:cs="Arial"/>
          <w:color w:val="E36C0A" w:themeColor="accent6" w:themeShade="BF"/>
          <w:sz w:val="24"/>
          <w:szCs w:val="24"/>
        </w:rPr>
        <w:t xml:space="preserve"> $</w:t>
      </w:r>
      <w:r w:rsidRPr="00803F2A">
        <w:rPr>
          <w:rFonts w:ascii="Arial" w:hAnsi="Arial" w:cs="Arial"/>
          <w:color w:val="E36C0A" w:themeColor="accent6" w:themeShade="BF"/>
          <w:sz w:val="24"/>
          <w:szCs w:val="24"/>
        </w:rPr>
        <w:t>3 and the 1595_2013</w:t>
      </w:r>
      <w:r>
        <w:rPr>
          <w:rFonts w:ascii="Arial" w:hAnsi="Arial" w:cs="Arial"/>
          <w:color w:val="E36C0A" w:themeColor="accent6" w:themeShade="BF"/>
          <w:sz w:val="24"/>
          <w:szCs w:val="24"/>
        </w:rPr>
        <w:t xml:space="preserve"> $</w:t>
      </w:r>
      <w:r w:rsidRPr="00803F2A">
        <w:rPr>
          <w:rFonts w:ascii="Arial" w:hAnsi="Arial" w:cs="Arial"/>
          <w:color w:val="E36C0A" w:themeColor="accent6" w:themeShade="BF"/>
          <w:sz w:val="24"/>
          <w:szCs w:val="24"/>
        </w:rPr>
        <w:t>178,938</w:t>
      </w:r>
      <w:r w:rsidR="00026F20">
        <w:rPr>
          <w:rFonts w:ascii="Arial" w:hAnsi="Arial" w:cs="Arial"/>
          <w:color w:val="E36C0A" w:themeColor="accent6" w:themeShade="BF"/>
          <w:sz w:val="24"/>
          <w:szCs w:val="24"/>
        </w:rPr>
        <w:t xml:space="preserve"> figures into column “AJ</w:t>
      </w:r>
      <w:proofErr w:type="gramStart"/>
      <w:r w:rsidR="00026F20">
        <w:rPr>
          <w:rFonts w:ascii="Arial" w:hAnsi="Arial" w:cs="Arial"/>
          <w:color w:val="E36C0A" w:themeColor="accent6" w:themeShade="BF"/>
          <w:sz w:val="24"/>
          <w:szCs w:val="24"/>
        </w:rPr>
        <w:t>“ (</w:t>
      </w:r>
      <w:proofErr w:type="gramEnd"/>
      <w:r w:rsidR="00026F20">
        <w:rPr>
          <w:rFonts w:ascii="Arial" w:hAnsi="Arial" w:cs="Arial"/>
          <w:color w:val="E36C0A" w:themeColor="accent6" w:themeShade="BF"/>
          <w:sz w:val="24"/>
          <w:szCs w:val="24"/>
        </w:rPr>
        <w:t xml:space="preserve">Transactions) </w:t>
      </w:r>
      <w:r w:rsidRPr="00803F2A">
        <w:rPr>
          <w:rFonts w:ascii="Arial" w:hAnsi="Arial" w:cs="Arial"/>
          <w:color w:val="E36C0A" w:themeColor="accent6" w:themeShade="BF"/>
          <w:sz w:val="24"/>
          <w:szCs w:val="24"/>
        </w:rPr>
        <w:t>result</w:t>
      </w:r>
      <w:r w:rsidR="00EE5C52">
        <w:rPr>
          <w:rFonts w:ascii="Arial" w:hAnsi="Arial" w:cs="Arial"/>
          <w:color w:val="E36C0A" w:themeColor="accent6" w:themeShade="BF"/>
          <w:sz w:val="24"/>
          <w:szCs w:val="24"/>
        </w:rPr>
        <w:t>ing</w:t>
      </w:r>
      <w:r w:rsidRPr="00803F2A">
        <w:rPr>
          <w:rFonts w:ascii="Arial" w:hAnsi="Arial" w:cs="Arial"/>
          <w:color w:val="E36C0A" w:themeColor="accent6" w:themeShade="BF"/>
          <w:sz w:val="24"/>
          <w:szCs w:val="24"/>
        </w:rPr>
        <w:t xml:space="preserve"> in </w:t>
      </w:r>
      <w:r w:rsidR="00026F20">
        <w:rPr>
          <w:rFonts w:ascii="Arial" w:hAnsi="Arial" w:cs="Arial"/>
          <w:color w:val="E36C0A" w:themeColor="accent6" w:themeShade="BF"/>
          <w:sz w:val="24"/>
          <w:szCs w:val="24"/>
        </w:rPr>
        <w:t xml:space="preserve">an amended </w:t>
      </w:r>
      <w:r w:rsidR="002F48B2">
        <w:rPr>
          <w:rFonts w:ascii="Arial" w:hAnsi="Arial" w:cs="Arial"/>
          <w:color w:val="E36C0A" w:themeColor="accent6" w:themeShade="BF"/>
          <w:sz w:val="24"/>
          <w:szCs w:val="24"/>
        </w:rPr>
        <w:t>total trans</w:t>
      </w:r>
      <w:r>
        <w:rPr>
          <w:rFonts w:ascii="Arial" w:hAnsi="Arial" w:cs="Arial"/>
          <w:color w:val="E36C0A" w:themeColor="accent6" w:themeShade="BF"/>
          <w:sz w:val="24"/>
          <w:szCs w:val="24"/>
        </w:rPr>
        <w:t>action</w:t>
      </w:r>
      <w:r w:rsidR="00D43BFA">
        <w:rPr>
          <w:rFonts w:ascii="Arial" w:hAnsi="Arial" w:cs="Arial"/>
          <w:color w:val="E36C0A" w:themeColor="accent6" w:themeShade="BF"/>
          <w:sz w:val="24"/>
          <w:szCs w:val="24"/>
        </w:rPr>
        <w:t xml:space="preserve">s </w:t>
      </w:r>
      <w:r w:rsidR="00C531B4">
        <w:rPr>
          <w:rFonts w:ascii="Arial" w:hAnsi="Arial" w:cs="Arial"/>
          <w:color w:val="E36C0A" w:themeColor="accent6" w:themeShade="BF"/>
          <w:sz w:val="24"/>
          <w:szCs w:val="24"/>
        </w:rPr>
        <w:t xml:space="preserve">to be reported in column AJ </w:t>
      </w:r>
      <w:r>
        <w:rPr>
          <w:rFonts w:ascii="Arial" w:hAnsi="Arial" w:cs="Arial"/>
          <w:color w:val="E36C0A" w:themeColor="accent6" w:themeShade="BF"/>
          <w:sz w:val="24"/>
          <w:szCs w:val="24"/>
        </w:rPr>
        <w:t>of ($3+372 = $375) and ($709,476+</w:t>
      </w:r>
      <w:r w:rsidR="00C531B4">
        <w:rPr>
          <w:rFonts w:ascii="Arial" w:hAnsi="Arial" w:cs="Arial"/>
          <w:color w:val="E36C0A" w:themeColor="accent6" w:themeShade="BF"/>
          <w:sz w:val="24"/>
          <w:szCs w:val="24"/>
        </w:rPr>
        <w:t>$</w:t>
      </w:r>
      <w:r>
        <w:rPr>
          <w:rFonts w:ascii="Arial" w:hAnsi="Arial" w:cs="Arial"/>
          <w:color w:val="E36C0A" w:themeColor="accent6" w:themeShade="BF"/>
          <w:sz w:val="24"/>
          <w:szCs w:val="24"/>
        </w:rPr>
        <w:t>178,938 = $888,41</w:t>
      </w:r>
      <w:r w:rsidR="00C531B4">
        <w:rPr>
          <w:rFonts w:ascii="Arial" w:hAnsi="Arial" w:cs="Arial"/>
          <w:color w:val="E36C0A" w:themeColor="accent6" w:themeShade="BF"/>
          <w:sz w:val="24"/>
          <w:szCs w:val="24"/>
        </w:rPr>
        <w:t>4</w:t>
      </w:r>
      <w:r>
        <w:rPr>
          <w:rFonts w:ascii="Arial" w:hAnsi="Arial" w:cs="Arial"/>
          <w:color w:val="E36C0A" w:themeColor="accent6" w:themeShade="BF"/>
          <w:sz w:val="24"/>
          <w:szCs w:val="24"/>
        </w:rPr>
        <w:t>)</w:t>
      </w:r>
      <w:r w:rsidR="00D43BFA">
        <w:rPr>
          <w:rFonts w:ascii="Arial" w:hAnsi="Arial" w:cs="Arial"/>
          <w:color w:val="E36C0A" w:themeColor="accent6" w:themeShade="BF"/>
          <w:sz w:val="24"/>
          <w:szCs w:val="24"/>
        </w:rPr>
        <w:t xml:space="preserve">. There is </w:t>
      </w:r>
      <w:r w:rsidR="00EE5C52">
        <w:rPr>
          <w:rFonts w:ascii="Arial" w:hAnsi="Arial" w:cs="Arial"/>
          <w:color w:val="E36C0A" w:themeColor="accent6" w:themeShade="BF"/>
          <w:sz w:val="24"/>
          <w:szCs w:val="24"/>
        </w:rPr>
        <w:t xml:space="preserve">no impact to the initial </w:t>
      </w:r>
      <w:r>
        <w:rPr>
          <w:rFonts w:ascii="Arial" w:hAnsi="Arial" w:cs="Arial"/>
          <w:color w:val="E36C0A" w:themeColor="accent6" w:themeShade="BF"/>
          <w:sz w:val="24"/>
          <w:szCs w:val="24"/>
        </w:rPr>
        <w:t xml:space="preserve">closing </w:t>
      </w:r>
      <w:r w:rsidRPr="00803F2A">
        <w:rPr>
          <w:rFonts w:ascii="Arial" w:hAnsi="Arial" w:cs="Arial"/>
          <w:color w:val="E36C0A" w:themeColor="accent6" w:themeShade="BF"/>
          <w:sz w:val="24"/>
          <w:szCs w:val="24"/>
        </w:rPr>
        <w:t>principal balances</w:t>
      </w:r>
      <w:r w:rsidR="002F48B2">
        <w:rPr>
          <w:rFonts w:ascii="Arial" w:hAnsi="Arial" w:cs="Arial"/>
          <w:color w:val="E36C0A" w:themeColor="accent6" w:themeShade="BF"/>
          <w:sz w:val="24"/>
          <w:szCs w:val="24"/>
        </w:rPr>
        <w:t xml:space="preserve"> or the final disposition claim.</w:t>
      </w:r>
    </w:p>
    <w:p w:rsidR="006176D3" w:rsidRPr="00010044" w:rsidRDefault="00010044" w:rsidP="00010044">
      <w:pPr>
        <w:spacing w:after="0"/>
        <w:rPr>
          <w:rFonts w:ascii="Arial" w:hAnsi="Arial" w:cs="Arial"/>
          <w:sz w:val="24"/>
          <w:szCs w:val="24"/>
        </w:rPr>
      </w:pPr>
      <w:r>
        <w:rPr>
          <w:noProof/>
          <w:lang w:eastAsia="en-CA"/>
        </w:rPr>
        <w:drawing>
          <wp:inline distT="0" distB="0" distL="0" distR="0" wp14:anchorId="5CE0FCD4" wp14:editId="3E50495A">
            <wp:extent cx="6251374" cy="3348842"/>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274231" cy="3361086"/>
                    </a:xfrm>
                    <a:prstGeom prst="rect">
                      <a:avLst/>
                    </a:prstGeom>
                  </pic:spPr>
                </pic:pic>
              </a:graphicData>
            </a:graphic>
          </wp:inline>
        </w:drawing>
      </w:r>
    </w:p>
    <w:p w:rsidR="006176D3" w:rsidRDefault="006176D3" w:rsidP="00D548A1">
      <w:pPr>
        <w:pStyle w:val="ListParagraph"/>
        <w:spacing w:after="0"/>
        <w:rPr>
          <w:rFonts w:ascii="Arial" w:hAnsi="Arial" w:cs="Arial"/>
          <w:sz w:val="24"/>
          <w:szCs w:val="24"/>
        </w:rPr>
      </w:pPr>
    </w:p>
    <w:p w:rsidR="006176D3" w:rsidRPr="00D548A1" w:rsidRDefault="006176D3" w:rsidP="00D548A1">
      <w:pPr>
        <w:pStyle w:val="ListParagraph"/>
        <w:spacing w:after="0"/>
        <w:rPr>
          <w:rFonts w:ascii="Arial" w:hAnsi="Arial" w:cs="Arial"/>
          <w:sz w:val="24"/>
          <w:szCs w:val="24"/>
        </w:rPr>
      </w:pPr>
    </w:p>
    <w:p w:rsidR="00A02C02" w:rsidRDefault="00A02C02" w:rsidP="00A02C02">
      <w:pPr>
        <w:pStyle w:val="ListParagraph"/>
        <w:rPr>
          <w:rFonts w:ascii="Arial" w:hAnsi="Arial" w:cs="Arial"/>
          <w:sz w:val="24"/>
          <w:szCs w:val="24"/>
        </w:rPr>
      </w:pPr>
    </w:p>
    <w:p w:rsidR="00A02C02" w:rsidRDefault="00A02C02" w:rsidP="00A02C02">
      <w:pPr>
        <w:pStyle w:val="ListParagraph"/>
        <w:rPr>
          <w:rFonts w:ascii="Arial" w:hAnsi="Arial" w:cs="Arial"/>
          <w:sz w:val="24"/>
          <w:szCs w:val="24"/>
        </w:rPr>
      </w:pPr>
    </w:p>
    <w:p w:rsidR="00A02C02" w:rsidRDefault="00A02C02" w:rsidP="00A02C02">
      <w:pPr>
        <w:pStyle w:val="ListParagraph"/>
        <w:rPr>
          <w:rFonts w:ascii="Arial" w:hAnsi="Arial" w:cs="Arial"/>
          <w:sz w:val="24"/>
          <w:szCs w:val="24"/>
        </w:rPr>
      </w:pPr>
    </w:p>
    <w:p w:rsidR="00A02C02" w:rsidRDefault="00A02C02" w:rsidP="00A02C02">
      <w:pPr>
        <w:pStyle w:val="ListParagraph"/>
        <w:rPr>
          <w:rFonts w:ascii="Arial" w:hAnsi="Arial" w:cs="Arial"/>
          <w:sz w:val="24"/>
          <w:szCs w:val="24"/>
        </w:rPr>
      </w:pPr>
    </w:p>
    <w:p w:rsidR="00A02C02" w:rsidRDefault="00A02C02" w:rsidP="00A02C02">
      <w:pPr>
        <w:pStyle w:val="ListParagraph"/>
        <w:rPr>
          <w:rFonts w:ascii="Arial" w:hAnsi="Arial" w:cs="Arial"/>
          <w:sz w:val="24"/>
          <w:szCs w:val="24"/>
        </w:rPr>
      </w:pPr>
    </w:p>
    <w:p w:rsidR="00A02C02" w:rsidRDefault="00A02C02" w:rsidP="00A02C02">
      <w:pPr>
        <w:pStyle w:val="ListParagraph"/>
        <w:rPr>
          <w:rFonts w:ascii="Arial" w:hAnsi="Arial" w:cs="Arial"/>
          <w:sz w:val="24"/>
          <w:szCs w:val="24"/>
        </w:rPr>
      </w:pPr>
    </w:p>
    <w:p w:rsidR="00D548A1" w:rsidRDefault="00D548A1" w:rsidP="00D548A1">
      <w:pPr>
        <w:pStyle w:val="ListParagraph"/>
        <w:numPr>
          <w:ilvl w:val="0"/>
          <w:numId w:val="2"/>
        </w:numPr>
        <w:rPr>
          <w:rFonts w:ascii="Arial" w:hAnsi="Arial" w:cs="Arial"/>
          <w:sz w:val="24"/>
          <w:szCs w:val="24"/>
        </w:rPr>
      </w:pPr>
      <w:r w:rsidRPr="00DF3696">
        <w:rPr>
          <w:rFonts w:ascii="Arial" w:hAnsi="Arial" w:cs="Arial"/>
          <w:sz w:val="24"/>
          <w:szCs w:val="24"/>
        </w:rPr>
        <w:lastRenderedPageBreak/>
        <w:t>Column AK – Board-</w:t>
      </w:r>
      <w:r w:rsidRPr="00D548A1">
        <w:rPr>
          <w:rFonts w:ascii="Arial" w:hAnsi="Arial" w:cs="Arial"/>
          <w:sz w:val="24"/>
          <w:szCs w:val="24"/>
        </w:rPr>
        <w:t>Approved Disposition during 2013</w:t>
      </w:r>
      <w:r>
        <w:rPr>
          <w:rFonts w:ascii="Arial" w:hAnsi="Arial" w:cs="Arial"/>
          <w:sz w:val="24"/>
          <w:szCs w:val="24"/>
        </w:rPr>
        <w:t>: the amount entered for Account 1595 (2014)</w:t>
      </w:r>
      <w:r w:rsidR="001859A9">
        <w:rPr>
          <w:rFonts w:ascii="Arial" w:hAnsi="Arial" w:cs="Arial"/>
          <w:sz w:val="24"/>
          <w:szCs w:val="24"/>
        </w:rPr>
        <w:t xml:space="preserve"> is the reverse total Group 1 balance as seen above. OEB staff notes that </w:t>
      </w:r>
      <w:r w:rsidR="00846005">
        <w:rPr>
          <w:rFonts w:ascii="Arial" w:hAnsi="Arial" w:cs="Arial"/>
          <w:sz w:val="24"/>
          <w:szCs w:val="24"/>
        </w:rPr>
        <w:t xml:space="preserve">while </w:t>
      </w:r>
      <w:r w:rsidR="001859A9">
        <w:rPr>
          <w:rFonts w:ascii="Arial" w:hAnsi="Arial" w:cs="Arial"/>
          <w:sz w:val="24"/>
          <w:szCs w:val="24"/>
        </w:rPr>
        <w:t>the amounts</w:t>
      </w:r>
      <w:r w:rsidR="00846005">
        <w:rPr>
          <w:rFonts w:ascii="Arial" w:hAnsi="Arial" w:cs="Arial"/>
          <w:sz w:val="24"/>
          <w:szCs w:val="24"/>
        </w:rPr>
        <w:t xml:space="preserve"> disposed</w:t>
      </w:r>
      <w:r w:rsidR="001859A9">
        <w:rPr>
          <w:rFonts w:ascii="Arial" w:hAnsi="Arial" w:cs="Arial"/>
          <w:sz w:val="24"/>
          <w:szCs w:val="24"/>
        </w:rPr>
        <w:t xml:space="preserve"> in the continuity schedule can be represented in this manner, this is the only year in which this was entered</w:t>
      </w:r>
      <w:r w:rsidR="00846005">
        <w:rPr>
          <w:rFonts w:ascii="Arial" w:hAnsi="Arial" w:cs="Arial"/>
          <w:sz w:val="24"/>
          <w:szCs w:val="24"/>
        </w:rPr>
        <w:t xml:space="preserve"> in this manner</w:t>
      </w:r>
      <w:r w:rsidR="001859A9">
        <w:rPr>
          <w:rFonts w:ascii="Arial" w:hAnsi="Arial" w:cs="Arial"/>
          <w:sz w:val="24"/>
          <w:szCs w:val="24"/>
        </w:rPr>
        <w:t>.</w:t>
      </w:r>
    </w:p>
    <w:p w:rsidR="00E14D93" w:rsidRPr="005A07D8" w:rsidRDefault="00E14D93" w:rsidP="00E14D93">
      <w:pPr>
        <w:rPr>
          <w:rFonts w:ascii="Arial" w:hAnsi="Arial" w:cs="Arial"/>
          <w:color w:val="E36C0A" w:themeColor="accent6" w:themeShade="BF"/>
          <w:sz w:val="24"/>
          <w:szCs w:val="24"/>
        </w:rPr>
      </w:pPr>
      <w:r w:rsidRPr="005A07D8">
        <w:rPr>
          <w:rFonts w:ascii="Arial" w:hAnsi="Arial" w:cs="Arial"/>
          <w:color w:val="E36C0A" w:themeColor="accent6" w:themeShade="BF"/>
          <w:sz w:val="24"/>
          <w:szCs w:val="24"/>
        </w:rPr>
        <w:t xml:space="preserve">Thunder Bay Hydro </w:t>
      </w:r>
      <w:r w:rsidR="003548FE" w:rsidRPr="005A07D8">
        <w:rPr>
          <w:rFonts w:ascii="Arial" w:hAnsi="Arial" w:cs="Arial"/>
          <w:color w:val="E36C0A" w:themeColor="accent6" w:themeShade="BF"/>
          <w:sz w:val="24"/>
          <w:szCs w:val="24"/>
        </w:rPr>
        <w:t>inadvertently</w:t>
      </w:r>
      <w:r w:rsidR="00026F20" w:rsidRPr="005A07D8">
        <w:rPr>
          <w:rFonts w:ascii="Arial" w:hAnsi="Arial" w:cs="Arial"/>
          <w:color w:val="E36C0A" w:themeColor="accent6" w:themeShade="BF"/>
          <w:sz w:val="24"/>
          <w:szCs w:val="24"/>
        </w:rPr>
        <w:t xml:space="preserve"> </w:t>
      </w:r>
      <w:r w:rsidRPr="005A07D8">
        <w:rPr>
          <w:rFonts w:ascii="Arial" w:hAnsi="Arial" w:cs="Arial"/>
          <w:color w:val="E36C0A" w:themeColor="accent6" w:themeShade="BF"/>
          <w:sz w:val="24"/>
          <w:szCs w:val="24"/>
        </w:rPr>
        <w:t>treated the 1595_2014 pri</w:t>
      </w:r>
      <w:r w:rsidR="001A04C1">
        <w:rPr>
          <w:rFonts w:ascii="Arial" w:hAnsi="Arial" w:cs="Arial"/>
          <w:color w:val="E36C0A" w:themeColor="accent6" w:themeShade="BF"/>
          <w:sz w:val="24"/>
          <w:szCs w:val="24"/>
        </w:rPr>
        <w:t xml:space="preserve">ncipal and interest disposition separately.  </w:t>
      </w:r>
      <w:r w:rsidR="003548FE" w:rsidRPr="005A07D8">
        <w:rPr>
          <w:rFonts w:ascii="Arial" w:hAnsi="Arial" w:cs="Arial"/>
          <w:color w:val="E36C0A" w:themeColor="accent6" w:themeShade="BF"/>
          <w:sz w:val="24"/>
          <w:szCs w:val="24"/>
        </w:rPr>
        <w:t>In keeping consistent with past presentation, the interest disposition of $69,</w:t>
      </w:r>
      <w:r w:rsidR="00A02C02">
        <w:rPr>
          <w:rFonts w:ascii="Arial" w:hAnsi="Arial" w:cs="Arial"/>
          <w:color w:val="E36C0A" w:themeColor="accent6" w:themeShade="BF"/>
          <w:sz w:val="24"/>
          <w:szCs w:val="24"/>
        </w:rPr>
        <w:t>561</w:t>
      </w:r>
      <w:r w:rsidR="003548FE" w:rsidRPr="005A07D8">
        <w:rPr>
          <w:rFonts w:ascii="Arial" w:hAnsi="Arial" w:cs="Arial"/>
          <w:color w:val="E36C0A" w:themeColor="accent6" w:themeShade="BF"/>
          <w:sz w:val="24"/>
          <w:szCs w:val="24"/>
        </w:rPr>
        <w:t xml:space="preserve"> should have been included in column AK, along with the principal disposition ($69,</w:t>
      </w:r>
      <w:r w:rsidR="00A02C02">
        <w:rPr>
          <w:rFonts w:ascii="Arial" w:hAnsi="Arial" w:cs="Arial"/>
          <w:color w:val="E36C0A" w:themeColor="accent6" w:themeShade="BF"/>
          <w:sz w:val="24"/>
          <w:szCs w:val="24"/>
        </w:rPr>
        <w:t>561</w:t>
      </w:r>
      <w:r w:rsidR="003548FE" w:rsidRPr="005A07D8">
        <w:rPr>
          <w:rFonts w:ascii="Arial" w:hAnsi="Arial" w:cs="Arial"/>
          <w:color w:val="E36C0A" w:themeColor="accent6" w:themeShade="BF"/>
          <w:sz w:val="24"/>
          <w:szCs w:val="24"/>
        </w:rPr>
        <w:t xml:space="preserve"> + $1,422,959</w:t>
      </w:r>
      <w:r w:rsidR="005A07D8">
        <w:rPr>
          <w:rFonts w:ascii="Arial" w:hAnsi="Arial" w:cs="Arial"/>
          <w:color w:val="E36C0A" w:themeColor="accent6" w:themeShade="BF"/>
          <w:sz w:val="24"/>
          <w:szCs w:val="24"/>
        </w:rPr>
        <w:t xml:space="preserve"> = $1,492,520</w:t>
      </w:r>
      <w:r w:rsidR="003548FE" w:rsidRPr="005A07D8">
        <w:rPr>
          <w:rFonts w:ascii="Arial" w:hAnsi="Arial" w:cs="Arial"/>
          <w:color w:val="E36C0A" w:themeColor="accent6" w:themeShade="BF"/>
          <w:sz w:val="24"/>
          <w:szCs w:val="24"/>
        </w:rPr>
        <w:t xml:space="preserve">). </w:t>
      </w:r>
      <w:r w:rsidR="005A07D8">
        <w:rPr>
          <w:rFonts w:ascii="Arial" w:hAnsi="Arial" w:cs="Arial"/>
          <w:color w:val="E36C0A" w:themeColor="accent6" w:themeShade="BF"/>
          <w:sz w:val="24"/>
          <w:szCs w:val="24"/>
        </w:rPr>
        <w:t>The schedule presentation would be revised, as per below.</w:t>
      </w:r>
      <w:r w:rsidRPr="005A07D8">
        <w:rPr>
          <w:rFonts w:ascii="Arial" w:hAnsi="Arial" w:cs="Arial"/>
          <w:color w:val="E36C0A" w:themeColor="accent6" w:themeShade="BF"/>
          <w:sz w:val="24"/>
          <w:szCs w:val="24"/>
        </w:rPr>
        <w:t xml:space="preserve"> </w:t>
      </w:r>
      <w:r w:rsidR="003548FE" w:rsidRPr="005A07D8">
        <w:rPr>
          <w:rFonts w:ascii="Arial" w:hAnsi="Arial" w:cs="Arial"/>
          <w:color w:val="E36C0A" w:themeColor="accent6" w:themeShade="BF"/>
          <w:sz w:val="24"/>
          <w:szCs w:val="24"/>
        </w:rPr>
        <w:t xml:space="preserve"> </w:t>
      </w:r>
      <w:r w:rsidR="00F42550">
        <w:rPr>
          <w:rFonts w:ascii="Arial" w:hAnsi="Arial" w:cs="Arial"/>
          <w:color w:val="E36C0A" w:themeColor="accent6" w:themeShade="BF"/>
          <w:sz w:val="24"/>
          <w:szCs w:val="24"/>
        </w:rPr>
        <w:t xml:space="preserve">The change in presentation </w:t>
      </w:r>
      <w:r w:rsidR="00D43BFA">
        <w:rPr>
          <w:rFonts w:ascii="Arial" w:hAnsi="Arial" w:cs="Arial"/>
          <w:color w:val="E36C0A" w:themeColor="accent6" w:themeShade="BF"/>
          <w:sz w:val="24"/>
          <w:szCs w:val="24"/>
        </w:rPr>
        <w:t>has no impact to</w:t>
      </w:r>
      <w:r w:rsidR="00F42550">
        <w:rPr>
          <w:rFonts w:ascii="Arial" w:hAnsi="Arial" w:cs="Arial"/>
          <w:color w:val="E36C0A" w:themeColor="accent6" w:themeShade="BF"/>
          <w:sz w:val="24"/>
          <w:szCs w:val="24"/>
        </w:rPr>
        <w:t xml:space="preserve"> the </w:t>
      </w:r>
      <w:r w:rsidRPr="005A07D8">
        <w:rPr>
          <w:rFonts w:ascii="Arial" w:hAnsi="Arial" w:cs="Arial"/>
          <w:color w:val="E36C0A" w:themeColor="accent6" w:themeShade="BF"/>
          <w:sz w:val="24"/>
          <w:szCs w:val="24"/>
        </w:rPr>
        <w:t>total disposition balance</w:t>
      </w:r>
      <w:r w:rsidR="00F42550">
        <w:rPr>
          <w:rFonts w:ascii="Arial" w:hAnsi="Arial" w:cs="Arial"/>
          <w:color w:val="E36C0A" w:themeColor="accent6" w:themeShade="BF"/>
          <w:sz w:val="24"/>
          <w:szCs w:val="24"/>
        </w:rPr>
        <w:t xml:space="preserve"> initially submitted</w:t>
      </w:r>
      <w:r w:rsidRPr="005A07D8">
        <w:rPr>
          <w:rFonts w:ascii="Arial" w:hAnsi="Arial" w:cs="Arial"/>
          <w:color w:val="E36C0A" w:themeColor="accent6" w:themeShade="BF"/>
          <w:sz w:val="24"/>
          <w:szCs w:val="24"/>
        </w:rPr>
        <w:t xml:space="preserve">. </w:t>
      </w:r>
    </w:p>
    <w:p w:rsidR="00AE7A0E" w:rsidRPr="00E14D93" w:rsidRDefault="005A07D8" w:rsidP="00E14D93">
      <w:pPr>
        <w:rPr>
          <w:rFonts w:ascii="Arial" w:hAnsi="Arial" w:cs="Arial"/>
          <w:sz w:val="24"/>
          <w:szCs w:val="24"/>
        </w:rPr>
      </w:pPr>
      <w:r>
        <w:rPr>
          <w:noProof/>
          <w:lang w:eastAsia="en-CA"/>
        </w:rPr>
        <w:drawing>
          <wp:inline distT="0" distB="0" distL="0" distR="0" wp14:anchorId="69168DF2" wp14:editId="22E9129B">
            <wp:extent cx="5943600" cy="24803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480310"/>
                    </a:xfrm>
                    <a:prstGeom prst="rect">
                      <a:avLst/>
                    </a:prstGeom>
                  </pic:spPr>
                </pic:pic>
              </a:graphicData>
            </a:graphic>
          </wp:inline>
        </w:drawing>
      </w:r>
    </w:p>
    <w:p w:rsidR="005A07D8" w:rsidRDefault="00B470EE" w:rsidP="00CF2E4F">
      <w:pPr>
        <w:pStyle w:val="ListParagraph"/>
        <w:rPr>
          <w:rFonts w:ascii="Arial" w:hAnsi="Arial" w:cs="Arial"/>
          <w:sz w:val="24"/>
          <w:szCs w:val="24"/>
        </w:rPr>
      </w:pPr>
      <w:r>
        <w:rPr>
          <w:rFonts w:ascii="Arial" w:hAnsi="Arial" w:cs="Arial"/>
          <w:sz w:val="24"/>
          <w:szCs w:val="24"/>
        </w:rPr>
        <w:t>EB-2013-0172</w:t>
      </w:r>
      <w:r w:rsidR="00F42550">
        <w:rPr>
          <w:noProof/>
          <w:lang w:eastAsia="en-CA"/>
        </w:rPr>
        <w:drawing>
          <wp:inline distT="0" distB="0" distL="0" distR="0" wp14:anchorId="023F9F89" wp14:editId="1454A119">
            <wp:extent cx="5941453" cy="2398815"/>
            <wp:effectExtent l="0" t="0" r="254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399682"/>
                    </a:xfrm>
                    <a:prstGeom prst="rect">
                      <a:avLst/>
                    </a:prstGeom>
                  </pic:spPr>
                </pic:pic>
              </a:graphicData>
            </a:graphic>
          </wp:inline>
        </w:drawing>
      </w:r>
    </w:p>
    <w:p w:rsidR="005A07D8" w:rsidRDefault="005A07D8" w:rsidP="00CF2E4F">
      <w:pPr>
        <w:pStyle w:val="ListParagraph"/>
        <w:rPr>
          <w:rFonts w:ascii="Arial" w:hAnsi="Arial" w:cs="Arial"/>
          <w:sz w:val="24"/>
          <w:szCs w:val="24"/>
        </w:rPr>
      </w:pPr>
    </w:p>
    <w:p w:rsidR="008A075E" w:rsidRDefault="001859A9" w:rsidP="00D31675">
      <w:pPr>
        <w:rPr>
          <w:rFonts w:ascii="Arial" w:hAnsi="Arial" w:cs="Arial"/>
          <w:sz w:val="24"/>
          <w:szCs w:val="24"/>
        </w:rPr>
      </w:pPr>
      <w:r>
        <w:rPr>
          <w:rFonts w:ascii="Arial" w:hAnsi="Arial" w:cs="Arial"/>
          <w:sz w:val="24"/>
          <w:szCs w:val="24"/>
        </w:rPr>
        <w:lastRenderedPageBreak/>
        <w:t xml:space="preserve">Please provide an explanation for all the discrepancies noted above. If changes are required to the continuity schedule, please confirm and OEB staff will update the model. </w:t>
      </w:r>
    </w:p>
    <w:p w:rsidR="00BE68BB" w:rsidRPr="006F62F6" w:rsidRDefault="00BE68BB" w:rsidP="00BE68BB">
      <w:pPr>
        <w:ind w:left="720"/>
        <w:rPr>
          <w:rFonts w:ascii="Arial" w:hAnsi="Arial" w:cs="Arial"/>
          <w:bCs/>
          <w:color w:val="E36C0A" w:themeColor="accent6" w:themeShade="BF"/>
          <w:sz w:val="24"/>
          <w:szCs w:val="24"/>
        </w:rPr>
      </w:pPr>
      <w:r>
        <w:rPr>
          <w:rFonts w:ascii="Arial" w:hAnsi="Arial" w:cs="Arial"/>
          <w:color w:val="E36C0A" w:themeColor="accent6" w:themeShade="BF"/>
          <w:sz w:val="24"/>
          <w:szCs w:val="24"/>
        </w:rPr>
        <w:t>See responses in orange above</w:t>
      </w:r>
      <w:r w:rsidRPr="006F62F6">
        <w:rPr>
          <w:rFonts w:ascii="Arial" w:hAnsi="Arial" w:cs="Arial"/>
          <w:color w:val="E36C0A" w:themeColor="accent6" w:themeShade="BF"/>
          <w:sz w:val="24"/>
          <w:szCs w:val="24"/>
        </w:rPr>
        <w:t>.</w:t>
      </w:r>
    </w:p>
    <w:p w:rsidR="00BE68BB" w:rsidRDefault="00BE68BB" w:rsidP="00D31675">
      <w:pPr>
        <w:rPr>
          <w:rFonts w:ascii="Arial" w:hAnsi="Arial" w:cs="Arial"/>
          <w:sz w:val="24"/>
          <w:szCs w:val="24"/>
        </w:rPr>
      </w:pPr>
    </w:p>
    <w:p w:rsidR="00D04645" w:rsidRPr="008A075E" w:rsidRDefault="0042059B" w:rsidP="00D31675">
      <w:pPr>
        <w:rPr>
          <w:rFonts w:ascii="Arial" w:hAnsi="Arial" w:cs="Arial"/>
          <w:sz w:val="24"/>
          <w:szCs w:val="24"/>
        </w:rPr>
      </w:pPr>
      <w:r w:rsidRPr="0042059B">
        <w:rPr>
          <w:rFonts w:ascii="Arial" w:hAnsi="Arial" w:cs="Arial"/>
          <w:b/>
          <w:sz w:val="24"/>
          <w:szCs w:val="24"/>
        </w:rPr>
        <w:t>Manager’s Summary, Page 8 – Rate Design for Electricity Customers</w:t>
      </w:r>
    </w:p>
    <w:p w:rsidR="008C1B53" w:rsidRDefault="008C1B53" w:rsidP="008C1B53">
      <w:pPr>
        <w:rPr>
          <w:rFonts w:ascii="Arial" w:hAnsi="Arial" w:cs="Arial"/>
          <w:bCs/>
          <w:sz w:val="24"/>
          <w:szCs w:val="24"/>
        </w:rPr>
      </w:pPr>
      <w:r w:rsidRPr="008C1B53">
        <w:rPr>
          <w:rFonts w:ascii="Arial" w:hAnsi="Arial" w:cs="Arial"/>
          <w:bCs/>
          <w:sz w:val="24"/>
          <w:szCs w:val="24"/>
        </w:rPr>
        <w:t xml:space="preserve">Chapter 3 </w:t>
      </w:r>
      <w:r w:rsidR="00E6663F">
        <w:rPr>
          <w:rFonts w:ascii="Arial" w:hAnsi="Arial" w:cs="Arial"/>
          <w:bCs/>
          <w:sz w:val="24"/>
          <w:szCs w:val="24"/>
        </w:rPr>
        <w:t xml:space="preserve">of the Filing Requirements </w:t>
      </w:r>
      <w:r w:rsidRPr="008C1B53">
        <w:rPr>
          <w:rFonts w:ascii="Arial" w:hAnsi="Arial" w:cs="Arial"/>
          <w:bCs/>
          <w:sz w:val="24"/>
          <w:szCs w:val="24"/>
        </w:rPr>
        <w:t>section 3.2.3 states “The OEB has established that, when assessing the combined effects of the shift to fixed rates and other bill impacts associated with changes in the cost of distribution service, a utility shall evaluate total bill impact for a residential customer at the distributor’s 10</w:t>
      </w:r>
      <w:r w:rsidRPr="008C1B53">
        <w:rPr>
          <w:rFonts w:ascii="Arial" w:hAnsi="Arial" w:cs="Arial"/>
          <w:bCs/>
          <w:sz w:val="24"/>
          <w:szCs w:val="24"/>
          <w:vertAlign w:val="superscript"/>
        </w:rPr>
        <w:t>th</w:t>
      </w:r>
      <w:r w:rsidRPr="008C1B53">
        <w:rPr>
          <w:rFonts w:ascii="Arial" w:hAnsi="Arial" w:cs="Arial"/>
          <w:bCs/>
          <w:sz w:val="24"/>
          <w:szCs w:val="24"/>
        </w:rPr>
        <w:t xml:space="preserve"> consumption percentile.”</w:t>
      </w:r>
    </w:p>
    <w:p w:rsidR="009C3D2C" w:rsidRPr="008C1B53" w:rsidRDefault="009C3D2C" w:rsidP="008C1B53">
      <w:pPr>
        <w:rPr>
          <w:rFonts w:ascii="Arial" w:hAnsi="Arial" w:cs="Arial"/>
          <w:bCs/>
          <w:sz w:val="24"/>
          <w:szCs w:val="24"/>
        </w:rPr>
      </w:pPr>
      <w:r w:rsidRPr="009C3D2C">
        <w:rPr>
          <w:rFonts w:ascii="Arial" w:hAnsi="Arial" w:cs="Arial"/>
          <w:bCs/>
          <w:sz w:val="24"/>
          <w:szCs w:val="24"/>
        </w:rPr>
        <w:t>In order to evaluate the true bill impact for the 10</w:t>
      </w:r>
      <w:r w:rsidRPr="009C3D2C">
        <w:rPr>
          <w:rFonts w:ascii="Arial" w:hAnsi="Arial" w:cs="Arial"/>
          <w:bCs/>
          <w:sz w:val="24"/>
          <w:szCs w:val="24"/>
          <w:vertAlign w:val="superscript"/>
        </w:rPr>
        <w:t>th</w:t>
      </w:r>
      <w:r w:rsidRPr="009C3D2C">
        <w:rPr>
          <w:rFonts w:ascii="Arial" w:hAnsi="Arial" w:cs="Arial"/>
          <w:bCs/>
          <w:sz w:val="24"/>
          <w:szCs w:val="24"/>
        </w:rPr>
        <w:t xml:space="preserve"> percentile (for both RPP and Non-RPP customers) excluding the effect of the Ontario Clean Energy Benefit (OCEB), Sub-Total C: Delivery $ Change should be di</w:t>
      </w:r>
      <w:r w:rsidR="004F117E">
        <w:rPr>
          <w:rFonts w:ascii="Arial" w:hAnsi="Arial" w:cs="Arial"/>
          <w:bCs/>
          <w:sz w:val="24"/>
          <w:szCs w:val="24"/>
        </w:rPr>
        <w:t>vided by the Total Bill on TOU</w:t>
      </w:r>
      <w:r w:rsidRPr="009C3D2C">
        <w:rPr>
          <w:rFonts w:ascii="Arial" w:hAnsi="Arial" w:cs="Arial"/>
          <w:bCs/>
          <w:sz w:val="24"/>
          <w:szCs w:val="24"/>
        </w:rPr>
        <w:t>.</w:t>
      </w:r>
    </w:p>
    <w:p w:rsidR="009C3D2C" w:rsidRDefault="008C1B53" w:rsidP="009C3D2C">
      <w:pPr>
        <w:pStyle w:val="ListParagraph"/>
        <w:numPr>
          <w:ilvl w:val="0"/>
          <w:numId w:val="1"/>
        </w:numPr>
        <w:rPr>
          <w:rFonts w:ascii="Arial" w:hAnsi="Arial" w:cs="Arial"/>
          <w:bCs/>
          <w:sz w:val="24"/>
          <w:szCs w:val="24"/>
        </w:rPr>
      </w:pPr>
      <w:r w:rsidRPr="009C3D2C">
        <w:rPr>
          <w:rFonts w:ascii="Arial" w:hAnsi="Arial" w:cs="Arial"/>
          <w:bCs/>
          <w:sz w:val="24"/>
          <w:szCs w:val="24"/>
        </w:rPr>
        <w:t>Please confirm the Residential RPP bill impacts at the 10</w:t>
      </w:r>
      <w:r w:rsidRPr="009C3D2C">
        <w:rPr>
          <w:rFonts w:ascii="Arial" w:hAnsi="Arial" w:cs="Arial"/>
          <w:bCs/>
          <w:sz w:val="24"/>
          <w:szCs w:val="24"/>
          <w:vertAlign w:val="superscript"/>
        </w:rPr>
        <w:t>th</w:t>
      </w:r>
      <w:r w:rsidRPr="009C3D2C">
        <w:rPr>
          <w:rFonts w:ascii="Arial" w:hAnsi="Arial" w:cs="Arial"/>
          <w:bCs/>
          <w:sz w:val="24"/>
          <w:szCs w:val="24"/>
        </w:rPr>
        <w:t xml:space="preserve"> percentile for </w:t>
      </w:r>
      <w:r w:rsidR="009C3D2C" w:rsidRPr="009C3D2C">
        <w:rPr>
          <w:rFonts w:ascii="Arial" w:hAnsi="Arial" w:cs="Arial"/>
          <w:bCs/>
          <w:sz w:val="24"/>
          <w:szCs w:val="24"/>
        </w:rPr>
        <w:t xml:space="preserve">Thunder </w:t>
      </w:r>
      <w:r w:rsidR="004F117E">
        <w:rPr>
          <w:rFonts w:ascii="Arial" w:hAnsi="Arial" w:cs="Arial"/>
          <w:bCs/>
          <w:sz w:val="24"/>
          <w:szCs w:val="24"/>
        </w:rPr>
        <w:t>Bay Hydro are 2.43</w:t>
      </w:r>
      <w:r w:rsidRPr="009C3D2C">
        <w:rPr>
          <w:rFonts w:ascii="Arial" w:hAnsi="Arial" w:cs="Arial"/>
          <w:bCs/>
          <w:sz w:val="24"/>
          <w:szCs w:val="24"/>
        </w:rPr>
        <w:t xml:space="preserve">%. </w:t>
      </w:r>
    </w:p>
    <w:p w:rsidR="00CF2E4F" w:rsidRPr="006F62F6" w:rsidRDefault="00CF2E4F" w:rsidP="00CF2E4F">
      <w:pPr>
        <w:spacing w:after="0"/>
        <w:ind w:left="360"/>
        <w:rPr>
          <w:rFonts w:ascii="Arial" w:hAnsi="Arial" w:cs="Arial"/>
          <w:color w:val="E36C0A" w:themeColor="accent6" w:themeShade="BF"/>
          <w:sz w:val="24"/>
          <w:szCs w:val="24"/>
        </w:rPr>
      </w:pPr>
      <w:r w:rsidRPr="006F62F6">
        <w:rPr>
          <w:rFonts w:ascii="Arial" w:hAnsi="Arial" w:cs="Arial"/>
          <w:color w:val="E36C0A" w:themeColor="accent6" w:themeShade="BF"/>
          <w:sz w:val="24"/>
          <w:szCs w:val="24"/>
        </w:rPr>
        <w:t>Thunder Bay Hydro confirms at 2.43%.</w:t>
      </w:r>
    </w:p>
    <w:p w:rsidR="00CF2E4F" w:rsidRDefault="00CF2E4F" w:rsidP="00CF2E4F">
      <w:pPr>
        <w:pStyle w:val="ListParagraph"/>
        <w:rPr>
          <w:rFonts w:ascii="Arial" w:hAnsi="Arial" w:cs="Arial"/>
          <w:bCs/>
          <w:sz w:val="24"/>
          <w:szCs w:val="24"/>
        </w:rPr>
      </w:pPr>
    </w:p>
    <w:p w:rsidR="008C1B53" w:rsidRPr="009C3D2C" w:rsidRDefault="008C1B53" w:rsidP="009C3D2C">
      <w:pPr>
        <w:pStyle w:val="ListParagraph"/>
        <w:rPr>
          <w:rFonts w:ascii="Arial" w:hAnsi="Arial" w:cs="Arial"/>
          <w:bCs/>
          <w:sz w:val="24"/>
          <w:szCs w:val="24"/>
        </w:rPr>
      </w:pPr>
      <w:r w:rsidRPr="009C3D2C">
        <w:rPr>
          <w:rFonts w:ascii="Arial" w:hAnsi="Arial" w:cs="Arial"/>
          <w:bCs/>
          <w:sz w:val="24"/>
          <w:szCs w:val="24"/>
        </w:rPr>
        <w:t xml:space="preserve"> </w:t>
      </w:r>
      <w:r w:rsidR="004F117E" w:rsidRPr="004F117E">
        <w:rPr>
          <w:noProof/>
          <w:lang w:eastAsia="en-CA"/>
        </w:rPr>
        <w:drawing>
          <wp:inline distT="0" distB="0" distL="0" distR="0" wp14:anchorId="084B3248" wp14:editId="47D4974C">
            <wp:extent cx="5939752" cy="254132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542966"/>
                    </a:xfrm>
                    <a:prstGeom prst="rect">
                      <a:avLst/>
                    </a:prstGeom>
                  </pic:spPr>
                </pic:pic>
              </a:graphicData>
            </a:graphic>
          </wp:inline>
        </w:drawing>
      </w:r>
    </w:p>
    <w:p w:rsidR="00BE68BB" w:rsidRDefault="00BE68BB" w:rsidP="00BE68BB">
      <w:pPr>
        <w:ind w:left="720"/>
        <w:rPr>
          <w:rFonts w:ascii="Arial" w:hAnsi="Arial" w:cs="Arial"/>
          <w:bCs/>
          <w:sz w:val="24"/>
          <w:szCs w:val="24"/>
        </w:rPr>
      </w:pPr>
    </w:p>
    <w:p w:rsidR="00BE68BB" w:rsidRPr="00BE68BB" w:rsidRDefault="00BE68BB" w:rsidP="00BE68BB">
      <w:pPr>
        <w:ind w:left="720"/>
        <w:rPr>
          <w:rFonts w:ascii="Arial" w:hAnsi="Arial" w:cs="Arial"/>
          <w:bCs/>
          <w:sz w:val="24"/>
          <w:szCs w:val="24"/>
        </w:rPr>
      </w:pPr>
    </w:p>
    <w:p w:rsidR="008C1B53" w:rsidRPr="00CF2E4F" w:rsidRDefault="008C1B53" w:rsidP="008C1B53">
      <w:pPr>
        <w:numPr>
          <w:ilvl w:val="0"/>
          <w:numId w:val="1"/>
        </w:numPr>
        <w:rPr>
          <w:rFonts w:ascii="Arial" w:hAnsi="Arial" w:cs="Arial"/>
          <w:bCs/>
          <w:sz w:val="24"/>
          <w:szCs w:val="24"/>
        </w:rPr>
      </w:pPr>
      <w:r w:rsidRPr="008C1B53">
        <w:rPr>
          <w:rFonts w:ascii="Arial" w:hAnsi="Arial" w:cs="Arial"/>
          <w:sz w:val="24"/>
          <w:szCs w:val="24"/>
        </w:rPr>
        <w:lastRenderedPageBreak/>
        <w:t xml:space="preserve">Please confirm the </w:t>
      </w:r>
      <w:r>
        <w:rPr>
          <w:rFonts w:ascii="Arial" w:hAnsi="Arial" w:cs="Arial"/>
          <w:sz w:val="24"/>
          <w:szCs w:val="24"/>
        </w:rPr>
        <w:t>R</w:t>
      </w:r>
      <w:r w:rsidRPr="008C1B53">
        <w:rPr>
          <w:rFonts w:ascii="Arial" w:hAnsi="Arial" w:cs="Arial"/>
          <w:sz w:val="24"/>
          <w:szCs w:val="24"/>
        </w:rPr>
        <w:t xml:space="preserve">esidential Non-RPP bill impacts at the 10th percentile for Thunder Bay Hydro </w:t>
      </w:r>
      <w:r w:rsidR="004F117E">
        <w:rPr>
          <w:rFonts w:ascii="Arial" w:hAnsi="Arial" w:cs="Arial"/>
          <w:sz w:val="24"/>
          <w:szCs w:val="24"/>
        </w:rPr>
        <w:t>are approximately 5.58</w:t>
      </w:r>
      <w:r>
        <w:rPr>
          <w:rFonts w:ascii="Arial" w:hAnsi="Arial" w:cs="Arial"/>
          <w:sz w:val="24"/>
          <w:szCs w:val="24"/>
        </w:rPr>
        <w:t xml:space="preserve">%.  </w:t>
      </w:r>
    </w:p>
    <w:p w:rsidR="00CF2E4F" w:rsidRPr="006F62F6" w:rsidRDefault="00CF2E4F" w:rsidP="00CF2E4F">
      <w:pPr>
        <w:ind w:left="720"/>
        <w:rPr>
          <w:rFonts w:ascii="Arial" w:hAnsi="Arial" w:cs="Arial"/>
          <w:bCs/>
          <w:color w:val="E36C0A" w:themeColor="accent6" w:themeShade="BF"/>
          <w:sz w:val="24"/>
          <w:szCs w:val="24"/>
        </w:rPr>
      </w:pPr>
      <w:r w:rsidRPr="006F62F6">
        <w:rPr>
          <w:rFonts w:ascii="Arial" w:hAnsi="Arial" w:cs="Arial"/>
          <w:color w:val="E36C0A" w:themeColor="accent6" w:themeShade="BF"/>
          <w:sz w:val="24"/>
          <w:szCs w:val="24"/>
        </w:rPr>
        <w:t>Thunder Bay Hydro confirms at 5.5</w:t>
      </w:r>
      <w:r w:rsidR="00BE68BB">
        <w:rPr>
          <w:rFonts w:ascii="Arial" w:hAnsi="Arial" w:cs="Arial"/>
          <w:color w:val="E36C0A" w:themeColor="accent6" w:themeShade="BF"/>
          <w:sz w:val="24"/>
          <w:szCs w:val="24"/>
        </w:rPr>
        <w:t>8</w:t>
      </w:r>
      <w:r w:rsidRPr="006F62F6">
        <w:rPr>
          <w:rFonts w:ascii="Arial" w:hAnsi="Arial" w:cs="Arial"/>
          <w:color w:val="E36C0A" w:themeColor="accent6" w:themeShade="BF"/>
          <w:sz w:val="24"/>
          <w:szCs w:val="24"/>
        </w:rPr>
        <w:t>%.</w:t>
      </w:r>
    </w:p>
    <w:p w:rsidR="0042059B" w:rsidRPr="004F117E" w:rsidRDefault="004F117E" w:rsidP="004F117E">
      <w:pPr>
        <w:ind w:left="720"/>
        <w:rPr>
          <w:rFonts w:ascii="Arial" w:hAnsi="Arial" w:cs="Arial"/>
          <w:bCs/>
          <w:sz w:val="24"/>
          <w:szCs w:val="24"/>
        </w:rPr>
      </w:pPr>
      <w:r w:rsidRPr="004F117E">
        <w:rPr>
          <w:noProof/>
          <w:lang w:eastAsia="en-CA"/>
        </w:rPr>
        <w:drawing>
          <wp:inline distT="0" distB="0" distL="0" distR="0" wp14:anchorId="4A0186A7" wp14:editId="37979EC4">
            <wp:extent cx="5940775" cy="2149434"/>
            <wp:effectExtent l="0" t="0" r="317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2150456"/>
                    </a:xfrm>
                    <a:prstGeom prst="rect">
                      <a:avLst/>
                    </a:prstGeom>
                  </pic:spPr>
                </pic:pic>
              </a:graphicData>
            </a:graphic>
          </wp:inline>
        </w:drawing>
      </w:r>
    </w:p>
    <w:p w:rsidR="0048591E" w:rsidRDefault="0048591E" w:rsidP="00254794">
      <w:pPr>
        <w:spacing w:after="0" w:line="240" w:lineRule="auto"/>
        <w:rPr>
          <w:rFonts w:ascii="Arial" w:hAnsi="Arial" w:cs="Arial"/>
          <w:sz w:val="24"/>
          <w:szCs w:val="24"/>
        </w:rPr>
      </w:pPr>
    </w:p>
    <w:p w:rsidR="00254794" w:rsidRDefault="0048591E" w:rsidP="00254794">
      <w:pPr>
        <w:spacing w:after="0" w:line="240" w:lineRule="auto"/>
        <w:rPr>
          <w:rFonts w:ascii="Arial" w:hAnsi="Arial" w:cs="Arial"/>
          <w:b/>
          <w:sz w:val="24"/>
          <w:szCs w:val="24"/>
        </w:rPr>
      </w:pPr>
      <w:r w:rsidRPr="00254794">
        <w:rPr>
          <w:rFonts w:ascii="Arial" w:hAnsi="Arial" w:cs="Arial"/>
          <w:b/>
          <w:sz w:val="24"/>
          <w:szCs w:val="24"/>
        </w:rPr>
        <w:t>LRAMVA</w:t>
      </w:r>
    </w:p>
    <w:p w:rsidR="00E26A7B" w:rsidRDefault="00E26A7B" w:rsidP="00254794">
      <w:pPr>
        <w:spacing w:after="0" w:line="240" w:lineRule="auto"/>
        <w:rPr>
          <w:rFonts w:ascii="Arial" w:hAnsi="Arial" w:cs="Arial"/>
          <w:b/>
          <w:sz w:val="24"/>
          <w:szCs w:val="24"/>
        </w:rPr>
      </w:pPr>
    </w:p>
    <w:p w:rsidR="00254794" w:rsidRPr="00254794" w:rsidRDefault="00254794" w:rsidP="00254794">
      <w:pPr>
        <w:spacing w:after="0" w:line="240" w:lineRule="auto"/>
        <w:rPr>
          <w:rFonts w:ascii="Arial" w:hAnsi="Arial" w:cs="Arial"/>
          <w:b/>
          <w:sz w:val="24"/>
          <w:szCs w:val="24"/>
        </w:rPr>
      </w:pPr>
      <w:r w:rsidRPr="00254794">
        <w:rPr>
          <w:rFonts w:ascii="Arial" w:hAnsi="Arial" w:cs="Arial"/>
          <w:b/>
          <w:sz w:val="24"/>
          <w:szCs w:val="24"/>
        </w:rPr>
        <w:t>Ref:  Appendix E: LRAMVA, Table 1: Summary of lost revenues by rate-class</w:t>
      </w:r>
    </w:p>
    <w:p w:rsidR="00254794" w:rsidRDefault="00254794" w:rsidP="00254794">
      <w:pPr>
        <w:rPr>
          <w:rFonts w:ascii="Arial" w:hAnsi="Arial" w:cs="Arial"/>
          <w:sz w:val="24"/>
          <w:szCs w:val="24"/>
        </w:rPr>
      </w:pPr>
    </w:p>
    <w:p w:rsidR="00254794" w:rsidRDefault="00254794" w:rsidP="00254794">
      <w:pPr>
        <w:rPr>
          <w:rFonts w:ascii="Arial" w:hAnsi="Arial" w:cs="Arial"/>
          <w:sz w:val="24"/>
          <w:szCs w:val="24"/>
        </w:rPr>
      </w:pPr>
      <w:r w:rsidRPr="00254794">
        <w:rPr>
          <w:rFonts w:ascii="Arial" w:hAnsi="Arial" w:cs="Arial"/>
          <w:sz w:val="24"/>
          <w:szCs w:val="24"/>
        </w:rPr>
        <w:t>OEB Staff is unable to verify Thunder Bay</w:t>
      </w:r>
      <w:r>
        <w:rPr>
          <w:rFonts w:ascii="Arial" w:hAnsi="Arial" w:cs="Arial"/>
          <w:sz w:val="24"/>
          <w:szCs w:val="24"/>
        </w:rPr>
        <w:t xml:space="preserve"> Hydro</w:t>
      </w:r>
      <w:r w:rsidRPr="00254794">
        <w:rPr>
          <w:rFonts w:ascii="Arial" w:hAnsi="Arial" w:cs="Arial"/>
          <w:sz w:val="24"/>
          <w:szCs w:val="24"/>
        </w:rPr>
        <w:t>’s lost revenues by CDM initiative over the course of the 2011 to 2014 period.  Please provide a supplementary table that shows the savings amounts, corresponding volumetric rate and resulting LRAMVA value for each CDM initiative included in Thunder Bay’s LRAMVA request.  The</w:t>
      </w:r>
      <w:r>
        <w:rPr>
          <w:rFonts w:ascii="Arial" w:hAnsi="Arial" w:cs="Arial"/>
          <w:sz w:val="24"/>
          <w:szCs w:val="24"/>
        </w:rPr>
        <w:t xml:space="preserve"> Excel</w:t>
      </w:r>
      <w:r w:rsidRPr="00254794">
        <w:rPr>
          <w:rFonts w:ascii="Arial" w:hAnsi="Arial" w:cs="Arial"/>
          <w:sz w:val="24"/>
          <w:szCs w:val="24"/>
        </w:rPr>
        <w:t xml:space="preserve"> </w:t>
      </w:r>
      <w:r>
        <w:rPr>
          <w:rFonts w:ascii="Arial" w:hAnsi="Arial" w:cs="Arial"/>
          <w:sz w:val="24"/>
          <w:szCs w:val="24"/>
        </w:rPr>
        <w:t xml:space="preserve">spreadsheet attached to the initial email </w:t>
      </w:r>
      <w:r w:rsidRPr="00254794">
        <w:rPr>
          <w:rFonts w:ascii="Arial" w:hAnsi="Arial" w:cs="Arial"/>
          <w:sz w:val="24"/>
          <w:szCs w:val="24"/>
        </w:rPr>
        <w:t>should be used as an example and should be expanded to include all initiatives over the 2011 to 2014 period.</w:t>
      </w:r>
    </w:p>
    <w:p w:rsidR="00CF2E4F" w:rsidRPr="005A07D8" w:rsidRDefault="00CF2E4F" w:rsidP="00254794">
      <w:pPr>
        <w:rPr>
          <w:rFonts w:ascii="Arial" w:hAnsi="Arial" w:cs="Arial"/>
          <w:sz w:val="24"/>
          <w:szCs w:val="24"/>
        </w:rPr>
      </w:pPr>
    </w:p>
    <w:p w:rsidR="00CF2E4F" w:rsidRPr="005A07D8" w:rsidRDefault="00E26A7B" w:rsidP="00CF2E4F">
      <w:pPr>
        <w:rPr>
          <w:rFonts w:ascii="Arial" w:hAnsi="Arial" w:cs="Arial"/>
          <w:bCs/>
          <w:color w:val="E36C0A" w:themeColor="accent6" w:themeShade="BF"/>
          <w:sz w:val="24"/>
          <w:szCs w:val="24"/>
        </w:rPr>
      </w:pPr>
      <w:r w:rsidRPr="005A07D8">
        <w:rPr>
          <w:rFonts w:ascii="Arial" w:hAnsi="Arial" w:cs="Arial"/>
          <w:color w:val="E36C0A" w:themeColor="accent6" w:themeShade="BF"/>
          <w:sz w:val="24"/>
          <w:szCs w:val="24"/>
        </w:rPr>
        <w:t xml:space="preserve">Thunder Bay Hydro has </w:t>
      </w:r>
      <w:r w:rsidR="00CF2E4F" w:rsidRPr="005A07D8">
        <w:rPr>
          <w:rFonts w:ascii="Arial" w:hAnsi="Arial" w:cs="Arial"/>
          <w:color w:val="E36C0A" w:themeColor="accent6" w:themeShade="BF"/>
          <w:sz w:val="24"/>
          <w:szCs w:val="24"/>
        </w:rPr>
        <w:t xml:space="preserve">attached </w:t>
      </w:r>
      <w:r w:rsidRPr="005A07D8">
        <w:rPr>
          <w:rFonts w:ascii="Arial" w:hAnsi="Arial" w:cs="Arial"/>
          <w:color w:val="E36C0A" w:themeColor="accent6" w:themeShade="BF"/>
          <w:sz w:val="24"/>
          <w:szCs w:val="24"/>
        </w:rPr>
        <w:t xml:space="preserve">an </w:t>
      </w:r>
      <w:r w:rsidR="00CF2E4F" w:rsidRPr="005A07D8">
        <w:rPr>
          <w:rFonts w:ascii="Arial" w:hAnsi="Arial" w:cs="Arial"/>
          <w:color w:val="E36C0A" w:themeColor="accent6" w:themeShade="BF"/>
          <w:sz w:val="24"/>
          <w:szCs w:val="24"/>
        </w:rPr>
        <w:t>excel workbook</w:t>
      </w:r>
      <w:r w:rsidR="005A07D8">
        <w:rPr>
          <w:rFonts w:ascii="Arial" w:hAnsi="Arial" w:cs="Arial"/>
          <w:color w:val="E36C0A" w:themeColor="accent6" w:themeShade="BF"/>
          <w:sz w:val="24"/>
          <w:szCs w:val="24"/>
        </w:rPr>
        <w:t xml:space="preserve"> that includes</w:t>
      </w:r>
      <w:r w:rsidRPr="005A07D8">
        <w:rPr>
          <w:rFonts w:ascii="Arial" w:hAnsi="Arial" w:cs="Arial"/>
          <w:color w:val="E36C0A" w:themeColor="accent6" w:themeShade="BF"/>
          <w:sz w:val="24"/>
          <w:szCs w:val="24"/>
        </w:rPr>
        <w:t xml:space="preserve"> </w:t>
      </w:r>
      <w:r w:rsidR="00CF2E4F" w:rsidRPr="005A07D8">
        <w:rPr>
          <w:rFonts w:ascii="Arial" w:hAnsi="Arial" w:cs="Arial"/>
          <w:color w:val="E36C0A" w:themeColor="accent6" w:themeShade="BF"/>
          <w:sz w:val="24"/>
          <w:szCs w:val="24"/>
        </w:rPr>
        <w:t xml:space="preserve">worksheet </w:t>
      </w:r>
      <w:r w:rsidRPr="005A07D8">
        <w:rPr>
          <w:rFonts w:ascii="Arial" w:hAnsi="Arial" w:cs="Arial"/>
          <w:color w:val="E36C0A" w:themeColor="accent6" w:themeShade="BF"/>
          <w:sz w:val="24"/>
          <w:szCs w:val="24"/>
        </w:rPr>
        <w:t>“</w:t>
      </w:r>
      <w:r w:rsidR="00CF2E4F" w:rsidRPr="005A07D8">
        <w:rPr>
          <w:rFonts w:ascii="Arial" w:hAnsi="Arial" w:cs="Arial"/>
          <w:color w:val="E36C0A" w:themeColor="accent6" w:themeShade="BF"/>
          <w:sz w:val="24"/>
          <w:szCs w:val="24"/>
        </w:rPr>
        <w:t>1</w:t>
      </w:r>
      <w:r w:rsidRPr="005A07D8">
        <w:rPr>
          <w:rFonts w:ascii="Arial" w:hAnsi="Arial" w:cs="Arial"/>
          <w:color w:val="E36C0A" w:themeColor="accent6" w:themeShade="BF"/>
          <w:sz w:val="24"/>
          <w:szCs w:val="24"/>
        </w:rPr>
        <w:t xml:space="preserve">. </w:t>
      </w:r>
      <w:proofErr w:type="gramStart"/>
      <w:r w:rsidRPr="005A07D8">
        <w:rPr>
          <w:rFonts w:ascii="Arial" w:hAnsi="Arial" w:cs="Arial"/>
          <w:color w:val="E36C0A" w:themeColor="accent6" w:themeShade="BF"/>
          <w:sz w:val="24"/>
          <w:szCs w:val="24"/>
        </w:rPr>
        <w:t>LRAMVA 2011-2014” which provides the r</w:t>
      </w:r>
      <w:r w:rsidR="00CF2E4F" w:rsidRPr="005A07D8">
        <w:rPr>
          <w:rFonts w:ascii="Arial" w:hAnsi="Arial" w:cs="Arial"/>
          <w:color w:val="E36C0A" w:themeColor="accent6" w:themeShade="BF"/>
          <w:sz w:val="24"/>
          <w:szCs w:val="24"/>
        </w:rPr>
        <w:t>equ</w:t>
      </w:r>
      <w:r w:rsidRPr="005A07D8">
        <w:rPr>
          <w:rFonts w:ascii="Arial" w:hAnsi="Arial" w:cs="Arial"/>
          <w:color w:val="E36C0A" w:themeColor="accent6" w:themeShade="BF"/>
          <w:sz w:val="24"/>
          <w:szCs w:val="24"/>
        </w:rPr>
        <w:t>ested</w:t>
      </w:r>
      <w:r w:rsidR="00CF2E4F" w:rsidRPr="005A07D8">
        <w:rPr>
          <w:rFonts w:ascii="Arial" w:hAnsi="Arial" w:cs="Arial"/>
          <w:color w:val="E36C0A" w:themeColor="accent6" w:themeShade="BF"/>
          <w:sz w:val="24"/>
          <w:szCs w:val="24"/>
        </w:rPr>
        <w:t xml:space="preserve"> detail</w:t>
      </w:r>
      <w:r w:rsidR="00255E2E" w:rsidRPr="005A07D8">
        <w:rPr>
          <w:rFonts w:ascii="Arial" w:hAnsi="Arial" w:cs="Arial"/>
          <w:color w:val="E36C0A" w:themeColor="accent6" w:themeShade="BF"/>
          <w:sz w:val="24"/>
          <w:szCs w:val="24"/>
        </w:rPr>
        <w:t>s</w:t>
      </w:r>
      <w:r w:rsidR="00CF2E4F" w:rsidRPr="005A07D8">
        <w:rPr>
          <w:rFonts w:ascii="Arial" w:hAnsi="Arial" w:cs="Arial"/>
          <w:color w:val="E36C0A" w:themeColor="accent6" w:themeShade="BF"/>
          <w:sz w:val="24"/>
          <w:szCs w:val="24"/>
        </w:rPr>
        <w:t>.</w:t>
      </w:r>
      <w:proofErr w:type="gramEnd"/>
    </w:p>
    <w:p w:rsidR="00CF2E4F" w:rsidRPr="00254794" w:rsidRDefault="00CF2E4F" w:rsidP="00254794">
      <w:pPr>
        <w:rPr>
          <w:rFonts w:ascii="Arial" w:hAnsi="Arial" w:cs="Arial"/>
          <w:sz w:val="24"/>
          <w:szCs w:val="24"/>
        </w:rPr>
      </w:pPr>
    </w:p>
    <w:p w:rsidR="00254794" w:rsidRPr="00254794" w:rsidRDefault="00254794" w:rsidP="00254794">
      <w:pPr>
        <w:rPr>
          <w:rFonts w:ascii="Arial" w:hAnsi="Arial" w:cs="Arial"/>
          <w:sz w:val="24"/>
          <w:szCs w:val="24"/>
        </w:rPr>
      </w:pPr>
    </w:p>
    <w:p w:rsidR="00254794" w:rsidRPr="00254794" w:rsidRDefault="00254794" w:rsidP="00254794">
      <w:pPr>
        <w:rPr>
          <w:rFonts w:ascii="Arial" w:hAnsi="Arial" w:cs="Arial"/>
          <w:sz w:val="24"/>
          <w:szCs w:val="24"/>
        </w:rPr>
      </w:pPr>
    </w:p>
    <w:p w:rsidR="00254794" w:rsidRPr="00254794" w:rsidRDefault="00254794" w:rsidP="00254794">
      <w:pPr>
        <w:rPr>
          <w:rFonts w:ascii="Arial" w:hAnsi="Arial" w:cs="Arial"/>
          <w:sz w:val="24"/>
          <w:szCs w:val="24"/>
        </w:rPr>
      </w:pPr>
    </w:p>
    <w:p w:rsidR="00254794" w:rsidRPr="00254794" w:rsidRDefault="00254794" w:rsidP="00D31675">
      <w:pPr>
        <w:rPr>
          <w:rFonts w:ascii="Arial" w:hAnsi="Arial" w:cs="Arial"/>
          <w:sz w:val="24"/>
          <w:szCs w:val="24"/>
        </w:rPr>
      </w:pPr>
    </w:p>
    <w:sectPr w:rsidR="00254794" w:rsidRPr="00254794"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B39FF"/>
    <w:multiLevelType w:val="hybridMultilevel"/>
    <w:tmpl w:val="97ECBDA6"/>
    <w:lvl w:ilvl="0" w:tplc="3B0E0A2E">
      <w:start w:val="1"/>
      <w:numFmt w:val="low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D1974F5"/>
    <w:multiLevelType w:val="hybridMultilevel"/>
    <w:tmpl w:val="E6BA13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675"/>
    <w:rsid w:val="00010044"/>
    <w:rsid w:val="00026F20"/>
    <w:rsid w:val="00092149"/>
    <w:rsid w:val="0010474B"/>
    <w:rsid w:val="001304DB"/>
    <w:rsid w:val="001859A9"/>
    <w:rsid w:val="001A04C1"/>
    <w:rsid w:val="002456AB"/>
    <w:rsid w:val="00254794"/>
    <w:rsid w:val="00255E2E"/>
    <w:rsid w:val="002F48B2"/>
    <w:rsid w:val="00312F6C"/>
    <w:rsid w:val="003548FE"/>
    <w:rsid w:val="003B2D00"/>
    <w:rsid w:val="00412DC6"/>
    <w:rsid w:val="0042059B"/>
    <w:rsid w:val="0048591E"/>
    <w:rsid w:val="004F117E"/>
    <w:rsid w:val="00577DE2"/>
    <w:rsid w:val="005A07D8"/>
    <w:rsid w:val="0060269B"/>
    <w:rsid w:val="006176D3"/>
    <w:rsid w:val="006F62F6"/>
    <w:rsid w:val="00746080"/>
    <w:rsid w:val="007E4839"/>
    <w:rsid w:val="00846005"/>
    <w:rsid w:val="008A075E"/>
    <w:rsid w:val="008C1B53"/>
    <w:rsid w:val="009C3D2C"/>
    <w:rsid w:val="00A02C02"/>
    <w:rsid w:val="00A67449"/>
    <w:rsid w:val="00AA06D9"/>
    <w:rsid w:val="00AE7A0E"/>
    <w:rsid w:val="00B25576"/>
    <w:rsid w:val="00B470EE"/>
    <w:rsid w:val="00B65E79"/>
    <w:rsid w:val="00BE6860"/>
    <w:rsid w:val="00BE68BB"/>
    <w:rsid w:val="00C531B4"/>
    <w:rsid w:val="00CF2E4F"/>
    <w:rsid w:val="00D04645"/>
    <w:rsid w:val="00D31675"/>
    <w:rsid w:val="00D43BFA"/>
    <w:rsid w:val="00D548A1"/>
    <w:rsid w:val="00DC45C0"/>
    <w:rsid w:val="00DF3696"/>
    <w:rsid w:val="00E14D93"/>
    <w:rsid w:val="00E26A7B"/>
    <w:rsid w:val="00E6663F"/>
    <w:rsid w:val="00EA0919"/>
    <w:rsid w:val="00EE5C52"/>
    <w:rsid w:val="00F42550"/>
    <w:rsid w:val="00F50FB5"/>
    <w:rsid w:val="00FD7D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675"/>
    <w:rPr>
      <w:rFonts w:ascii="Tahoma" w:hAnsi="Tahoma" w:cs="Tahoma"/>
      <w:sz w:val="16"/>
      <w:szCs w:val="16"/>
    </w:rPr>
  </w:style>
  <w:style w:type="paragraph" w:styleId="ListParagraph">
    <w:name w:val="List Paragraph"/>
    <w:basedOn w:val="Normal"/>
    <w:uiPriority w:val="34"/>
    <w:qFormat/>
    <w:rsid w:val="00D548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675"/>
    <w:rPr>
      <w:rFonts w:ascii="Tahoma" w:hAnsi="Tahoma" w:cs="Tahoma"/>
      <w:sz w:val="16"/>
      <w:szCs w:val="16"/>
    </w:rPr>
  </w:style>
  <w:style w:type="paragraph" w:styleId="ListParagraph">
    <w:name w:val="List Paragraph"/>
    <w:basedOn w:val="Normal"/>
    <w:uiPriority w:val="34"/>
    <w:qFormat/>
    <w:rsid w:val="00D54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64585-AAE9-4C58-B903-8C2542374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669</Words>
  <Characters>3818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 Vlahos</dc:creator>
  <cp:lastModifiedBy>Georgette Vlahos</cp:lastModifiedBy>
  <cp:revision>2</cp:revision>
  <cp:lastPrinted>2015-11-10T17:58:00Z</cp:lastPrinted>
  <dcterms:created xsi:type="dcterms:W3CDTF">2015-11-10T19:26:00Z</dcterms:created>
  <dcterms:modified xsi:type="dcterms:W3CDTF">2015-11-10T19:26:00Z</dcterms:modified>
</cp:coreProperties>
</file>