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0E" w:rsidRDefault="005C047D" w:rsidP="005C047D">
      <w:pPr>
        <w:rPr>
          <w:rFonts w:ascii="Arial Black" w:hAnsi="Arial Black" w:cs="Arial"/>
          <w:sz w:val="24"/>
          <w:szCs w:val="24"/>
        </w:rPr>
      </w:pPr>
      <w:bookmarkStart w:id="0" w:name="_GoBack"/>
      <w:bookmarkEnd w:id="0"/>
      <w:r>
        <w:rPr>
          <w:rFonts w:ascii="Arial Black" w:hAnsi="Arial Black" w:cs="Arial"/>
          <w:sz w:val="24"/>
          <w:szCs w:val="24"/>
        </w:rPr>
        <w:t>HLC’s Submissions re EB-2015-0079</w:t>
      </w:r>
    </w:p>
    <w:p w:rsidR="005C047D" w:rsidRDefault="005C047D" w:rsidP="005C047D">
      <w:pPr>
        <w:rPr>
          <w:rFonts w:ascii="Arial Black" w:hAnsi="Arial Black" w:cs="Arial"/>
          <w:sz w:val="24"/>
          <w:szCs w:val="24"/>
        </w:rPr>
      </w:pPr>
    </w:p>
    <w:p w:rsidR="005C047D" w:rsidRDefault="005C047D" w:rsidP="005C047D">
      <w:pPr>
        <w:rPr>
          <w:rFonts w:ascii="Arial" w:hAnsi="Arial" w:cs="Arial"/>
          <w:sz w:val="24"/>
          <w:szCs w:val="24"/>
        </w:rPr>
      </w:pPr>
      <w:r>
        <w:rPr>
          <w:rFonts w:ascii="Arial" w:hAnsi="Arial" w:cs="Arial"/>
          <w:sz w:val="24"/>
          <w:szCs w:val="24"/>
        </w:rPr>
        <w:t>HLC wishes to submit the following regarding the above proceeding.</w:t>
      </w:r>
    </w:p>
    <w:p w:rsidR="005C047D" w:rsidRDefault="005C047D" w:rsidP="005C047D">
      <w:pPr>
        <w:rPr>
          <w:rFonts w:ascii="Arial" w:hAnsi="Arial" w:cs="Arial"/>
          <w:sz w:val="24"/>
          <w:szCs w:val="24"/>
        </w:rPr>
      </w:pPr>
    </w:p>
    <w:p w:rsidR="00D53A17" w:rsidRDefault="00D53A17" w:rsidP="005C047D">
      <w:pPr>
        <w:rPr>
          <w:rFonts w:ascii="Arial Black" w:hAnsi="Arial Black" w:cs="Arial"/>
          <w:sz w:val="24"/>
          <w:szCs w:val="24"/>
        </w:rPr>
      </w:pPr>
      <w:r>
        <w:rPr>
          <w:rFonts w:ascii="Arial Black" w:hAnsi="Arial Black" w:cs="Arial"/>
          <w:sz w:val="24"/>
          <w:szCs w:val="24"/>
        </w:rPr>
        <w:t>Bill Impacts</w:t>
      </w:r>
    </w:p>
    <w:p w:rsidR="00D53A17" w:rsidRDefault="00D53A17" w:rsidP="005C047D">
      <w:pPr>
        <w:rPr>
          <w:rFonts w:ascii="Arial Black" w:hAnsi="Arial Black" w:cs="Arial"/>
          <w:sz w:val="24"/>
          <w:szCs w:val="24"/>
        </w:rPr>
      </w:pPr>
    </w:p>
    <w:p w:rsidR="00D53A17" w:rsidRDefault="00D53A17" w:rsidP="005C047D">
      <w:pPr>
        <w:rPr>
          <w:rFonts w:ascii="Arial" w:hAnsi="Arial" w:cs="Arial"/>
          <w:sz w:val="24"/>
          <w:szCs w:val="24"/>
        </w:rPr>
      </w:pPr>
      <w:r>
        <w:rPr>
          <w:rFonts w:ascii="Arial" w:hAnsi="Arial" w:cs="Arial"/>
          <w:sz w:val="24"/>
          <w:szCs w:val="24"/>
        </w:rPr>
        <w:t>The year 2016 is unique because of a confluence of changes, mainly the elimination of the OCEB and the move to al</w:t>
      </w:r>
      <w:r w:rsidR="00D63EE4">
        <w:rPr>
          <w:rFonts w:ascii="Arial" w:hAnsi="Arial" w:cs="Arial"/>
          <w:sz w:val="24"/>
          <w:szCs w:val="24"/>
        </w:rPr>
        <w:t>l</w:t>
      </w:r>
      <w:r>
        <w:rPr>
          <w:rFonts w:ascii="Arial" w:hAnsi="Arial" w:cs="Arial"/>
          <w:sz w:val="24"/>
          <w:szCs w:val="24"/>
        </w:rPr>
        <w:t xml:space="preserve">-fixed rates. As shown in Exhibit DRO TC3, low volume </w:t>
      </w:r>
      <w:r w:rsidR="00640A85">
        <w:rPr>
          <w:rFonts w:ascii="Arial" w:hAnsi="Arial" w:cs="Arial"/>
          <w:sz w:val="24"/>
          <w:szCs w:val="24"/>
        </w:rPr>
        <w:t xml:space="preserve">residential </w:t>
      </w:r>
      <w:r>
        <w:rPr>
          <w:rFonts w:ascii="Arial" w:hAnsi="Arial" w:cs="Arial"/>
          <w:sz w:val="24"/>
          <w:szCs w:val="24"/>
        </w:rPr>
        <w:t>consumers</w:t>
      </w:r>
      <w:r w:rsidR="00640A85">
        <w:rPr>
          <w:rFonts w:ascii="Arial" w:hAnsi="Arial" w:cs="Arial"/>
          <w:sz w:val="24"/>
          <w:szCs w:val="24"/>
        </w:rPr>
        <w:t xml:space="preserve"> at the 10</w:t>
      </w:r>
      <w:r w:rsidR="00640A85" w:rsidRPr="00640A85">
        <w:rPr>
          <w:rFonts w:ascii="Arial" w:hAnsi="Arial" w:cs="Arial"/>
          <w:sz w:val="24"/>
          <w:szCs w:val="24"/>
          <w:vertAlign w:val="superscript"/>
        </w:rPr>
        <w:t>th</w:t>
      </w:r>
      <w:r w:rsidR="00640A85">
        <w:rPr>
          <w:rFonts w:ascii="Arial" w:hAnsi="Arial" w:cs="Arial"/>
          <w:sz w:val="24"/>
          <w:szCs w:val="24"/>
        </w:rPr>
        <w:t xml:space="preserve"> percentile </w:t>
      </w:r>
      <w:r>
        <w:rPr>
          <w:rFonts w:ascii="Arial" w:hAnsi="Arial" w:cs="Arial"/>
          <w:sz w:val="24"/>
          <w:szCs w:val="24"/>
        </w:rPr>
        <w:t xml:space="preserve">will see bill impacts ranging from 9.49% for UR to 20.56% for SR. </w:t>
      </w:r>
      <w:r w:rsidR="00640A85">
        <w:rPr>
          <w:rFonts w:ascii="Arial" w:hAnsi="Arial" w:cs="Arial"/>
          <w:sz w:val="24"/>
          <w:szCs w:val="24"/>
        </w:rPr>
        <w:t>And those below the 10</w:t>
      </w:r>
      <w:r w:rsidR="00640A85" w:rsidRPr="00640A85">
        <w:rPr>
          <w:rFonts w:ascii="Arial" w:hAnsi="Arial" w:cs="Arial"/>
          <w:sz w:val="24"/>
          <w:szCs w:val="24"/>
          <w:vertAlign w:val="superscript"/>
        </w:rPr>
        <w:t>th</w:t>
      </w:r>
      <w:r w:rsidR="00640A85">
        <w:rPr>
          <w:rFonts w:ascii="Arial" w:hAnsi="Arial" w:cs="Arial"/>
          <w:sz w:val="24"/>
          <w:szCs w:val="24"/>
        </w:rPr>
        <w:t xml:space="preserve"> percentile will see much larger increases.</w:t>
      </w:r>
    </w:p>
    <w:p w:rsidR="00640A85" w:rsidRDefault="00640A85" w:rsidP="005C047D">
      <w:pPr>
        <w:rPr>
          <w:rFonts w:ascii="Arial" w:hAnsi="Arial" w:cs="Arial"/>
          <w:sz w:val="24"/>
          <w:szCs w:val="24"/>
        </w:rPr>
      </w:pPr>
      <w:r>
        <w:rPr>
          <w:rFonts w:ascii="Arial" w:hAnsi="Arial" w:cs="Arial"/>
          <w:sz w:val="24"/>
          <w:szCs w:val="24"/>
        </w:rPr>
        <w:t>In addition low volume consumers can expect near 10% increases compounded onto the 2016 rates for 5 to 7 years.</w:t>
      </w:r>
    </w:p>
    <w:p w:rsidR="00640A85" w:rsidRPr="00D53A17" w:rsidRDefault="00640A85" w:rsidP="005C047D">
      <w:pPr>
        <w:rPr>
          <w:rFonts w:ascii="Arial" w:hAnsi="Arial" w:cs="Arial"/>
          <w:sz w:val="24"/>
          <w:szCs w:val="24"/>
        </w:rPr>
      </w:pPr>
      <w:r>
        <w:rPr>
          <w:rFonts w:ascii="Arial" w:hAnsi="Arial" w:cs="Arial"/>
          <w:sz w:val="24"/>
          <w:szCs w:val="24"/>
        </w:rPr>
        <w:t>These are the most severe impacts since the electricity industry was restructured</w:t>
      </w:r>
      <w:r w:rsidR="006D0152">
        <w:rPr>
          <w:rFonts w:ascii="Arial" w:hAnsi="Arial" w:cs="Arial"/>
          <w:sz w:val="24"/>
          <w:szCs w:val="24"/>
        </w:rPr>
        <w:t xml:space="preserve"> and need full explanation.</w:t>
      </w:r>
      <w:r>
        <w:rPr>
          <w:rFonts w:ascii="Arial" w:hAnsi="Arial" w:cs="Arial"/>
          <w:sz w:val="24"/>
          <w:szCs w:val="24"/>
        </w:rPr>
        <w:t xml:space="preserve"> </w:t>
      </w:r>
    </w:p>
    <w:p w:rsidR="00D53A17" w:rsidRDefault="00D53A17" w:rsidP="005C047D">
      <w:pPr>
        <w:rPr>
          <w:rFonts w:ascii="Arial Black" w:hAnsi="Arial Black" w:cs="Arial"/>
          <w:sz w:val="24"/>
          <w:szCs w:val="24"/>
        </w:rPr>
      </w:pPr>
    </w:p>
    <w:p w:rsidR="00D53A17" w:rsidRDefault="00D53A17" w:rsidP="005C047D">
      <w:pPr>
        <w:rPr>
          <w:rFonts w:ascii="Arial Black" w:hAnsi="Arial Black" w:cs="Arial"/>
          <w:sz w:val="24"/>
          <w:szCs w:val="24"/>
        </w:rPr>
      </w:pPr>
    </w:p>
    <w:p w:rsidR="00D53A17" w:rsidRDefault="00D53A17" w:rsidP="005C047D">
      <w:pPr>
        <w:rPr>
          <w:rFonts w:ascii="Arial Black" w:hAnsi="Arial Black" w:cs="Arial"/>
          <w:sz w:val="24"/>
          <w:szCs w:val="24"/>
        </w:rPr>
      </w:pPr>
    </w:p>
    <w:p w:rsidR="005C047D" w:rsidRDefault="005C047D" w:rsidP="005C047D">
      <w:pPr>
        <w:rPr>
          <w:rFonts w:ascii="Arial Black" w:hAnsi="Arial Black" w:cs="Arial"/>
          <w:sz w:val="24"/>
          <w:szCs w:val="24"/>
        </w:rPr>
      </w:pPr>
      <w:proofErr w:type="gramStart"/>
      <w:r>
        <w:rPr>
          <w:rFonts w:ascii="Arial Black" w:hAnsi="Arial Black" w:cs="Arial"/>
          <w:sz w:val="24"/>
          <w:szCs w:val="24"/>
        </w:rPr>
        <w:t>Adequacy of Customer Notification.</w:t>
      </w:r>
      <w:proofErr w:type="gramEnd"/>
    </w:p>
    <w:p w:rsidR="005C047D" w:rsidRDefault="005C047D" w:rsidP="005C047D">
      <w:pPr>
        <w:rPr>
          <w:rFonts w:ascii="Arial Black" w:hAnsi="Arial Black" w:cs="Arial"/>
          <w:sz w:val="24"/>
          <w:szCs w:val="24"/>
        </w:rPr>
      </w:pPr>
    </w:p>
    <w:p w:rsidR="00B17660" w:rsidRDefault="00DB38A3" w:rsidP="005C047D">
      <w:pPr>
        <w:rPr>
          <w:rFonts w:ascii="Arial" w:hAnsi="Arial" w:cs="Arial"/>
          <w:sz w:val="24"/>
          <w:szCs w:val="24"/>
        </w:rPr>
      </w:pPr>
      <w:r>
        <w:rPr>
          <w:rFonts w:ascii="Arial" w:hAnsi="Arial" w:cs="Arial"/>
          <w:sz w:val="24"/>
          <w:szCs w:val="24"/>
        </w:rPr>
        <w:t>T</w:t>
      </w:r>
      <w:r w:rsidR="00640A85">
        <w:rPr>
          <w:rFonts w:ascii="Arial" w:hAnsi="Arial" w:cs="Arial"/>
          <w:sz w:val="24"/>
          <w:szCs w:val="24"/>
        </w:rPr>
        <w:t xml:space="preserve">he Hydro One bill insert does a good job of explaining the impacts on </w:t>
      </w:r>
      <w:r>
        <w:rPr>
          <w:rFonts w:ascii="Arial" w:hAnsi="Arial" w:cs="Arial"/>
          <w:sz w:val="24"/>
          <w:szCs w:val="24"/>
        </w:rPr>
        <w:t>a</w:t>
      </w:r>
      <w:r w:rsidR="00640A85">
        <w:rPr>
          <w:rFonts w:ascii="Arial" w:hAnsi="Arial" w:cs="Arial"/>
          <w:sz w:val="24"/>
          <w:szCs w:val="24"/>
        </w:rPr>
        <w:t xml:space="preserve"> “</w:t>
      </w:r>
      <w:r>
        <w:rPr>
          <w:rFonts w:ascii="Arial" w:hAnsi="Arial" w:cs="Arial"/>
          <w:sz w:val="24"/>
          <w:szCs w:val="24"/>
        </w:rPr>
        <w:t>typical</w:t>
      </w:r>
      <w:r w:rsidR="00640A85">
        <w:rPr>
          <w:rFonts w:ascii="Arial" w:hAnsi="Arial" w:cs="Arial"/>
          <w:sz w:val="24"/>
          <w:szCs w:val="24"/>
        </w:rPr>
        <w:t xml:space="preserve">” </w:t>
      </w:r>
      <w:r>
        <w:rPr>
          <w:rFonts w:ascii="Arial" w:hAnsi="Arial" w:cs="Arial"/>
          <w:sz w:val="24"/>
          <w:szCs w:val="24"/>
        </w:rPr>
        <w:t>800 kwh/</w:t>
      </w:r>
      <w:proofErr w:type="spellStart"/>
      <w:r>
        <w:rPr>
          <w:rFonts w:ascii="Arial" w:hAnsi="Arial" w:cs="Arial"/>
          <w:sz w:val="24"/>
          <w:szCs w:val="24"/>
        </w:rPr>
        <w:t>mo</w:t>
      </w:r>
      <w:proofErr w:type="spellEnd"/>
      <w:r>
        <w:rPr>
          <w:rFonts w:ascii="Arial" w:hAnsi="Arial" w:cs="Arial"/>
          <w:sz w:val="24"/>
          <w:szCs w:val="24"/>
        </w:rPr>
        <w:t xml:space="preserve"> </w:t>
      </w:r>
      <w:r w:rsidR="00640A85">
        <w:rPr>
          <w:rFonts w:ascii="Arial" w:hAnsi="Arial" w:cs="Arial"/>
          <w:sz w:val="24"/>
          <w:szCs w:val="24"/>
        </w:rPr>
        <w:t>consumer</w:t>
      </w:r>
      <w:r>
        <w:rPr>
          <w:rFonts w:ascii="Arial" w:hAnsi="Arial" w:cs="Arial"/>
          <w:sz w:val="24"/>
          <w:szCs w:val="24"/>
        </w:rPr>
        <w:t>. I</w:t>
      </w:r>
      <w:r w:rsidR="00640A85">
        <w:rPr>
          <w:rFonts w:ascii="Arial" w:hAnsi="Arial" w:cs="Arial"/>
          <w:sz w:val="24"/>
          <w:szCs w:val="24"/>
        </w:rPr>
        <w:t xml:space="preserve">t does not fully warn low volume consumers at </w:t>
      </w:r>
      <w:r w:rsidR="006D0152">
        <w:rPr>
          <w:rFonts w:ascii="Arial" w:hAnsi="Arial" w:cs="Arial"/>
          <w:sz w:val="24"/>
          <w:szCs w:val="24"/>
        </w:rPr>
        <w:t>or below the 10</w:t>
      </w:r>
      <w:r w:rsidR="006D0152" w:rsidRPr="006D0152">
        <w:rPr>
          <w:rFonts w:ascii="Arial" w:hAnsi="Arial" w:cs="Arial"/>
          <w:sz w:val="24"/>
          <w:szCs w:val="24"/>
          <w:vertAlign w:val="superscript"/>
        </w:rPr>
        <w:t>th</w:t>
      </w:r>
      <w:r w:rsidR="006D0152">
        <w:rPr>
          <w:rFonts w:ascii="Arial" w:hAnsi="Arial" w:cs="Arial"/>
          <w:sz w:val="24"/>
          <w:szCs w:val="24"/>
        </w:rPr>
        <w:t xml:space="preserve"> percentile of what is to come. HLC submits that special letters should be sent to low volume consumers explaining the rationale for the move to all-fixed rates.</w:t>
      </w:r>
    </w:p>
    <w:p w:rsidR="006D0152" w:rsidRDefault="006D0152" w:rsidP="005C047D">
      <w:pPr>
        <w:rPr>
          <w:rFonts w:ascii="Arial" w:hAnsi="Arial" w:cs="Arial"/>
          <w:sz w:val="24"/>
          <w:szCs w:val="24"/>
        </w:rPr>
      </w:pPr>
    </w:p>
    <w:p w:rsidR="00B17660" w:rsidRDefault="00B17660" w:rsidP="005C047D">
      <w:pPr>
        <w:rPr>
          <w:rFonts w:ascii="Arial Black" w:hAnsi="Arial Black" w:cs="Arial"/>
          <w:sz w:val="24"/>
          <w:szCs w:val="24"/>
        </w:rPr>
      </w:pPr>
      <w:r>
        <w:rPr>
          <w:rFonts w:ascii="Arial Black" w:hAnsi="Arial Black" w:cs="Arial"/>
          <w:sz w:val="24"/>
          <w:szCs w:val="24"/>
        </w:rPr>
        <w:t xml:space="preserve">The </w:t>
      </w:r>
      <w:r w:rsidR="003524C3">
        <w:rPr>
          <w:rFonts w:ascii="Arial Black" w:hAnsi="Arial Black" w:cs="Arial"/>
          <w:sz w:val="24"/>
          <w:szCs w:val="24"/>
        </w:rPr>
        <w:t>A</w:t>
      </w:r>
      <w:r>
        <w:rPr>
          <w:rFonts w:ascii="Arial Black" w:hAnsi="Arial Black" w:cs="Arial"/>
          <w:sz w:val="24"/>
          <w:szCs w:val="24"/>
        </w:rPr>
        <w:t xml:space="preserve">ll </w:t>
      </w:r>
      <w:r w:rsidR="003524C3">
        <w:rPr>
          <w:rFonts w:ascii="Arial Black" w:hAnsi="Arial Black" w:cs="Arial"/>
          <w:sz w:val="24"/>
          <w:szCs w:val="24"/>
        </w:rPr>
        <w:t>F</w:t>
      </w:r>
      <w:r>
        <w:rPr>
          <w:rFonts w:ascii="Arial Black" w:hAnsi="Arial Black" w:cs="Arial"/>
          <w:sz w:val="24"/>
          <w:szCs w:val="24"/>
        </w:rPr>
        <w:t>ixed agenda</w:t>
      </w:r>
    </w:p>
    <w:p w:rsidR="00B17660" w:rsidRDefault="00B17660" w:rsidP="005C047D">
      <w:pPr>
        <w:rPr>
          <w:rFonts w:ascii="Arial" w:hAnsi="Arial" w:cs="Arial"/>
          <w:sz w:val="24"/>
          <w:szCs w:val="24"/>
        </w:rPr>
      </w:pPr>
    </w:p>
    <w:p w:rsidR="00DB76B4" w:rsidRDefault="00DB76B4" w:rsidP="005C047D">
      <w:pPr>
        <w:rPr>
          <w:rFonts w:ascii="Arial" w:hAnsi="Arial" w:cs="Arial"/>
          <w:sz w:val="24"/>
          <w:szCs w:val="24"/>
        </w:rPr>
      </w:pPr>
    </w:p>
    <w:p w:rsidR="00D20E8F" w:rsidRDefault="006D0152" w:rsidP="005C047D">
      <w:pPr>
        <w:rPr>
          <w:rFonts w:ascii="Arial Black" w:hAnsi="Arial Black" w:cs="Arial"/>
          <w:sz w:val="24"/>
          <w:szCs w:val="24"/>
        </w:rPr>
      </w:pPr>
      <w:r>
        <w:rPr>
          <w:rFonts w:ascii="Arial" w:hAnsi="Arial" w:cs="Arial"/>
          <w:sz w:val="24"/>
          <w:szCs w:val="24"/>
        </w:rPr>
        <w:t>While the Board’s position on this issue appears firm it does not have universal support here or in other jurisdictions. It is going to be extremely difficult to apply it to non-residential classes or transmission customers.</w:t>
      </w:r>
    </w:p>
    <w:p w:rsidR="00D20E8F" w:rsidRDefault="00D20E8F" w:rsidP="005C047D">
      <w:pPr>
        <w:rPr>
          <w:rFonts w:ascii="Arial Black" w:hAnsi="Arial Black" w:cs="Arial"/>
          <w:sz w:val="24"/>
          <w:szCs w:val="24"/>
        </w:rPr>
      </w:pPr>
    </w:p>
    <w:p w:rsidR="003524C3" w:rsidRDefault="003524C3" w:rsidP="005C047D">
      <w:pPr>
        <w:rPr>
          <w:rFonts w:ascii="Arial Black" w:hAnsi="Arial Black" w:cs="Arial"/>
          <w:sz w:val="24"/>
          <w:szCs w:val="24"/>
        </w:rPr>
      </w:pPr>
      <w:r>
        <w:rPr>
          <w:rFonts w:ascii="Arial Black" w:hAnsi="Arial Black" w:cs="Arial"/>
          <w:sz w:val="24"/>
          <w:szCs w:val="24"/>
        </w:rPr>
        <w:t>Hydro One’s rate application</w:t>
      </w:r>
    </w:p>
    <w:p w:rsidR="003524C3" w:rsidRDefault="003524C3" w:rsidP="005C047D">
      <w:pPr>
        <w:rPr>
          <w:rFonts w:ascii="Arial Black" w:hAnsi="Arial Black" w:cs="Arial"/>
          <w:sz w:val="24"/>
          <w:szCs w:val="24"/>
        </w:rPr>
      </w:pPr>
    </w:p>
    <w:p w:rsidR="003524C3" w:rsidRDefault="003524C3" w:rsidP="005C047D">
      <w:pPr>
        <w:rPr>
          <w:rFonts w:ascii="Arial" w:hAnsi="Arial" w:cs="Arial"/>
          <w:sz w:val="24"/>
          <w:szCs w:val="24"/>
        </w:rPr>
      </w:pPr>
      <w:r>
        <w:rPr>
          <w:rFonts w:ascii="Arial" w:hAnsi="Arial" w:cs="Arial"/>
          <w:sz w:val="24"/>
          <w:szCs w:val="24"/>
        </w:rPr>
        <w:t>Hydro One’s rate application appears to comply with all OEB directives; hence HLC supports it.</w:t>
      </w:r>
    </w:p>
    <w:p w:rsidR="003524C3" w:rsidRDefault="003524C3" w:rsidP="005C047D">
      <w:pPr>
        <w:rPr>
          <w:rFonts w:ascii="Arial" w:hAnsi="Arial" w:cs="Arial"/>
          <w:sz w:val="24"/>
          <w:szCs w:val="24"/>
        </w:rPr>
      </w:pPr>
    </w:p>
    <w:p w:rsidR="003524C3" w:rsidRDefault="003524C3" w:rsidP="005C047D">
      <w:pPr>
        <w:rPr>
          <w:rFonts w:ascii="Arial" w:hAnsi="Arial" w:cs="Arial"/>
          <w:sz w:val="24"/>
          <w:szCs w:val="24"/>
        </w:rPr>
      </w:pPr>
    </w:p>
    <w:p w:rsidR="003524C3" w:rsidRDefault="003524C3" w:rsidP="005C047D">
      <w:pPr>
        <w:rPr>
          <w:rFonts w:ascii="Arial Black" w:hAnsi="Arial Black" w:cs="Arial"/>
          <w:sz w:val="24"/>
          <w:szCs w:val="24"/>
        </w:rPr>
      </w:pPr>
    </w:p>
    <w:p w:rsidR="006D0152" w:rsidRDefault="006D0152" w:rsidP="005C047D">
      <w:pPr>
        <w:rPr>
          <w:rFonts w:ascii="Arial Black" w:hAnsi="Arial Black" w:cs="Arial"/>
          <w:sz w:val="24"/>
          <w:szCs w:val="24"/>
        </w:rPr>
      </w:pPr>
    </w:p>
    <w:p w:rsidR="006D0152" w:rsidRDefault="006D0152" w:rsidP="005C047D">
      <w:pPr>
        <w:rPr>
          <w:rFonts w:ascii="Arial Black" w:hAnsi="Arial Black" w:cs="Arial"/>
          <w:sz w:val="24"/>
          <w:szCs w:val="24"/>
        </w:rPr>
      </w:pPr>
    </w:p>
    <w:p w:rsidR="006D0152" w:rsidRDefault="006D0152" w:rsidP="005C047D">
      <w:pPr>
        <w:rPr>
          <w:rFonts w:ascii="Arial Black" w:hAnsi="Arial Black" w:cs="Arial"/>
          <w:sz w:val="24"/>
          <w:szCs w:val="24"/>
        </w:rPr>
      </w:pPr>
    </w:p>
    <w:p w:rsidR="006D0152" w:rsidRDefault="006D0152" w:rsidP="005C047D">
      <w:pPr>
        <w:rPr>
          <w:rFonts w:ascii="Arial Black" w:hAnsi="Arial Black" w:cs="Arial"/>
          <w:sz w:val="24"/>
          <w:szCs w:val="24"/>
        </w:rPr>
      </w:pPr>
    </w:p>
    <w:p w:rsidR="003524C3" w:rsidRDefault="003524C3" w:rsidP="005C047D">
      <w:pPr>
        <w:rPr>
          <w:rFonts w:ascii="Arial Black" w:hAnsi="Arial Black" w:cs="Arial"/>
          <w:sz w:val="24"/>
          <w:szCs w:val="24"/>
        </w:rPr>
      </w:pPr>
      <w:r>
        <w:rPr>
          <w:rFonts w:ascii="Arial Black" w:hAnsi="Arial Black" w:cs="Arial"/>
          <w:sz w:val="24"/>
          <w:szCs w:val="24"/>
        </w:rPr>
        <w:t>Seasonal Class Elimination</w:t>
      </w:r>
    </w:p>
    <w:p w:rsidR="003524C3" w:rsidRDefault="003524C3" w:rsidP="005C047D">
      <w:pPr>
        <w:rPr>
          <w:rFonts w:ascii="Arial" w:hAnsi="Arial" w:cs="Arial"/>
          <w:sz w:val="24"/>
          <w:szCs w:val="24"/>
        </w:rPr>
      </w:pPr>
    </w:p>
    <w:p w:rsidR="006D0152" w:rsidRDefault="006D0152" w:rsidP="005C047D">
      <w:pPr>
        <w:rPr>
          <w:rFonts w:ascii="Arial" w:hAnsi="Arial" w:cs="Arial"/>
          <w:sz w:val="24"/>
          <w:szCs w:val="24"/>
        </w:rPr>
      </w:pPr>
      <w:r>
        <w:rPr>
          <w:rFonts w:ascii="Arial" w:hAnsi="Arial" w:cs="Arial"/>
          <w:sz w:val="24"/>
          <w:szCs w:val="24"/>
        </w:rPr>
        <w:t xml:space="preserve">While clearly out of scope in this proceeding, the issue did get some attention </w:t>
      </w:r>
      <w:r w:rsidR="002541EF">
        <w:rPr>
          <w:rFonts w:ascii="Arial" w:hAnsi="Arial" w:cs="Arial"/>
          <w:sz w:val="24"/>
          <w:szCs w:val="24"/>
        </w:rPr>
        <w:t>at the TC and in various submissions.</w:t>
      </w:r>
    </w:p>
    <w:p w:rsidR="002541EF" w:rsidRDefault="002541EF" w:rsidP="005C047D">
      <w:pPr>
        <w:rPr>
          <w:rFonts w:ascii="Arial" w:hAnsi="Arial" w:cs="Arial"/>
          <w:sz w:val="24"/>
          <w:szCs w:val="24"/>
        </w:rPr>
      </w:pPr>
      <w:r>
        <w:rPr>
          <w:rFonts w:ascii="Arial" w:hAnsi="Arial" w:cs="Arial"/>
          <w:sz w:val="24"/>
          <w:szCs w:val="24"/>
        </w:rPr>
        <w:t>Within the Board’s 10% impact rules, there is precious little room to make any changes to the SR class in the 7 year all-fixed phase-in period.</w:t>
      </w: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r>
        <w:rPr>
          <w:rFonts w:ascii="Arial" w:hAnsi="Arial" w:cs="Arial"/>
          <w:sz w:val="24"/>
          <w:szCs w:val="24"/>
        </w:rPr>
        <w:t xml:space="preserve">HLC supports the Board position to defer the issue to a separate stand alone proceeding where other options </w:t>
      </w:r>
      <w:r w:rsidR="00DC7617">
        <w:rPr>
          <w:rFonts w:ascii="Arial" w:hAnsi="Arial" w:cs="Arial"/>
          <w:sz w:val="24"/>
          <w:szCs w:val="24"/>
        </w:rPr>
        <w:t xml:space="preserve">to establish density based rates </w:t>
      </w:r>
      <w:r>
        <w:rPr>
          <w:rFonts w:ascii="Arial" w:hAnsi="Arial" w:cs="Arial"/>
          <w:sz w:val="24"/>
          <w:szCs w:val="24"/>
        </w:rPr>
        <w:t>for the seasonal class can be considered.</w:t>
      </w: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r>
        <w:rPr>
          <w:rFonts w:ascii="Arial" w:hAnsi="Arial" w:cs="Arial"/>
          <w:sz w:val="24"/>
          <w:szCs w:val="24"/>
        </w:rPr>
        <w:t>HLC opposes any attempt to partially dismantle the SR class</w:t>
      </w:r>
      <w:r w:rsidR="00DB38A3">
        <w:rPr>
          <w:rFonts w:ascii="Arial" w:hAnsi="Arial" w:cs="Arial"/>
          <w:sz w:val="24"/>
          <w:szCs w:val="24"/>
        </w:rPr>
        <w:t>.</w:t>
      </w: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r>
        <w:rPr>
          <w:rFonts w:ascii="Arial" w:hAnsi="Arial" w:cs="Arial"/>
          <w:sz w:val="24"/>
          <w:szCs w:val="24"/>
        </w:rPr>
        <w:t>All of which is respectfully submitted.</w:t>
      </w: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p>
    <w:p w:rsidR="002541EF" w:rsidRDefault="002541EF" w:rsidP="005C047D">
      <w:pPr>
        <w:rPr>
          <w:rFonts w:ascii="Arial" w:hAnsi="Arial" w:cs="Arial"/>
          <w:sz w:val="24"/>
          <w:szCs w:val="24"/>
        </w:rPr>
      </w:pPr>
      <w:r>
        <w:rPr>
          <w:rFonts w:ascii="Arial" w:hAnsi="Arial" w:cs="Arial"/>
          <w:sz w:val="24"/>
          <w:szCs w:val="24"/>
        </w:rPr>
        <w:t>John McGee</w:t>
      </w:r>
    </w:p>
    <w:p w:rsidR="002541EF" w:rsidRDefault="002541EF" w:rsidP="005C047D">
      <w:pPr>
        <w:rPr>
          <w:rFonts w:ascii="Arial" w:hAnsi="Arial" w:cs="Arial"/>
          <w:sz w:val="24"/>
          <w:szCs w:val="24"/>
        </w:rPr>
      </w:pPr>
      <w:r>
        <w:rPr>
          <w:rFonts w:ascii="Arial" w:hAnsi="Arial" w:cs="Arial"/>
          <w:sz w:val="24"/>
          <w:szCs w:val="24"/>
        </w:rPr>
        <w:t>Horseshoe Lake Coalition</w:t>
      </w:r>
    </w:p>
    <w:p w:rsidR="002541EF" w:rsidRDefault="002541EF" w:rsidP="005C047D">
      <w:pPr>
        <w:rPr>
          <w:rFonts w:ascii="Arial" w:hAnsi="Arial" w:cs="Arial"/>
          <w:sz w:val="24"/>
          <w:szCs w:val="24"/>
        </w:rPr>
      </w:pPr>
      <w:r>
        <w:rPr>
          <w:rFonts w:ascii="Arial" w:hAnsi="Arial" w:cs="Arial"/>
          <w:sz w:val="24"/>
          <w:szCs w:val="24"/>
        </w:rPr>
        <w:t>Dec 11, 2015</w:t>
      </w:r>
    </w:p>
    <w:sectPr w:rsidR="002541EF" w:rsidSect="002D49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7D"/>
    <w:rsid w:val="001B016B"/>
    <w:rsid w:val="002541EF"/>
    <w:rsid w:val="002D490E"/>
    <w:rsid w:val="00315C47"/>
    <w:rsid w:val="003524C3"/>
    <w:rsid w:val="00442346"/>
    <w:rsid w:val="00512DAE"/>
    <w:rsid w:val="005C047D"/>
    <w:rsid w:val="00640A85"/>
    <w:rsid w:val="006D0152"/>
    <w:rsid w:val="007411AA"/>
    <w:rsid w:val="00B17660"/>
    <w:rsid w:val="00BE1C56"/>
    <w:rsid w:val="00D20E8F"/>
    <w:rsid w:val="00D53A17"/>
    <w:rsid w:val="00D63EE4"/>
    <w:rsid w:val="00D93AEC"/>
    <w:rsid w:val="00DA1A0C"/>
    <w:rsid w:val="00DB38A3"/>
    <w:rsid w:val="00DB76B4"/>
    <w:rsid w:val="00DC7617"/>
    <w:rsid w:val="00EB0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Susi Vogt</cp:lastModifiedBy>
  <cp:revision>2</cp:revision>
  <cp:lastPrinted>2015-12-11T11:33:00Z</cp:lastPrinted>
  <dcterms:created xsi:type="dcterms:W3CDTF">2015-12-11T17:06:00Z</dcterms:created>
  <dcterms:modified xsi:type="dcterms:W3CDTF">2015-12-11T17:06:00Z</dcterms:modified>
</cp:coreProperties>
</file>