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82E" w:rsidRPr="009C3A27" w:rsidRDefault="00DB379A" w:rsidP="00C0382E">
      <w:r>
        <w:rPr>
          <w:noProof/>
        </w:rPr>
        <w:drawing>
          <wp:inline distT="0" distB="0" distL="0" distR="0">
            <wp:extent cx="5943600" cy="1077306"/>
            <wp:effectExtent l="19050" t="0" r="0" b="0"/>
            <wp:docPr id="1" name="Picture 1" descr="C:\Users\dbrady\AppData\Local\Microsoft\Windows\Temporary Internet Files\Content.Outlook\UJLJ0EN3\PIAC_Logo_H_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brady\AppData\Local\Microsoft\Windows\Temporary Internet Files\Content.Outlook\UJLJ0EN3\PIAC_Logo_H_Red.jpg"/>
                    <pic:cNvPicPr>
                      <a:picLocks noChangeAspect="1" noChangeArrowheads="1"/>
                    </pic:cNvPicPr>
                  </pic:nvPicPr>
                  <pic:blipFill>
                    <a:blip r:embed="rId9" cstate="print"/>
                    <a:srcRect/>
                    <a:stretch>
                      <a:fillRect/>
                    </a:stretch>
                  </pic:blipFill>
                  <pic:spPr bwMode="auto">
                    <a:xfrm>
                      <a:off x="0" y="0"/>
                      <a:ext cx="5943600" cy="1077306"/>
                    </a:xfrm>
                    <a:prstGeom prst="rect">
                      <a:avLst/>
                    </a:prstGeom>
                    <a:noFill/>
                    <a:ln w="9525">
                      <a:noFill/>
                      <a:miter lim="800000"/>
                      <a:headEnd/>
                      <a:tailEnd/>
                    </a:ln>
                  </pic:spPr>
                </pic:pic>
              </a:graphicData>
            </a:graphic>
          </wp:inline>
        </w:drawing>
      </w:r>
      <w:r w:rsidR="009C3A27">
        <w:t xml:space="preserve">January </w:t>
      </w:r>
      <w:r w:rsidR="008B3381">
        <w:t>13</w:t>
      </w:r>
      <w:r w:rsidR="009C3A27">
        <w:t>, 2016</w:t>
      </w:r>
      <w:r w:rsidR="00C0382E">
        <w:t xml:space="preserve"> </w:t>
      </w:r>
    </w:p>
    <w:p w:rsidR="00C0382E" w:rsidRDefault="00C0382E" w:rsidP="00C0382E">
      <w:pPr>
        <w:jc w:val="right"/>
        <w:rPr>
          <w:rFonts w:ascii="Arial" w:hAnsi="Arial" w:cs="Arial"/>
          <w:b/>
          <w:lang w:val="en-GB"/>
        </w:rPr>
      </w:pPr>
      <w:r>
        <w:rPr>
          <w:rFonts w:ascii="Arial" w:hAnsi="Arial" w:cs="Arial"/>
          <w:b/>
          <w:lang w:val="en-GB"/>
        </w:rPr>
        <w:tab/>
        <w:t>VIA E-MAIL</w:t>
      </w:r>
    </w:p>
    <w:p w:rsidR="00F518B0" w:rsidRPr="00F518B0" w:rsidRDefault="00F518B0" w:rsidP="00F518B0">
      <w:pPr>
        <w:pStyle w:val="NoSpacing"/>
        <w:rPr>
          <w:b/>
        </w:rPr>
      </w:pPr>
    </w:p>
    <w:p w:rsidR="00F518B0" w:rsidRPr="00F518B0" w:rsidRDefault="00F518B0" w:rsidP="00F518B0">
      <w:pPr>
        <w:pStyle w:val="NoSpacing"/>
        <w:rPr>
          <w:rFonts w:ascii="Arial" w:hAnsi="Arial" w:cs="Arial"/>
          <w:b/>
          <w:sz w:val="23"/>
          <w:szCs w:val="23"/>
        </w:rPr>
      </w:pPr>
      <w:r w:rsidRPr="00F518B0">
        <w:rPr>
          <w:rFonts w:ascii="Arial" w:hAnsi="Arial" w:cs="Arial"/>
          <w:b/>
          <w:sz w:val="23"/>
          <w:szCs w:val="23"/>
        </w:rPr>
        <w:t xml:space="preserve">Joanne </w:t>
      </w:r>
      <w:proofErr w:type="spellStart"/>
      <w:r w:rsidRPr="00F518B0">
        <w:rPr>
          <w:rFonts w:ascii="Arial" w:hAnsi="Arial" w:cs="Arial"/>
          <w:b/>
          <w:sz w:val="23"/>
          <w:szCs w:val="23"/>
        </w:rPr>
        <w:t>Tackaberry</w:t>
      </w:r>
      <w:proofErr w:type="spellEnd"/>
      <w:r w:rsidRPr="00F518B0">
        <w:rPr>
          <w:rFonts w:ascii="Arial" w:hAnsi="Arial" w:cs="Arial"/>
          <w:b/>
          <w:sz w:val="23"/>
          <w:szCs w:val="23"/>
        </w:rPr>
        <w:t xml:space="preserve"> </w:t>
      </w:r>
    </w:p>
    <w:p w:rsidR="00F518B0" w:rsidRPr="00F518B0" w:rsidRDefault="00F518B0" w:rsidP="00F518B0">
      <w:pPr>
        <w:pStyle w:val="NoSpacing"/>
        <w:rPr>
          <w:rFonts w:ascii="Arial" w:hAnsi="Arial" w:cs="Arial"/>
          <w:b/>
          <w:sz w:val="23"/>
          <w:szCs w:val="23"/>
        </w:rPr>
      </w:pPr>
      <w:proofErr w:type="spellStart"/>
      <w:r w:rsidRPr="00F518B0">
        <w:rPr>
          <w:rFonts w:ascii="Arial" w:hAnsi="Arial" w:cs="Arial"/>
          <w:b/>
          <w:sz w:val="23"/>
          <w:szCs w:val="23"/>
        </w:rPr>
        <w:t>Wasaga</w:t>
      </w:r>
      <w:proofErr w:type="spellEnd"/>
      <w:r w:rsidRPr="00F518B0">
        <w:rPr>
          <w:rFonts w:ascii="Arial" w:hAnsi="Arial" w:cs="Arial"/>
          <w:b/>
          <w:sz w:val="23"/>
          <w:szCs w:val="23"/>
        </w:rPr>
        <w:t xml:space="preserve"> Distribution Inc. </w:t>
      </w:r>
    </w:p>
    <w:p w:rsidR="00F518B0" w:rsidRPr="00F518B0" w:rsidRDefault="00F518B0" w:rsidP="00F518B0">
      <w:pPr>
        <w:pStyle w:val="NoSpacing"/>
        <w:rPr>
          <w:rFonts w:ascii="Arial" w:hAnsi="Arial" w:cs="Arial"/>
          <w:b/>
          <w:sz w:val="23"/>
          <w:szCs w:val="23"/>
        </w:rPr>
      </w:pPr>
      <w:r w:rsidRPr="00F518B0">
        <w:rPr>
          <w:rFonts w:ascii="Arial" w:hAnsi="Arial" w:cs="Arial"/>
          <w:b/>
          <w:sz w:val="23"/>
          <w:szCs w:val="23"/>
        </w:rPr>
        <w:t xml:space="preserve">950 River Road West </w:t>
      </w:r>
    </w:p>
    <w:p w:rsidR="00F518B0" w:rsidRPr="00F518B0" w:rsidRDefault="00F518B0" w:rsidP="00F518B0">
      <w:pPr>
        <w:pStyle w:val="NoSpacing"/>
        <w:rPr>
          <w:rFonts w:ascii="Arial" w:hAnsi="Arial" w:cs="Arial"/>
          <w:b/>
          <w:sz w:val="23"/>
          <w:szCs w:val="23"/>
        </w:rPr>
      </w:pPr>
      <w:proofErr w:type="spellStart"/>
      <w:r w:rsidRPr="00F518B0">
        <w:rPr>
          <w:rFonts w:ascii="Arial" w:hAnsi="Arial" w:cs="Arial"/>
          <w:b/>
          <w:sz w:val="23"/>
          <w:szCs w:val="23"/>
        </w:rPr>
        <w:t>Wasaga</w:t>
      </w:r>
      <w:proofErr w:type="spellEnd"/>
      <w:r w:rsidRPr="00F518B0">
        <w:rPr>
          <w:rFonts w:ascii="Arial" w:hAnsi="Arial" w:cs="Arial"/>
          <w:b/>
          <w:sz w:val="23"/>
          <w:szCs w:val="23"/>
        </w:rPr>
        <w:t xml:space="preserve"> Beach, ON L9Z 1A2 </w:t>
      </w:r>
    </w:p>
    <w:p w:rsidR="00F518B0" w:rsidRDefault="00F518B0" w:rsidP="00F518B0">
      <w:pPr>
        <w:pStyle w:val="NoSpacing"/>
        <w:rPr>
          <w:rFonts w:ascii="Arial" w:hAnsi="Arial" w:cs="Arial"/>
          <w:b/>
          <w:sz w:val="23"/>
          <w:szCs w:val="23"/>
        </w:rPr>
      </w:pPr>
    </w:p>
    <w:p w:rsidR="00C0382E" w:rsidRPr="00F518B0" w:rsidRDefault="00F518B0" w:rsidP="00F518B0">
      <w:pPr>
        <w:pStyle w:val="NoSpacing"/>
        <w:rPr>
          <w:rFonts w:ascii="Arial" w:hAnsi="Arial" w:cs="Arial"/>
          <w:b/>
          <w:sz w:val="23"/>
          <w:szCs w:val="23"/>
          <w:lang w:val="en-GB"/>
        </w:rPr>
      </w:pPr>
      <w:r w:rsidRPr="00F518B0">
        <w:rPr>
          <w:rFonts w:ascii="Arial" w:hAnsi="Arial" w:cs="Arial"/>
          <w:b/>
          <w:sz w:val="23"/>
          <w:szCs w:val="23"/>
        </w:rPr>
        <w:t xml:space="preserve">Dear Ms. </w:t>
      </w:r>
      <w:proofErr w:type="spellStart"/>
      <w:r w:rsidRPr="00F518B0">
        <w:rPr>
          <w:rFonts w:ascii="Arial" w:hAnsi="Arial" w:cs="Arial"/>
          <w:b/>
          <w:sz w:val="23"/>
          <w:szCs w:val="23"/>
        </w:rPr>
        <w:t>Tackaberry</w:t>
      </w:r>
      <w:proofErr w:type="spellEnd"/>
      <w:r w:rsidRPr="00F518B0">
        <w:rPr>
          <w:rFonts w:ascii="Arial" w:hAnsi="Arial" w:cs="Arial"/>
          <w:b/>
          <w:sz w:val="23"/>
          <w:szCs w:val="23"/>
        </w:rPr>
        <w:t>:</w:t>
      </w:r>
    </w:p>
    <w:p w:rsidR="00F518B0" w:rsidRDefault="00F518B0" w:rsidP="00C0382E">
      <w:pPr>
        <w:pStyle w:val="NoSpacing"/>
        <w:ind w:firstLine="720"/>
        <w:rPr>
          <w:rFonts w:ascii="Arial" w:hAnsi="Arial" w:cs="Arial"/>
          <w:b/>
          <w:sz w:val="23"/>
          <w:szCs w:val="23"/>
          <w:lang w:val="en-GB"/>
        </w:rPr>
      </w:pPr>
    </w:p>
    <w:p w:rsidR="00BF4D88" w:rsidRDefault="00C0382E" w:rsidP="00C0382E">
      <w:pPr>
        <w:pStyle w:val="NoSpacing"/>
        <w:ind w:firstLine="720"/>
        <w:rPr>
          <w:rFonts w:ascii="Arial" w:hAnsi="Arial" w:cs="Arial"/>
          <w:b/>
          <w:sz w:val="23"/>
          <w:szCs w:val="23"/>
          <w:lang w:val="en-GB"/>
        </w:rPr>
      </w:pPr>
      <w:r w:rsidRPr="009C3A27">
        <w:rPr>
          <w:rFonts w:ascii="Arial" w:hAnsi="Arial" w:cs="Arial"/>
          <w:b/>
          <w:sz w:val="23"/>
          <w:szCs w:val="23"/>
          <w:lang w:val="en-GB"/>
        </w:rPr>
        <w:t>Re:</w:t>
      </w:r>
      <w:r w:rsidRPr="009C3A27">
        <w:rPr>
          <w:rFonts w:ascii="Arial" w:hAnsi="Arial" w:cs="Arial"/>
          <w:b/>
          <w:sz w:val="23"/>
          <w:szCs w:val="23"/>
          <w:lang w:val="en-GB"/>
        </w:rPr>
        <w:tab/>
      </w:r>
      <w:r w:rsidR="007B0105" w:rsidRPr="009C3A27">
        <w:rPr>
          <w:rFonts w:ascii="Arial" w:hAnsi="Arial" w:cs="Arial"/>
          <w:b/>
          <w:sz w:val="23"/>
          <w:szCs w:val="23"/>
          <w:lang w:val="en-GB"/>
        </w:rPr>
        <w:t>EB-201</w:t>
      </w:r>
      <w:r w:rsidR="00C62D96" w:rsidRPr="009C3A27">
        <w:rPr>
          <w:rFonts w:ascii="Arial" w:hAnsi="Arial" w:cs="Arial"/>
          <w:b/>
          <w:sz w:val="23"/>
          <w:szCs w:val="23"/>
          <w:lang w:val="en-GB"/>
        </w:rPr>
        <w:t>5</w:t>
      </w:r>
      <w:r w:rsidRPr="009C3A27">
        <w:rPr>
          <w:rFonts w:ascii="Arial" w:hAnsi="Arial" w:cs="Arial"/>
          <w:b/>
          <w:sz w:val="23"/>
          <w:szCs w:val="23"/>
          <w:lang w:val="en-GB"/>
        </w:rPr>
        <w:t>-</w:t>
      </w:r>
      <w:r w:rsidR="00153597" w:rsidRPr="009C3A27">
        <w:rPr>
          <w:rFonts w:ascii="Arial" w:hAnsi="Arial" w:cs="Arial"/>
          <w:b/>
          <w:sz w:val="23"/>
          <w:szCs w:val="23"/>
          <w:lang w:val="en-GB"/>
        </w:rPr>
        <w:t>0</w:t>
      </w:r>
      <w:r w:rsidR="00F518B0">
        <w:rPr>
          <w:rFonts w:ascii="Arial" w:hAnsi="Arial" w:cs="Arial"/>
          <w:b/>
          <w:sz w:val="23"/>
          <w:szCs w:val="23"/>
          <w:lang w:val="en-GB"/>
        </w:rPr>
        <w:t>107</w:t>
      </w:r>
      <w:r w:rsidRPr="009C3A27">
        <w:rPr>
          <w:rFonts w:ascii="Arial" w:hAnsi="Arial" w:cs="Arial"/>
          <w:b/>
          <w:sz w:val="23"/>
          <w:szCs w:val="23"/>
          <w:lang w:val="en-GB"/>
        </w:rPr>
        <w:t xml:space="preserve"> </w:t>
      </w:r>
      <w:r w:rsidR="007B0105" w:rsidRPr="009C3A27">
        <w:rPr>
          <w:rFonts w:ascii="Arial" w:hAnsi="Arial" w:cs="Arial"/>
          <w:b/>
          <w:sz w:val="23"/>
          <w:szCs w:val="23"/>
          <w:lang w:val="en-GB"/>
        </w:rPr>
        <w:t>–</w:t>
      </w:r>
      <w:r w:rsidR="00153597" w:rsidRPr="009C3A27">
        <w:rPr>
          <w:rFonts w:ascii="Arial" w:hAnsi="Arial" w:cs="Arial"/>
          <w:b/>
          <w:sz w:val="23"/>
          <w:szCs w:val="23"/>
          <w:lang w:val="en-GB"/>
        </w:rPr>
        <w:t xml:space="preserve"> </w:t>
      </w:r>
      <w:proofErr w:type="spellStart"/>
      <w:r w:rsidR="00F518B0">
        <w:rPr>
          <w:rFonts w:ascii="Arial" w:hAnsi="Arial" w:cs="Arial"/>
          <w:b/>
          <w:sz w:val="23"/>
          <w:szCs w:val="23"/>
          <w:lang w:val="en-GB"/>
        </w:rPr>
        <w:t>Wasaga</w:t>
      </w:r>
      <w:proofErr w:type="spellEnd"/>
      <w:r w:rsidR="00F518B0">
        <w:rPr>
          <w:rFonts w:ascii="Arial" w:hAnsi="Arial" w:cs="Arial"/>
          <w:b/>
          <w:sz w:val="23"/>
          <w:szCs w:val="23"/>
          <w:lang w:val="en-GB"/>
        </w:rPr>
        <w:t xml:space="preserve"> Distribution</w:t>
      </w:r>
      <w:r w:rsidR="00EC1653" w:rsidRPr="009C3A27">
        <w:rPr>
          <w:rFonts w:ascii="Arial" w:hAnsi="Arial" w:cs="Arial"/>
          <w:b/>
          <w:sz w:val="23"/>
          <w:szCs w:val="23"/>
          <w:lang w:val="en-GB"/>
        </w:rPr>
        <w:t xml:space="preserve"> Inc.</w:t>
      </w:r>
      <w:r w:rsidR="00BF4D88">
        <w:rPr>
          <w:rFonts w:ascii="Arial" w:hAnsi="Arial" w:cs="Arial"/>
          <w:b/>
          <w:sz w:val="23"/>
          <w:szCs w:val="23"/>
          <w:lang w:val="en-GB"/>
        </w:rPr>
        <w:t xml:space="preserve"> (“</w:t>
      </w:r>
      <w:proofErr w:type="spellStart"/>
      <w:r w:rsidR="00BF4D88">
        <w:rPr>
          <w:rFonts w:ascii="Arial" w:hAnsi="Arial" w:cs="Arial"/>
          <w:b/>
          <w:sz w:val="23"/>
          <w:szCs w:val="23"/>
          <w:lang w:val="en-GB"/>
        </w:rPr>
        <w:t>Wasaga</w:t>
      </w:r>
      <w:proofErr w:type="spellEnd"/>
      <w:r w:rsidR="00BF4D88">
        <w:rPr>
          <w:rFonts w:ascii="Arial" w:hAnsi="Arial" w:cs="Arial"/>
          <w:b/>
          <w:sz w:val="23"/>
          <w:szCs w:val="23"/>
          <w:lang w:val="en-GB"/>
        </w:rPr>
        <w:t xml:space="preserve">”) </w:t>
      </w:r>
    </w:p>
    <w:p w:rsidR="00C0382E" w:rsidRPr="009C3A27" w:rsidRDefault="00210B90" w:rsidP="00BF4D88">
      <w:pPr>
        <w:pStyle w:val="NoSpacing"/>
        <w:ind w:left="720" w:firstLine="720"/>
        <w:rPr>
          <w:rFonts w:ascii="Arial" w:hAnsi="Arial" w:cs="Arial"/>
          <w:b/>
          <w:bCs/>
          <w:sz w:val="23"/>
          <w:szCs w:val="23"/>
        </w:rPr>
      </w:pPr>
      <w:r w:rsidRPr="009C3A27">
        <w:rPr>
          <w:rFonts w:ascii="Arial" w:hAnsi="Arial" w:cs="Arial"/>
          <w:b/>
          <w:sz w:val="23"/>
          <w:szCs w:val="23"/>
          <w:lang w:val="en-GB"/>
        </w:rPr>
        <w:t>201</w:t>
      </w:r>
      <w:r w:rsidR="00153597" w:rsidRPr="009C3A27">
        <w:rPr>
          <w:rFonts w:ascii="Arial" w:hAnsi="Arial" w:cs="Arial"/>
          <w:b/>
          <w:sz w:val="23"/>
          <w:szCs w:val="23"/>
          <w:lang w:val="en-GB"/>
        </w:rPr>
        <w:t>6</w:t>
      </w:r>
      <w:r w:rsidR="00EC1653" w:rsidRPr="009C3A27">
        <w:rPr>
          <w:rFonts w:ascii="Arial" w:hAnsi="Arial" w:cs="Arial"/>
          <w:b/>
          <w:sz w:val="23"/>
          <w:szCs w:val="23"/>
          <w:lang w:val="en-GB"/>
        </w:rPr>
        <w:t xml:space="preserve"> Rate</w:t>
      </w:r>
      <w:r w:rsidR="00153597" w:rsidRPr="009C3A27">
        <w:rPr>
          <w:rFonts w:ascii="Arial" w:hAnsi="Arial" w:cs="Arial"/>
          <w:b/>
          <w:sz w:val="23"/>
          <w:szCs w:val="23"/>
          <w:lang w:val="en-GB"/>
        </w:rPr>
        <w:t xml:space="preserve"> Appli</w:t>
      </w:r>
      <w:r w:rsidR="00ED3DF5" w:rsidRPr="009C3A27">
        <w:rPr>
          <w:rFonts w:ascii="Arial" w:hAnsi="Arial" w:cs="Arial"/>
          <w:b/>
          <w:sz w:val="23"/>
          <w:szCs w:val="23"/>
          <w:lang w:val="en-GB"/>
        </w:rPr>
        <w:t>c</w:t>
      </w:r>
      <w:r w:rsidR="00153597" w:rsidRPr="009C3A27">
        <w:rPr>
          <w:rFonts w:ascii="Arial" w:hAnsi="Arial" w:cs="Arial"/>
          <w:b/>
          <w:sz w:val="23"/>
          <w:szCs w:val="23"/>
          <w:lang w:val="en-GB"/>
        </w:rPr>
        <w:t>ation</w:t>
      </w:r>
    </w:p>
    <w:p w:rsidR="00C0382E" w:rsidRPr="009C3A27" w:rsidRDefault="009C3A27" w:rsidP="00C0382E">
      <w:pPr>
        <w:pStyle w:val="NoSpacing"/>
        <w:ind w:left="720" w:firstLine="720"/>
        <w:rPr>
          <w:rFonts w:ascii="Arial" w:hAnsi="Arial" w:cs="Arial"/>
          <w:b/>
          <w:sz w:val="23"/>
          <w:szCs w:val="23"/>
          <w:lang w:val="en-GB"/>
        </w:rPr>
      </w:pPr>
      <w:r w:rsidRPr="009C3A27">
        <w:rPr>
          <w:rFonts w:ascii="Arial" w:hAnsi="Arial" w:cs="Arial"/>
          <w:b/>
          <w:sz w:val="23"/>
          <w:szCs w:val="23"/>
          <w:lang w:val="en-GB"/>
        </w:rPr>
        <w:t>Pre-ADR Clarification Questions</w:t>
      </w:r>
    </w:p>
    <w:p w:rsidR="00C0382E" w:rsidRPr="009C3A27" w:rsidRDefault="00C0382E" w:rsidP="00C0382E">
      <w:pPr>
        <w:pStyle w:val="NoSpacing"/>
        <w:rPr>
          <w:rFonts w:ascii="Arial" w:hAnsi="Arial" w:cs="Arial"/>
          <w:b/>
          <w:sz w:val="23"/>
          <w:szCs w:val="23"/>
          <w:lang w:val="en-GB"/>
        </w:rPr>
      </w:pPr>
    </w:p>
    <w:p w:rsidR="0039472E" w:rsidRDefault="009C3A27" w:rsidP="00C0382E">
      <w:pPr>
        <w:pStyle w:val="NoSpacing"/>
        <w:rPr>
          <w:rFonts w:ascii="Arial" w:hAnsi="Arial" w:cs="Arial"/>
          <w:sz w:val="23"/>
          <w:szCs w:val="23"/>
          <w:lang w:val="en-GB"/>
        </w:rPr>
      </w:pPr>
      <w:r>
        <w:rPr>
          <w:rFonts w:ascii="Arial" w:hAnsi="Arial" w:cs="Arial"/>
          <w:sz w:val="23"/>
          <w:szCs w:val="23"/>
          <w:lang w:val="en-GB"/>
        </w:rPr>
        <w:t>In accordance with Procedural Order No. 1 a Settlement Conference with respect to above application is scheduled to be convened starting January 1</w:t>
      </w:r>
      <w:r w:rsidR="00390788">
        <w:rPr>
          <w:rFonts w:ascii="Arial" w:hAnsi="Arial" w:cs="Arial"/>
          <w:sz w:val="23"/>
          <w:szCs w:val="23"/>
          <w:lang w:val="en-GB"/>
        </w:rPr>
        <w:t>8</w:t>
      </w:r>
      <w:r>
        <w:rPr>
          <w:rFonts w:ascii="Arial" w:hAnsi="Arial" w:cs="Arial"/>
          <w:sz w:val="23"/>
          <w:szCs w:val="23"/>
          <w:lang w:val="en-GB"/>
        </w:rPr>
        <w:t>, 2016.  After reviewing the Application</w:t>
      </w:r>
      <w:r w:rsidR="00390788">
        <w:rPr>
          <w:rFonts w:ascii="Arial" w:hAnsi="Arial" w:cs="Arial"/>
          <w:sz w:val="23"/>
          <w:szCs w:val="23"/>
          <w:lang w:val="en-GB"/>
        </w:rPr>
        <w:t xml:space="preserve"> </w:t>
      </w:r>
      <w:r w:rsidR="00053B42">
        <w:rPr>
          <w:rFonts w:ascii="Arial" w:hAnsi="Arial" w:cs="Arial"/>
          <w:sz w:val="23"/>
          <w:szCs w:val="23"/>
          <w:lang w:val="en-GB"/>
        </w:rPr>
        <w:t xml:space="preserve">VECC has identified </w:t>
      </w:r>
      <w:r w:rsidR="003B1247">
        <w:rPr>
          <w:rFonts w:ascii="Arial" w:hAnsi="Arial" w:cs="Arial"/>
          <w:sz w:val="23"/>
          <w:szCs w:val="23"/>
          <w:lang w:val="en-GB"/>
        </w:rPr>
        <w:t xml:space="preserve">a </w:t>
      </w:r>
      <w:r>
        <w:rPr>
          <w:rFonts w:ascii="Arial" w:hAnsi="Arial" w:cs="Arial"/>
          <w:sz w:val="23"/>
          <w:szCs w:val="23"/>
          <w:lang w:val="en-GB"/>
        </w:rPr>
        <w:t xml:space="preserve">number </w:t>
      </w:r>
      <w:r w:rsidR="00AD52A8">
        <w:rPr>
          <w:rFonts w:ascii="Arial" w:hAnsi="Arial" w:cs="Arial"/>
          <w:sz w:val="23"/>
          <w:szCs w:val="23"/>
          <w:lang w:val="en-GB"/>
        </w:rPr>
        <w:t xml:space="preserve">areas requiring </w:t>
      </w:r>
      <w:r>
        <w:rPr>
          <w:rFonts w:ascii="Arial" w:hAnsi="Arial" w:cs="Arial"/>
          <w:sz w:val="23"/>
          <w:szCs w:val="23"/>
          <w:lang w:val="en-GB"/>
        </w:rPr>
        <w:t>clarification before</w:t>
      </w:r>
      <w:r w:rsidR="00053B42">
        <w:rPr>
          <w:rFonts w:ascii="Arial" w:hAnsi="Arial" w:cs="Arial"/>
          <w:sz w:val="23"/>
          <w:szCs w:val="23"/>
          <w:lang w:val="en-GB"/>
        </w:rPr>
        <w:t xml:space="preserve"> </w:t>
      </w:r>
      <w:r w:rsidR="00DF2052">
        <w:rPr>
          <w:rFonts w:ascii="Arial" w:hAnsi="Arial" w:cs="Arial"/>
          <w:sz w:val="23"/>
          <w:szCs w:val="23"/>
          <w:lang w:val="en-GB"/>
        </w:rPr>
        <w:t>we</w:t>
      </w:r>
      <w:r>
        <w:rPr>
          <w:rFonts w:ascii="Arial" w:hAnsi="Arial" w:cs="Arial"/>
          <w:sz w:val="23"/>
          <w:szCs w:val="23"/>
          <w:lang w:val="en-GB"/>
        </w:rPr>
        <w:t xml:space="preserve"> can meaningfully participate in the Settlement Conference.  </w:t>
      </w:r>
    </w:p>
    <w:p w:rsidR="0039472E" w:rsidRDefault="0039472E" w:rsidP="00C0382E">
      <w:pPr>
        <w:pStyle w:val="NoSpacing"/>
        <w:rPr>
          <w:rFonts w:ascii="Arial" w:hAnsi="Arial" w:cs="Arial"/>
          <w:sz w:val="23"/>
          <w:szCs w:val="23"/>
          <w:lang w:val="en-GB"/>
        </w:rPr>
      </w:pPr>
    </w:p>
    <w:p w:rsidR="00C0382E" w:rsidRDefault="009C3A27" w:rsidP="00C0382E">
      <w:pPr>
        <w:pStyle w:val="NoSpacing"/>
        <w:rPr>
          <w:rFonts w:ascii="Arial" w:hAnsi="Arial" w:cs="Arial"/>
          <w:sz w:val="23"/>
          <w:szCs w:val="23"/>
          <w:lang w:val="en-GB"/>
        </w:rPr>
      </w:pPr>
      <w:r>
        <w:rPr>
          <w:rFonts w:ascii="Arial" w:hAnsi="Arial" w:cs="Arial"/>
          <w:sz w:val="23"/>
          <w:szCs w:val="23"/>
          <w:lang w:val="en-GB"/>
        </w:rPr>
        <w:t>Typically these questions would be raised a</w:t>
      </w:r>
      <w:r w:rsidR="00DF2052">
        <w:rPr>
          <w:rFonts w:ascii="Arial" w:hAnsi="Arial" w:cs="Arial"/>
          <w:sz w:val="23"/>
          <w:szCs w:val="23"/>
          <w:lang w:val="en-GB"/>
        </w:rPr>
        <w:t>t a technical conference.  However, no such conference has been scheduled for this proceeding.</w:t>
      </w:r>
      <w:r>
        <w:rPr>
          <w:rFonts w:ascii="Arial" w:hAnsi="Arial" w:cs="Arial"/>
          <w:sz w:val="23"/>
          <w:szCs w:val="23"/>
          <w:lang w:val="en-GB"/>
        </w:rPr>
        <w:t xml:space="preserve"> </w:t>
      </w:r>
      <w:r w:rsidR="00DF2052">
        <w:rPr>
          <w:rFonts w:ascii="Arial" w:hAnsi="Arial" w:cs="Arial"/>
          <w:sz w:val="23"/>
          <w:szCs w:val="23"/>
          <w:lang w:val="en-GB"/>
        </w:rPr>
        <w:t>I</w:t>
      </w:r>
      <w:r>
        <w:rPr>
          <w:rFonts w:ascii="Arial" w:hAnsi="Arial" w:cs="Arial"/>
          <w:sz w:val="23"/>
          <w:szCs w:val="23"/>
          <w:lang w:val="en-GB"/>
        </w:rPr>
        <w:t xml:space="preserve">n order to expedite the process VECC is providing </w:t>
      </w:r>
      <w:r w:rsidR="00DF2052">
        <w:rPr>
          <w:rFonts w:ascii="Arial" w:hAnsi="Arial" w:cs="Arial"/>
          <w:sz w:val="23"/>
          <w:szCs w:val="23"/>
          <w:lang w:val="en-GB"/>
        </w:rPr>
        <w:t>questions</w:t>
      </w:r>
      <w:r w:rsidR="00A05A09">
        <w:rPr>
          <w:rFonts w:ascii="Arial" w:hAnsi="Arial" w:cs="Arial"/>
          <w:sz w:val="23"/>
          <w:szCs w:val="23"/>
          <w:lang w:val="en-GB"/>
        </w:rPr>
        <w:t xml:space="preserve"> </w:t>
      </w:r>
      <w:r w:rsidR="00DF2052">
        <w:rPr>
          <w:rFonts w:ascii="Arial" w:hAnsi="Arial" w:cs="Arial"/>
          <w:sz w:val="23"/>
          <w:szCs w:val="23"/>
          <w:lang w:val="en-GB"/>
        </w:rPr>
        <w:t>of clarification a</w:t>
      </w:r>
      <w:r>
        <w:rPr>
          <w:rFonts w:ascii="Arial" w:hAnsi="Arial" w:cs="Arial"/>
          <w:sz w:val="23"/>
          <w:szCs w:val="23"/>
          <w:lang w:val="en-GB"/>
        </w:rPr>
        <w:t xml:space="preserve">t this time </w:t>
      </w:r>
      <w:r w:rsidR="00AD52A8">
        <w:rPr>
          <w:rFonts w:ascii="Arial" w:hAnsi="Arial" w:cs="Arial"/>
          <w:sz w:val="23"/>
          <w:szCs w:val="23"/>
          <w:lang w:val="en-GB"/>
        </w:rPr>
        <w:t xml:space="preserve">and </w:t>
      </w:r>
      <w:r>
        <w:rPr>
          <w:rFonts w:ascii="Arial" w:hAnsi="Arial" w:cs="Arial"/>
          <w:sz w:val="23"/>
          <w:szCs w:val="23"/>
          <w:lang w:val="en-GB"/>
        </w:rPr>
        <w:t xml:space="preserve">so that </w:t>
      </w:r>
      <w:proofErr w:type="spellStart"/>
      <w:r w:rsidR="00390788">
        <w:rPr>
          <w:rFonts w:ascii="Arial" w:hAnsi="Arial" w:cs="Arial"/>
          <w:sz w:val="23"/>
          <w:szCs w:val="23"/>
          <w:lang w:val="en-GB"/>
        </w:rPr>
        <w:t>Wasaga</w:t>
      </w:r>
      <w:proofErr w:type="spellEnd"/>
      <w:r w:rsidR="00390788">
        <w:rPr>
          <w:rFonts w:ascii="Arial" w:hAnsi="Arial" w:cs="Arial"/>
          <w:sz w:val="23"/>
          <w:szCs w:val="23"/>
          <w:lang w:val="en-GB"/>
        </w:rPr>
        <w:t xml:space="preserve"> </w:t>
      </w:r>
      <w:r>
        <w:rPr>
          <w:rFonts w:ascii="Arial" w:hAnsi="Arial" w:cs="Arial"/>
          <w:sz w:val="23"/>
          <w:szCs w:val="23"/>
          <w:lang w:val="en-GB"/>
        </w:rPr>
        <w:t>will have an opportunity to address them on or before January 1</w:t>
      </w:r>
      <w:r w:rsidR="00390788">
        <w:rPr>
          <w:rFonts w:ascii="Arial" w:hAnsi="Arial" w:cs="Arial"/>
          <w:sz w:val="23"/>
          <w:szCs w:val="23"/>
          <w:lang w:val="en-GB"/>
        </w:rPr>
        <w:t>8</w:t>
      </w:r>
      <w:r w:rsidRPr="009C3A27">
        <w:rPr>
          <w:rFonts w:ascii="Arial" w:hAnsi="Arial" w:cs="Arial"/>
          <w:sz w:val="23"/>
          <w:szCs w:val="23"/>
          <w:vertAlign w:val="superscript"/>
          <w:lang w:val="en-GB"/>
        </w:rPr>
        <w:t>th</w:t>
      </w:r>
      <w:r>
        <w:rPr>
          <w:rFonts w:ascii="Arial" w:hAnsi="Arial" w:cs="Arial"/>
          <w:sz w:val="23"/>
          <w:szCs w:val="23"/>
          <w:lang w:val="en-GB"/>
        </w:rPr>
        <w:t>.</w:t>
      </w:r>
      <w:r w:rsidR="00C0382E" w:rsidRPr="009C3A27">
        <w:rPr>
          <w:rFonts w:ascii="Arial" w:hAnsi="Arial" w:cs="Arial"/>
          <w:sz w:val="23"/>
          <w:szCs w:val="23"/>
          <w:lang w:val="en-GB"/>
        </w:rPr>
        <w:t xml:space="preserve"> </w:t>
      </w:r>
    </w:p>
    <w:p w:rsidR="0039472E" w:rsidRDefault="0039472E" w:rsidP="00C0382E">
      <w:pPr>
        <w:pStyle w:val="NoSpacing"/>
        <w:rPr>
          <w:rFonts w:ascii="Arial" w:hAnsi="Arial" w:cs="Arial"/>
          <w:sz w:val="23"/>
          <w:szCs w:val="23"/>
          <w:lang w:val="en-GB"/>
        </w:rPr>
      </w:pPr>
    </w:p>
    <w:p w:rsidR="0039472E" w:rsidRPr="009C3A27" w:rsidRDefault="00B52B12" w:rsidP="00C0382E">
      <w:pPr>
        <w:pStyle w:val="NoSpacing"/>
        <w:rPr>
          <w:rFonts w:ascii="Arial" w:hAnsi="Arial" w:cs="Arial"/>
          <w:sz w:val="23"/>
          <w:szCs w:val="23"/>
          <w:lang w:val="en-GB"/>
        </w:rPr>
      </w:pPr>
      <w:r>
        <w:rPr>
          <w:rFonts w:ascii="Arial" w:hAnsi="Arial" w:cs="Arial"/>
          <w:sz w:val="23"/>
          <w:szCs w:val="23"/>
          <w:lang w:val="en-GB"/>
        </w:rPr>
        <w:t>W</w:t>
      </w:r>
      <w:r w:rsidR="0039472E">
        <w:rPr>
          <w:rFonts w:ascii="Arial" w:hAnsi="Arial" w:cs="Arial"/>
          <w:sz w:val="23"/>
          <w:szCs w:val="23"/>
          <w:lang w:val="en-GB"/>
        </w:rPr>
        <w:t xml:space="preserve">e continue to review the </w:t>
      </w:r>
      <w:r w:rsidR="00DF2052">
        <w:rPr>
          <w:rFonts w:ascii="Arial" w:hAnsi="Arial" w:cs="Arial"/>
          <w:sz w:val="23"/>
          <w:szCs w:val="23"/>
          <w:lang w:val="en-GB"/>
        </w:rPr>
        <w:t xml:space="preserve">interrogatory </w:t>
      </w:r>
      <w:r w:rsidR="0039472E">
        <w:rPr>
          <w:rFonts w:ascii="Arial" w:hAnsi="Arial" w:cs="Arial"/>
          <w:sz w:val="23"/>
          <w:szCs w:val="23"/>
          <w:lang w:val="en-GB"/>
        </w:rPr>
        <w:t xml:space="preserve">responses </w:t>
      </w:r>
      <w:r>
        <w:rPr>
          <w:rFonts w:ascii="Arial" w:hAnsi="Arial" w:cs="Arial"/>
          <w:sz w:val="23"/>
          <w:szCs w:val="23"/>
          <w:lang w:val="en-GB"/>
        </w:rPr>
        <w:t>and may have further questions.  We will do our best to provi</w:t>
      </w:r>
      <w:r w:rsidR="00390788">
        <w:rPr>
          <w:rFonts w:ascii="Arial" w:hAnsi="Arial" w:cs="Arial"/>
          <w:sz w:val="23"/>
          <w:szCs w:val="23"/>
          <w:lang w:val="en-GB"/>
        </w:rPr>
        <w:t>de these in advance of January 18</w:t>
      </w:r>
      <w:r w:rsidRPr="00B52B12">
        <w:rPr>
          <w:rFonts w:ascii="Arial" w:hAnsi="Arial" w:cs="Arial"/>
          <w:sz w:val="23"/>
          <w:szCs w:val="23"/>
          <w:vertAlign w:val="superscript"/>
          <w:lang w:val="en-GB"/>
        </w:rPr>
        <w:t>th</w:t>
      </w:r>
      <w:r>
        <w:rPr>
          <w:rFonts w:ascii="Arial" w:hAnsi="Arial" w:cs="Arial"/>
          <w:sz w:val="23"/>
          <w:szCs w:val="23"/>
          <w:lang w:val="en-GB"/>
        </w:rPr>
        <w:t>.</w:t>
      </w:r>
      <w:r w:rsidR="0039472E">
        <w:rPr>
          <w:rFonts w:ascii="Arial" w:hAnsi="Arial" w:cs="Arial"/>
          <w:sz w:val="23"/>
          <w:szCs w:val="23"/>
          <w:lang w:val="en-GB"/>
        </w:rPr>
        <w:t xml:space="preserve">  </w:t>
      </w:r>
    </w:p>
    <w:p w:rsidR="00C0382E" w:rsidRPr="009C3A27" w:rsidRDefault="00C0382E" w:rsidP="00C0382E">
      <w:pPr>
        <w:pStyle w:val="NoSpacing"/>
        <w:rPr>
          <w:rFonts w:ascii="Arial" w:hAnsi="Arial" w:cs="Arial"/>
          <w:sz w:val="23"/>
          <w:szCs w:val="23"/>
          <w:lang w:val="en-GB"/>
        </w:rPr>
      </w:pPr>
    </w:p>
    <w:p w:rsidR="00C0382E" w:rsidRPr="009C3A27" w:rsidRDefault="00C0382E" w:rsidP="00C0382E">
      <w:pPr>
        <w:pStyle w:val="NoSpacing"/>
        <w:rPr>
          <w:rFonts w:ascii="Arial" w:hAnsi="Arial" w:cs="Arial"/>
          <w:sz w:val="23"/>
          <w:szCs w:val="23"/>
        </w:rPr>
      </w:pPr>
      <w:r w:rsidRPr="009C3A27">
        <w:rPr>
          <w:rFonts w:ascii="Arial" w:hAnsi="Arial" w:cs="Arial"/>
          <w:sz w:val="23"/>
          <w:szCs w:val="23"/>
        </w:rPr>
        <w:t>Yours truly,</w:t>
      </w:r>
    </w:p>
    <w:p w:rsidR="00C0382E" w:rsidRPr="009C3A27" w:rsidRDefault="00C0382E" w:rsidP="00C0382E">
      <w:pPr>
        <w:pStyle w:val="NoSpacing"/>
        <w:rPr>
          <w:rFonts w:ascii="Arial" w:hAnsi="Arial" w:cs="Arial"/>
          <w:sz w:val="23"/>
          <w:szCs w:val="23"/>
        </w:rPr>
      </w:pPr>
    </w:p>
    <w:p w:rsidR="00C0382E" w:rsidRPr="004E12D8" w:rsidRDefault="004E12D8" w:rsidP="00C0382E">
      <w:pPr>
        <w:pStyle w:val="NoSpacing"/>
        <w:rPr>
          <w:rFonts w:ascii="Arial" w:hAnsi="Arial" w:cs="Arial"/>
          <w:i/>
          <w:sz w:val="23"/>
          <w:szCs w:val="23"/>
        </w:rPr>
      </w:pPr>
      <w:proofErr w:type="spellStart"/>
      <w:r>
        <w:rPr>
          <w:rFonts w:ascii="Arial" w:hAnsi="Arial" w:cs="Arial"/>
          <w:i/>
          <w:sz w:val="23"/>
          <w:szCs w:val="23"/>
        </w:rPr>
        <w:t>B.Harper</w:t>
      </w:r>
      <w:proofErr w:type="spellEnd"/>
      <w:r w:rsidR="00765D4F">
        <w:rPr>
          <w:rFonts w:ascii="Arial" w:hAnsi="Arial" w:cs="Arial"/>
          <w:i/>
          <w:sz w:val="23"/>
          <w:szCs w:val="23"/>
        </w:rPr>
        <w:t xml:space="preserve"> </w:t>
      </w:r>
      <w:r w:rsidRPr="004E12D8">
        <w:rPr>
          <w:rFonts w:ascii="Arial" w:hAnsi="Arial" w:cs="Arial"/>
          <w:i/>
          <w:sz w:val="23"/>
          <w:szCs w:val="23"/>
        </w:rPr>
        <w:t xml:space="preserve">/for </w:t>
      </w:r>
    </w:p>
    <w:p w:rsidR="00C0382E" w:rsidRPr="009C3A27" w:rsidRDefault="00C0382E" w:rsidP="00C0382E">
      <w:pPr>
        <w:pStyle w:val="NoSpacing"/>
        <w:rPr>
          <w:rFonts w:ascii="Arial" w:hAnsi="Arial" w:cs="Arial"/>
          <w:sz w:val="23"/>
          <w:szCs w:val="23"/>
        </w:rPr>
      </w:pPr>
      <w:r w:rsidRPr="009C3A27">
        <w:rPr>
          <w:rFonts w:ascii="Arial" w:hAnsi="Arial" w:cs="Arial"/>
          <w:sz w:val="23"/>
          <w:szCs w:val="23"/>
        </w:rPr>
        <w:t xml:space="preserve">Michael </w:t>
      </w:r>
      <w:proofErr w:type="spellStart"/>
      <w:r w:rsidRPr="009C3A27">
        <w:rPr>
          <w:rFonts w:ascii="Arial" w:hAnsi="Arial" w:cs="Arial"/>
          <w:sz w:val="23"/>
          <w:szCs w:val="23"/>
        </w:rPr>
        <w:t>Janigan</w:t>
      </w:r>
      <w:proofErr w:type="spellEnd"/>
    </w:p>
    <w:p w:rsidR="00C0382E" w:rsidRPr="009C3A27" w:rsidRDefault="00C0382E" w:rsidP="00C0382E">
      <w:pPr>
        <w:pStyle w:val="NoSpacing"/>
        <w:rPr>
          <w:rFonts w:ascii="Arial" w:hAnsi="Arial" w:cs="Arial"/>
          <w:sz w:val="23"/>
          <w:szCs w:val="23"/>
        </w:rPr>
      </w:pPr>
      <w:r w:rsidRPr="009C3A27">
        <w:rPr>
          <w:rFonts w:ascii="Arial" w:hAnsi="Arial" w:cs="Arial"/>
          <w:sz w:val="23"/>
          <w:szCs w:val="23"/>
        </w:rPr>
        <w:t>Counsel for VECC</w:t>
      </w:r>
    </w:p>
    <w:p w:rsidR="00323310" w:rsidRPr="009C3A27" w:rsidRDefault="00323310" w:rsidP="00C0382E">
      <w:pPr>
        <w:pStyle w:val="NoSpacing"/>
        <w:rPr>
          <w:rFonts w:ascii="Arial" w:hAnsi="Arial" w:cs="Arial"/>
          <w:color w:val="0000FF"/>
          <w:sz w:val="23"/>
          <w:szCs w:val="23"/>
        </w:rPr>
      </w:pPr>
    </w:p>
    <w:p w:rsidR="00053B42" w:rsidRPr="00DF2052" w:rsidRDefault="00053B42" w:rsidP="005516FC">
      <w:pPr>
        <w:autoSpaceDE w:val="0"/>
        <w:autoSpaceDN w:val="0"/>
        <w:adjustRightInd w:val="0"/>
        <w:spacing w:after="0" w:line="240" w:lineRule="auto"/>
        <w:rPr>
          <w:rFonts w:ascii="Arial" w:eastAsia="Times New Roman" w:hAnsi="Arial" w:cs="Arial"/>
          <w:sz w:val="23"/>
          <w:szCs w:val="23"/>
          <w:lang w:val="en-US" w:eastAsia="en-US"/>
        </w:rPr>
      </w:pPr>
      <w:r w:rsidRPr="0039472E">
        <w:rPr>
          <w:rFonts w:ascii="Arial" w:eastAsia="Times New Roman" w:hAnsi="Arial" w:cs="Arial"/>
          <w:sz w:val="23"/>
          <w:szCs w:val="23"/>
          <w:lang w:val="en-US" w:eastAsia="en-US"/>
        </w:rPr>
        <w:t>cc.</w:t>
      </w:r>
      <w:r w:rsidRPr="0039472E">
        <w:rPr>
          <w:rFonts w:ascii="Arial" w:eastAsia="Times New Roman" w:hAnsi="Arial" w:cs="Arial"/>
          <w:sz w:val="23"/>
          <w:szCs w:val="23"/>
          <w:lang w:val="en-US" w:eastAsia="en-US"/>
        </w:rPr>
        <w:tab/>
      </w:r>
      <w:r w:rsidR="0039472E" w:rsidRPr="00DF2052">
        <w:rPr>
          <w:rFonts w:ascii="Arial" w:eastAsia="Times New Roman" w:hAnsi="Arial" w:cs="Arial"/>
          <w:sz w:val="23"/>
          <w:szCs w:val="23"/>
          <w:lang w:val="en-US" w:eastAsia="en-US"/>
        </w:rPr>
        <w:t xml:space="preserve">Ontario Energy Board, </w:t>
      </w:r>
      <w:r w:rsidRPr="00DF2052">
        <w:rPr>
          <w:rFonts w:ascii="Arial" w:eastAsia="Times New Roman" w:hAnsi="Arial" w:cs="Arial"/>
          <w:sz w:val="23"/>
          <w:szCs w:val="23"/>
          <w:lang w:val="en-US" w:eastAsia="en-US"/>
        </w:rPr>
        <w:t>Board Secretary</w:t>
      </w:r>
    </w:p>
    <w:p w:rsidR="0039472E" w:rsidRDefault="00B659EB" w:rsidP="00DF2052">
      <w:pPr>
        <w:autoSpaceDE w:val="0"/>
        <w:autoSpaceDN w:val="0"/>
        <w:adjustRightInd w:val="0"/>
        <w:spacing w:after="0" w:line="240" w:lineRule="auto"/>
        <w:ind w:firstLine="720"/>
        <w:rPr>
          <w:rFonts w:ascii="Arial" w:eastAsia="Times New Roman" w:hAnsi="Arial" w:cs="Arial"/>
          <w:sz w:val="23"/>
          <w:szCs w:val="23"/>
          <w:lang w:val="en-US" w:eastAsia="en-US"/>
        </w:rPr>
      </w:pPr>
      <w:r>
        <w:rPr>
          <w:rFonts w:ascii="Arial" w:eastAsia="Times New Roman" w:hAnsi="Arial" w:cs="Arial"/>
          <w:sz w:val="23"/>
          <w:szCs w:val="23"/>
          <w:lang w:val="en-US" w:eastAsia="en-US"/>
        </w:rPr>
        <w:t>Georgette Vlahos</w:t>
      </w:r>
      <w:r w:rsidR="0039472E" w:rsidRPr="00DF2052">
        <w:rPr>
          <w:rFonts w:ascii="Arial" w:eastAsia="Times New Roman" w:hAnsi="Arial" w:cs="Arial"/>
          <w:sz w:val="23"/>
          <w:szCs w:val="23"/>
          <w:lang w:val="en-US" w:eastAsia="en-US"/>
        </w:rPr>
        <w:t xml:space="preserve">, </w:t>
      </w:r>
      <w:hyperlink r:id="rId10" w:history="1">
        <w:r w:rsidR="00BF4D88" w:rsidRPr="00C811C5">
          <w:rPr>
            <w:rStyle w:val="Hyperlink"/>
            <w:rFonts w:ascii="Arial" w:eastAsia="Times New Roman" w:hAnsi="Arial" w:cs="Arial"/>
            <w:sz w:val="23"/>
            <w:szCs w:val="23"/>
            <w:lang w:val="en-US" w:eastAsia="en-US"/>
          </w:rPr>
          <w:t>Georgette.Vlahos@ontarioenergyboard.ca</w:t>
        </w:r>
      </w:hyperlink>
    </w:p>
    <w:p w:rsidR="0007594E" w:rsidRPr="00DF2052" w:rsidRDefault="00053B42" w:rsidP="00DF2052">
      <w:pPr>
        <w:autoSpaceDE w:val="0"/>
        <w:autoSpaceDN w:val="0"/>
        <w:adjustRightInd w:val="0"/>
        <w:spacing w:after="0" w:line="240" w:lineRule="auto"/>
        <w:ind w:firstLine="720"/>
        <w:rPr>
          <w:rFonts w:ascii="Arial" w:eastAsia="Times New Roman" w:hAnsi="Arial" w:cs="Arial"/>
          <w:sz w:val="23"/>
          <w:szCs w:val="23"/>
          <w:lang w:val="en-US" w:eastAsia="en-US"/>
        </w:rPr>
      </w:pPr>
      <w:r w:rsidRPr="00DF2052">
        <w:rPr>
          <w:rFonts w:ascii="Arial" w:eastAsia="Times New Roman" w:hAnsi="Arial" w:cs="Arial"/>
          <w:sz w:val="23"/>
          <w:szCs w:val="23"/>
          <w:lang w:val="en-US" w:eastAsia="en-US"/>
        </w:rPr>
        <w:t>Registered Intervenors</w:t>
      </w:r>
    </w:p>
    <w:p w:rsidR="00323310" w:rsidRPr="00C3520A" w:rsidRDefault="00323310" w:rsidP="00C0382E">
      <w:pPr>
        <w:pStyle w:val="NoSpacing"/>
        <w:rPr>
          <w:color w:val="0000FF"/>
        </w:rPr>
        <w:sectPr w:rsidR="00323310" w:rsidRPr="00C3520A" w:rsidSect="002C38BB">
          <w:footerReference w:type="default" r:id="rId11"/>
          <w:pgSz w:w="12240" w:h="15840"/>
          <w:pgMar w:top="1440" w:right="1440" w:bottom="1440" w:left="1440" w:header="1440" w:footer="1440" w:gutter="0"/>
          <w:pgNumType w:start="1"/>
          <w:cols w:space="720"/>
          <w:noEndnote/>
        </w:sectPr>
      </w:pPr>
    </w:p>
    <w:p w:rsidR="00BF146B" w:rsidRDefault="00390788" w:rsidP="00847560">
      <w:pPr>
        <w:spacing w:after="0"/>
        <w:jc w:val="center"/>
        <w:rPr>
          <w:rFonts w:ascii="Arial" w:eastAsia="Times New Roman" w:hAnsi="Arial" w:cs="Arial"/>
          <w:b/>
          <w:sz w:val="24"/>
          <w:szCs w:val="24"/>
          <w:lang w:val="en-US" w:eastAsia="en-US"/>
        </w:rPr>
      </w:pPr>
      <w:r>
        <w:rPr>
          <w:rFonts w:ascii="Arial" w:eastAsia="Times New Roman" w:hAnsi="Arial" w:cs="Arial"/>
          <w:b/>
          <w:sz w:val="24"/>
          <w:szCs w:val="24"/>
          <w:lang w:val="en-US" w:eastAsia="en-US"/>
        </w:rPr>
        <w:lastRenderedPageBreak/>
        <w:t>WASAGA</w:t>
      </w:r>
      <w:r w:rsidR="009C3A27" w:rsidRPr="009C3A27">
        <w:rPr>
          <w:rFonts w:ascii="Arial" w:eastAsia="Times New Roman" w:hAnsi="Arial" w:cs="Arial"/>
          <w:b/>
          <w:sz w:val="24"/>
          <w:szCs w:val="24"/>
          <w:lang w:val="en-US" w:eastAsia="en-US"/>
        </w:rPr>
        <w:t xml:space="preserve"> </w:t>
      </w:r>
      <w:r>
        <w:rPr>
          <w:rFonts w:ascii="Arial" w:eastAsia="Times New Roman" w:hAnsi="Arial" w:cs="Arial"/>
          <w:b/>
          <w:sz w:val="24"/>
          <w:szCs w:val="24"/>
          <w:lang w:val="en-US" w:eastAsia="en-US"/>
        </w:rPr>
        <w:t>DISTRIBUTION INC.</w:t>
      </w:r>
      <w:r w:rsidR="00BF146B">
        <w:rPr>
          <w:rFonts w:ascii="Arial" w:eastAsia="Times New Roman" w:hAnsi="Arial" w:cs="Arial"/>
          <w:b/>
          <w:sz w:val="24"/>
          <w:szCs w:val="24"/>
          <w:lang w:val="en-US" w:eastAsia="en-US"/>
        </w:rPr>
        <w:t xml:space="preserve"> (“</w:t>
      </w:r>
      <w:proofErr w:type="spellStart"/>
      <w:r w:rsidR="00BF146B">
        <w:rPr>
          <w:rFonts w:ascii="Arial" w:eastAsia="Times New Roman" w:hAnsi="Arial" w:cs="Arial"/>
          <w:b/>
          <w:sz w:val="24"/>
          <w:szCs w:val="24"/>
          <w:lang w:val="en-US" w:eastAsia="en-US"/>
        </w:rPr>
        <w:t>Wasaga</w:t>
      </w:r>
      <w:proofErr w:type="spellEnd"/>
      <w:r w:rsidR="00BF146B">
        <w:rPr>
          <w:rFonts w:ascii="Arial" w:eastAsia="Times New Roman" w:hAnsi="Arial" w:cs="Arial"/>
          <w:b/>
          <w:sz w:val="24"/>
          <w:szCs w:val="24"/>
          <w:lang w:val="en-US" w:eastAsia="en-US"/>
        </w:rPr>
        <w:t>”)</w:t>
      </w:r>
    </w:p>
    <w:p w:rsidR="005516FC" w:rsidRPr="009C3A27" w:rsidRDefault="00390788" w:rsidP="00847560">
      <w:pPr>
        <w:spacing w:after="0"/>
        <w:jc w:val="center"/>
        <w:rPr>
          <w:rFonts w:ascii="Arial" w:eastAsia="Times New Roman" w:hAnsi="Arial" w:cs="Arial"/>
          <w:b/>
          <w:sz w:val="24"/>
          <w:szCs w:val="24"/>
          <w:lang w:val="en-US" w:eastAsia="en-US"/>
        </w:rPr>
      </w:pPr>
      <w:r>
        <w:rPr>
          <w:rFonts w:ascii="Arial" w:eastAsia="Times New Roman" w:hAnsi="Arial" w:cs="Arial"/>
          <w:b/>
          <w:sz w:val="24"/>
          <w:szCs w:val="24"/>
          <w:lang w:val="en-US" w:eastAsia="en-US"/>
        </w:rPr>
        <w:t xml:space="preserve"> </w:t>
      </w:r>
      <w:r w:rsidR="009C3A27" w:rsidRPr="009C3A27">
        <w:rPr>
          <w:rFonts w:ascii="Arial" w:eastAsia="Times New Roman" w:hAnsi="Arial" w:cs="Arial"/>
          <w:b/>
          <w:sz w:val="24"/>
          <w:szCs w:val="24"/>
          <w:lang w:val="en-US" w:eastAsia="en-US"/>
        </w:rPr>
        <w:t>2016 RATE APPLICATION (EB-2015-0</w:t>
      </w:r>
      <w:r>
        <w:rPr>
          <w:rFonts w:ascii="Arial" w:eastAsia="Times New Roman" w:hAnsi="Arial" w:cs="Arial"/>
          <w:b/>
          <w:sz w:val="24"/>
          <w:szCs w:val="24"/>
          <w:lang w:val="en-US" w:eastAsia="en-US"/>
        </w:rPr>
        <w:t>107</w:t>
      </w:r>
      <w:r w:rsidR="009C3A27" w:rsidRPr="009C3A27">
        <w:rPr>
          <w:rFonts w:ascii="Arial" w:eastAsia="Times New Roman" w:hAnsi="Arial" w:cs="Arial"/>
          <w:b/>
          <w:sz w:val="24"/>
          <w:szCs w:val="24"/>
          <w:lang w:val="en-US" w:eastAsia="en-US"/>
        </w:rPr>
        <w:t>)</w:t>
      </w:r>
    </w:p>
    <w:p w:rsidR="009C3A27" w:rsidRDefault="009C3A27" w:rsidP="00847560">
      <w:pPr>
        <w:pBdr>
          <w:bottom w:val="single" w:sz="6" w:space="1" w:color="auto"/>
        </w:pBdr>
        <w:spacing w:after="0"/>
        <w:jc w:val="center"/>
        <w:rPr>
          <w:rFonts w:ascii="Arial" w:eastAsia="Times New Roman" w:hAnsi="Arial" w:cs="Arial"/>
          <w:b/>
          <w:sz w:val="24"/>
          <w:szCs w:val="24"/>
          <w:lang w:val="en-US" w:eastAsia="en-US"/>
        </w:rPr>
      </w:pPr>
      <w:r w:rsidRPr="00BF146B">
        <w:rPr>
          <w:rFonts w:ascii="Arial" w:eastAsia="Times New Roman" w:hAnsi="Arial" w:cs="Arial"/>
          <w:b/>
          <w:sz w:val="24"/>
          <w:szCs w:val="24"/>
          <w:lang w:val="en-US" w:eastAsia="en-US"/>
        </w:rPr>
        <w:t>VECC’S PRE-ADR CLARIFICATION QUESTIONS</w:t>
      </w:r>
    </w:p>
    <w:p w:rsidR="00BF146B" w:rsidRPr="00BF146B" w:rsidRDefault="00BF146B" w:rsidP="00847560">
      <w:pPr>
        <w:spacing w:after="0"/>
        <w:jc w:val="center"/>
        <w:rPr>
          <w:rFonts w:ascii="Arial" w:eastAsia="Times New Roman" w:hAnsi="Arial" w:cs="Arial"/>
          <w:b/>
          <w:sz w:val="24"/>
          <w:szCs w:val="24"/>
          <w:lang w:val="en-US" w:eastAsia="en-US"/>
        </w:rPr>
      </w:pPr>
    </w:p>
    <w:p w:rsidR="005516FC" w:rsidRPr="005516FC" w:rsidRDefault="005516FC" w:rsidP="00847560">
      <w:pPr>
        <w:widowControl w:val="0"/>
        <w:tabs>
          <w:tab w:val="left" w:pos="625"/>
          <w:tab w:val="left" w:pos="6090"/>
        </w:tabs>
        <w:spacing w:before="13" w:after="0"/>
        <w:ind w:right="360"/>
        <w:rPr>
          <w:rFonts w:ascii="Arial" w:eastAsia="Arial" w:hAnsi="Arial" w:cs="Arial"/>
          <w:b/>
          <w:sz w:val="24"/>
          <w:szCs w:val="24"/>
          <w:lang w:val="en-US" w:eastAsia="en-US"/>
        </w:rPr>
      </w:pPr>
    </w:p>
    <w:p w:rsidR="005516FC" w:rsidRPr="00BF146B" w:rsidRDefault="005516FC" w:rsidP="00C55676">
      <w:pPr>
        <w:widowControl w:val="0"/>
        <w:tabs>
          <w:tab w:val="left" w:pos="625"/>
        </w:tabs>
        <w:spacing w:before="13" w:after="0"/>
        <w:ind w:right="360"/>
        <w:rPr>
          <w:rFonts w:ascii="Arial" w:eastAsia="Arial" w:hAnsi="Arial" w:cs="Arial"/>
          <w:sz w:val="24"/>
          <w:szCs w:val="24"/>
          <w:lang w:val="en-US" w:eastAsia="en-US"/>
        </w:rPr>
      </w:pPr>
      <w:r w:rsidRPr="00BF146B">
        <w:rPr>
          <w:rFonts w:ascii="Arial" w:eastAsia="Arial" w:hAnsi="Arial" w:cs="Arial"/>
          <w:b/>
          <w:bCs/>
          <w:sz w:val="24"/>
          <w:szCs w:val="24"/>
          <w:lang w:val="en-US" w:eastAsia="en-US"/>
        </w:rPr>
        <w:t>3.0</w:t>
      </w:r>
      <w:r w:rsidRPr="00BF146B">
        <w:rPr>
          <w:rFonts w:ascii="Arial" w:eastAsia="Arial" w:hAnsi="Arial" w:cs="Arial"/>
          <w:b/>
          <w:bCs/>
          <w:sz w:val="24"/>
          <w:szCs w:val="24"/>
          <w:lang w:val="en-US" w:eastAsia="en-US"/>
        </w:rPr>
        <w:tab/>
        <w:t>OPERATING REVENUE (EXHIBIT 3)</w:t>
      </w:r>
    </w:p>
    <w:p w:rsidR="005516FC" w:rsidRPr="005516FC" w:rsidRDefault="005516FC" w:rsidP="00C55676">
      <w:pPr>
        <w:widowControl w:val="0"/>
        <w:tabs>
          <w:tab w:val="left" w:pos="625"/>
        </w:tabs>
        <w:spacing w:before="13" w:after="0"/>
        <w:ind w:left="625" w:right="360"/>
        <w:jc w:val="both"/>
        <w:rPr>
          <w:rFonts w:ascii="Arial" w:eastAsia="Arial" w:hAnsi="Arial" w:cs="Arial"/>
          <w:sz w:val="24"/>
          <w:szCs w:val="24"/>
          <w:lang w:val="en-US" w:eastAsia="en-US"/>
        </w:rPr>
      </w:pPr>
    </w:p>
    <w:p w:rsidR="005516FC" w:rsidRPr="005F0E78" w:rsidRDefault="00364442" w:rsidP="00C55676">
      <w:pPr>
        <w:widowControl w:val="0"/>
        <w:tabs>
          <w:tab w:val="left" w:pos="625"/>
        </w:tabs>
        <w:spacing w:before="13" w:after="0"/>
        <w:ind w:left="625" w:right="360"/>
        <w:jc w:val="both"/>
        <w:rPr>
          <w:rFonts w:ascii="Arial" w:eastAsia="Arial" w:hAnsi="Arial" w:cs="Arial"/>
          <w:b/>
          <w:sz w:val="24"/>
          <w:szCs w:val="24"/>
          <w:lang w:val="en-US" w:eastAsia="en-US"/>
        </w:rPr>
      </w:pPr>
      <w:r w:rsidRPr="005F0E78">
        <w:rPr>
          <w:rFonts w:ascii="Arial" w:eastAsia="Arial" w:hAnsi="Arial" w:cs="Arial"/>
          <w:b/>
          <w:sz w:val="24"/>
          <w:szCs w:val="24"/>
          <w:lang w:val="en-US" w:eastAsia="en-US"/>
        </w:rPr>
        <w:t xml:space="preserve">VECC </w:t>
      </w:r>
      <w:r w:rsidR="009C3A27" w:rsidRPr="005F0E78">
        <w:rPr>
          <w:rFonts w:ascii="Arial" w:eastAsia="Arial" w:hAnsi="Arial" w:cs="Arial"/>
          <w:b/>
          <w:sz w:val="24"/>
          <w:szCs w:val="24"/>
          <w:lang w:val="en-US" w:eastAsia="en-US"/>
        </w:rPr>
        <w:t>–CQ</w:t>
      </w:r>
      <w:r w:rsidR="005F0E78" w:rsidRPr="005F0E78">
        <w:rPr>
          <w:rFonts w:ascii="Arial" w:eastAsia="Arial" w:hAnsi="Arial" w:cs="Arial"/>
          <w:b/>
          <w:sz w:val="24"/>
          <w:szCs w:val="24"/>
          <w:lang w:val="en-US" w:eastAsia="en-US"/>
        </w:rPr>
        <w:t xml:space="preserve"> </w:t>
      </w:r>
      <w:r w:rsidR="00B659EB">
        <w:rPr>
          <w:rFonts w:ascii="Arial" w:eastAsia="Arial" w:hAnsi="Arial" w:cs="Arial"/>
          <w:b/>
          <w:sz w:val="24"/>
          <w:szCs w:val="24"/>
          <w:lang w:val="en-US" w:eastAsia="en-US"/>
        </w:rPr>
        <w:t>41</w:t>
      </w:r>
    </w:p>
    <w:p w:rsidR="00872090" w:rsidRDefault="005516FC" w:rsidP="00C55676">
      <w:pPr>
        <w:widowControl w:val="0"/>
        <w:tabs>
          <w:tab w:val="left" w:pos="625"/>
        </w:tabs>
        <w:spacing w:after="0"/>
        <w:ind w:left="658" w:right="357"/>
        <w:jc w:val="both"/>
        <w:rPr>
          <w:rFonts w:ascii="Arial" w:eastAsia="Arial" w:hAnsi="Arial" w:cs="Arial"/>
          <w:sz w:val="24"/>
          <w:szCs w:val="24"/>
          <w:lang w:val="en-US" w:eastAsia="en-US"/>
        </w:rPr>
      </w:pPr>
      <w:r w:rsidRPr="005516FC">
        <w:rPr>
          <w:rFonts w:ascii="Arial" w:eastAsia="Arial" w:hAnsi="Arial" w:cs="Arial"/>
          <w:sz w:val="24"/>
          <w:szCs w:val="24"/>
          <w:lang w:val="en-US" w:eastAsia="en-US"/>
        </w:rPr>
        <w:t xml:space="preserve">Reference: </w:t>
      </w:r>
      <w:r w:rsidRPr="005516FC">
        <w:rPr>
          <w:rFonts w:ascii="Arial" w:eastAsia="Arial" w:hAnsi="Arial" w:cs="Arial"/>
          <w:sz w:val="24"/>
          <w:szCs w:val="24"/>
          <w:lang w:val="en-US" w:eastAsia="en-US"/>
        </w:rPr>
        <w:tab/>
      </w:r>
      <w:r w:rsidR="00B659EB">
        <w:rPr>
          <w:rFonts w:ascii="Arial" w:eastAsia="Arial" w:hAnsi="Arial" w:cs="Arial"/>
          <w:sz w:val="24"/>
          <w:szCs w:val="24"/>
          <w:lang w:val="en-US" w:eastAsia="en-US"/>
        </w:rPr>
        <w:t>Energy Probe #8</w:t>
      </w:r>
    </w:p>
    <w:p w:rsidR="005516FC" w:rsidRPr="005516FC" w:rsidRDefault="005516FC" w:rsidP="00C55676">
      <w:pPr>
        <w:widowControl w:val="0"/>
        <w:tabs>
          <w:tab w:val="left" w:pos="625"/>
        </w:tabs>
        <w:spacing w:before="13" w:after="0"/>
        <w:ind w:left="660" w:right="360"/>
        <w:jc w:val="both"/>
        <w:rPr>
          <w:rFonts w:ascii="Arial" w:eastAsia="Arial" w:hAnsi="Arial" w:cs="Arial"/>
          <w:sz w:val="24"/>
          <w:szCs w:val="24"/>
          <w:lang w:val="en-US" w:eastAsia="en-US"/>
        </w:rPr>
      </w:pPr>
    </w:p>
    <w:p w:rsidR="00B659EB" w:rsidRDefault="00B659EB" w:rsidP="00C55676">
      <w:pPr>
        <w:widowControl w:val="0"/>
        <w:numPr>
          <w:ilvl w:val="0"/>
          <w:numId w:val="2"/>
        </w:numPr>
        <w:tabs>
          <w:tab w:val="left" w:pos="625"/>
        </w:tabs>
        <w:spacing w:before="13" w:after="0"/>
        <w:ind w:right="360"/>
        <w:contextualSpacing/>
        <w:jc w:val="both"/>
        <w:rPr>
          <w:rFonts w:ascii="Arial" w:eastAsia="Arial" w:hAnsi="Arial" w:cs="Arial"/>
          <w:sz w:val="24"/>
          <w:szCs w:val="24"/>
          <w:lang w:val="en-US" w:eastAsia="en-US"/>
        </w:rPr>
      </w:pPr>
      <w:r>
        <w:rPr>
          <w:rFonts w:ascii="Arial" w:eastAsia="Arial" w:hAnsi="Arial" w:cs="Arial"/>
          <w:sz w:val="24"/>
          <w:szCs w:val="24"/>
          <w:lang w:val="en-US" w:eastAsia="en-US"/>
        </w:rPr>
        <w:t xml:space="preserve">Please confirm that </w:t>
      </w:r>
      <w:proofErr w:type="spellStart"/>
      <w:r>
        <w:rPr>
          <w:rFonts w:ascii="Arial" w:eastAsia="Arial" w:hAnsi="Arial" w:cs="Arial"/>
          <w:sz w:val="24"/>
          <w:szCs w:val="24"/>
          <w:lang w:val="en-US" w:eastAsia="en-US"/>
        </w:rPr>
        <w:t>Wasaga</w:t>
      </w:r>
      <w:proofErr w:type="spellEnd"/>
      <w:r>
        <w:rPr>
          <w:rFonts w:ascii="Arial" w:eastAsia="Arial" w:hAnsi="Arial" w:cs="Arial"/>
          <w:sz w:val="24"/>
          <w:szCs w:val="24"/>
          <w:lang w:val="en-US" w:eastAsia="en-US"/>
        </w:rPr>
        <w:t xml:space="preserve"> has not been contacted by any potential GS&gt;50 customers with a view to receiving service starting in either 2015 or 2016.</w:t>
      </w:r>
    </w:p>
    <w:p w:rsidR="00DA22B0" w:rsidRDefault="00DA22B0" w:rsidP="00C55676">
      <w:pPr>
        <w:widowControl w:val="0"/>
        <w:tabs>
          <w:tab w:val="left" w:pos="625"/>
        </w:tabs>
        <w:spacing w:before="13" w:after="0"/>
        <w:ind w:right="360"/>
        <w:contextualSpacing/>
        <w:jc w:val="both"/>
        <w:rPr>
          <w:rFonts w:ascii="Arial" w:eastAsia="Arial" w:hAnsi="Arial" w:cs="Arial"/>
          <w:sz w:val="24"/>
          <w:szCs w:val="24"/>
          <w:lang w:val="en-US" w:eastAsia="en-US"/>
        </w:rPr>
      </w:pPr>
    </w:p>
    <w:p w:rsidR="00DA22B0" w:rsidRPr="005F0E78" w:rsidRDefault="00DA22B0" w:rsidP="00C55676">
      <w:pPr>
        <w:widowControl w:val="0"/>
        <w:tabs>
          <w:tab w:val="left" w:pos="625"/>
        </w:tabs>
        <w:spacing w:before="13" w:after="0"/>
        <w:ind w:left="625" w:right="360"/>
        <w:jc w:val="both"/>
        <w:rPr>
          <w:rFonts w:ascii="Arial" w:eastAsia="Arial" w:hAnsi="Arial" w:cs="Arial"/>
          <w:b/>
          <w:sz w:val="24"/>
          <w:szCs w:val="24"/>
          <w:lang w:val="en-US" w:eastAsia="en-US"/>
        </w:rPr>
      </w:pPr>
      <w:r w:rsidRPr="005F0E78">
        <w:rPr>
          <w:rFonts w:ascii="Arial" w:eastAsia="Arial" w:hAnsi="Arial" w:cs="Arial"/>
          <w:b/>
          <w:sz w:val="24"/>
          <w:szCs w:val="24"/>
          <w:lang w:val="en-US" w:eastAsia="en-US"/>
        </w:rPr>
        <w:t xml:space="preserve">VECC </w:t>
      </w:r>
      <w:r w:rsidR="00B659EB">
        <w:rPr>
          <w:rFonts w:ascii="Arial" w:eastAsia="Arial" w:hAnsi="Arial" w:cs="Arial"/>
          <w:b/>
          <w:sz w:val="24"/>
          <w:szCs w:val="24"/>
          <w:lang w:val="en-US" w:eastAsia="en-US"/>
        </w:rPr>
        <w:t>– CQ 42</w:t>
      </w:r>
    </w:p>
    <w:p w:rsidR="00DA22B0" w:rsidRDefault="00743F2B" w:rsidP="00C55676">
      <w:pPr>
        <w:widowControl w:val="0"/>
        <w:tabs>
          <w:tab w:val="left" w:pos="625"/>
        </w:tabs>
        <w:spacing w:before="13" w:after="0"/>
        <w:ind w:left="660" w:right="360"/>
        <w:jc w:val="both"/>
        <w:rPr>
          <w:rFonts w:ascii="Arial" w:eastAsia="Arial" w:hAnsi="Arial" w:cs="Arial"/>
          <w:sz w:val="24"/>
          <w:szCs w:val="24"/>
          <w:lang w:val="en-US" w:eastAsia="en-US"/>
        </w:rPr>
      </w:pPr>
      <w:r>
        <w:rPr>
          <w:rFonts w:ascii="Arial" w:eastAsia="Arial" w:hAnsi="Arial" w:cs="Arial"/>
          <w:sz w:val="24"/>
          <w:szCs w:val="24"/>
          <w:lang w:val="en-US" w:eastAsia="en-US"/>
        </w:rPr>
        <w:t xml:space="preserve">Reference: </w:t>
      </w:r>
      <w:r>
        <w:rPr>
          <w:rFonts w:ascii="Arial" w:eastAsia="Arial" w:hAnsi="Arial" w:cs="Arial"/>
          <w:sz w:val="24"/>
          <w:szCs w:val="24"/>
          <w:lang w:val="en-US" w:eastAsia="en-US"/>
        </w:rPr>
        <w:tab/>
      </w:r>
      <w:r w:rsidR="00B659EB">
        <w:rPr>
          <w:rFonts w:ascii="Arial" w:eastAsia="Arial" w:hAnsi="Arial" w:cs="Arial"/>
          <w:sz w:val="24"/>
          <w:szCs w:val="24"/>
          <w:lang w:val="en-US" w:eastAsia="en-US"/>
        </w:rPr>
        <w:t>VECC #14 c)</w:t>
      </w:r>
    </w:p>
    <w:p w:rsidR="00B659EB" w:rsidRDefault="00B659EB" w:rsidP="00C55676">
      <w:pPr>
        <w:widowControl w:val="0"/>
        <w:tabs>
          <w:tab w:val="left" w:pos="625"/>
        </w:tabs>
        <w:spacing w:before="13" w:after="0"/>
        <w:ind w:left="660" w:right="360"/>
        <w:jc w:val="both"/>
        <w:rPr>
          <w:rFonts w:ascii="Arial" w:eastAsia="Arial" w:hAnsi="Arial" w:cs="Arial"/>
          <w:sz w:val="24"/>
          <w:szCs w:val="24"/>
          <w:lang w:val="en-US" w:eastAsia="en-US"/>
        </w:rPr>
      </w:pPr>
      <w:r>
        <w:rPr>
          <w:rFonts w:ascii="Arial" w:eastAsia="Arial" w:hAnsi="Arial" w:cs="Arial"/>
          <w:sz w:val="24"/>
          <w:szCs w:val="24"/>
          <w:lang w:val="en-US" w:eastAsia="en-US"/>
        </w:rPr>
        <w:tab/>
      </w:r>
      <w:r>
        <w:rPr>
          <w:rFonts w:ascii="Arial" w:eastAsia="Arial" w:hAnsi="Arial" w:cs="Arial"/>
          <w:sz w:val="24"/>
          <w:szCs w:val="24"/>
          <w:lang w:val="en-US" w:eastAsia="en-US"/>
        </w:rPr>
        <w:tab/>
      </w:r>
      <w:r>
        <w:rPr>
          <w:rFonts w:ascii="Arial" w:eastAsia="Arial" w:hAnsi="Arial" w:cs="Arial"/>
          <w:sz w:val="24"/>
          <w:szCs w:val="24"/>
          <w:lang w:val="en-US" w:eastAsia="en-US"/>
        </w:rPr>
        <w:tab/>
        <w:t>Energy Probe 10</w:t>
      </w:r>
    </w:p>
    <w:p w:rsidR="00DA22B0" w:rsidRPr="005516FC" w:rsidRDefault="00DA22B0" w:rsidP="00C55676">
      <w:pPr>
        <w:widowControl w:val="0"/>
        <w:tabs>
          <w:tab w:val="left" w:pos="625"/>
        </w:tabs>
        <w:spacing w:before="13" w:after="0"/>
        <w:ind w:left="660" w:right="360"/>
        <w:jc w:val="both"/>
        <w:rPr>
          <w:rFonts w:ascii="Arial" w:eastAsia="Arial" w:hAnsi="Arial" w:cs="Arial"/>
          <w:sz w:val="24"/>
          <w:szCs w:val="24"/>
          <w:lang w:val="en-US" w:eastAsia="en-US"/>
        </w:rPr>
      </w:pPr>
      <w:r w:rsidRPr="005516FC">
        <w:rPr>
          <w:rFonts w:ascii="Arial" w:eastAsia="Arial" w:hAnsi="Arial" w:cs="Arial"/>
          <w:sz w:val="24"/>
          <w:szCs w:val="24"/>
          <w:lang w:val="en-US" w:eastAsia="en-US"/>
        </w:rPr>
        <w:tab/>
      </w:r>
      <w:r w:rsidRPr="005516FC">
        <w:rPr>
          <w:rFonts w:ascii="Arial" w:eastAsia="Arial" w:hAnsi="Arial" w:cs="Arial"/>
          <w:sz w:val="24"/>
          <w:szCs w:val="24"/>
          <w:lang w:val="en-US" w:eastAsia="en-US"/>
        </w:rPr>
        <w:tab/>
      </w:r>
    </w:p>
    <w:p w:rsidR="00B659EB" w:rsidRDefault="00B659EB" w:rsidP="00C55676">
      <w:pPr>
        <w:widowControl w:val="0"/>
        <w:numPr>
          <w:ilvl w:val="0"/>
          <w:numId w:val="8"/>
        </w:numPr>
        <w:tabs>
          <w:tab w:val="left" w:pos="625"/>
        </w:tabs>
        <w:spacing w:before="13" w:after="0"/>
        <w:ind w:right="360"/>
        <w:contextualSpacing/>
        <w:jc w:val="both"/>
        <w:rPr>
          <w:rFonts w:ascii="Arial" w:eastAsia="Arial" w:hAnsi="Arial" w:cs="Arial"/>
          <w:sz w:val="24"/>
          <w:szCs w:val="24"/>
          <w:lang w:val="en-US" w:eastAsia="en-US"/>
        </w:rPr>
      </w:pPr>
      <w:r>
        <w:rPr>
          <w:rFonts w:ascii="Arial" w:eastAsia="Arial" w:hAnsi="Arial" w:cs="Arial"/>
          <w:sz w:val="24"/>
          <w:szCs w:val="24"/>
          <w:lang w:val="en-US" w:eastAsia="en-US"/>
        </w:rPr>
        <w:t>The response to VECC #14 c) states that CPI and Electricity Price Index were both specifically filtered for Ontario.  However, cells A5 to A7 of Tab X.4 in the updated Load Forecast model (referred to in Energy Probe 10) indicate that the two indexes are for Canada overall.  Please reconcile and correct the Load Forecast model as needed.</w:t>
      </w:r>
    </w:p>
    <w:p w:rsidR="00DA22B0" w:rsidRDefault="00DA22B0" w:rsidP="00C55676">
      <w:pPr>
        <w:widowControl w:val="0"/>
        <w:tabs>
          <w:tab w:val="left" w:pos="625"/>
        </w:tabs>
        <w:spacing w:before="13" w:after="0"/>
        <w:ind w:right="360"/>
        <w:contextualSpacing/>
        <w:jc w:val="both"/>
        <w:rPr>
          <w:rFonts w:ascii="Arial" w:eastAsia="Arial" w:hAnsi="Arial" w:cs="Arial"/>
          <w:sz w:val="24"/>
          <w:szCs w:val="24"/>
          <w:lang w:val="en-US" w:eastAsia="en-US"/>
        </w:rPr>
      </w:pPr>
    </w:p>
    <w:p w:rsidR="00ED3DF5" w:rsidRPr="005F0E78" w:rsidRDefault="00ED3DF5" w:rsidP="00C55676">
      <w:pPr>
        <w:widowControl w:val="0"/>
        <w:tabs>
          <w:tab w:val="left" w:pos="625"/>
        </w:tabs>
        <w:spacing w:before="13" w:after="0"/>
        <w:ind w:left="625" w:right="360"/>
        <w:jc w:val="both"/>
        <w:rPr>
          <w:rFonts w:ascii="Arial" w:eastAsia="Arial" w:hAnsi="Arial" w:cs="Arial"/>
          <w:b/>
          <w:sz w:val="24"/>
          <w:szCs w:val="24"/>
          <w:lang w:val="en-US" w:eastAsia="en-US"/>
        </w:rPr>
      </w:pPr>
      <w:r w:rsidRPr="005F0E78">
        <w:rPr>
          <w:rFonts w:ascii="Arial" w:eastAsia="Arial" w:hAnsi="Arial" w:cs="Arial"/>
          <w:b/>
          <w:sz w:val="24"/>
          <w:szCs w:val="24"/>
          <w:lang w:val="en-US" w:eastAsia="en-US"/>
        </w:rPr>
        <w:t xml:space="preserve">VECC </w:t>
      </w:r>
      <w:r w:rsidR="005F0E78" w:rsidRPr="005F0E78">
        <w:rPr>
          <w:rFonts w:ascii="Arial" w:eastAsia="Arial" w:hAnsi="Arial" w:cs="Arial"/>
          <w:b/>
          <w:sz w:val="24"/>
          <w:szCs w:val="24"/>
          <w:lang w:val="en-US" w:eastAsia="en-US"/>
        </w:rPr>
        <w:t xml:space="preserve">– CQ </w:t>
      </w:r>
      <w:r w:rsidR="00B659EB">
        <w:rPr>
          <w:rFonts w:ascii="Arial" w:eastAsia="Arial" w:hAnsi="Arial" w:cs="Arial"/>
          <w:b/>
          <w:sz w:val="24"/>
          <w:szCs w:val="24"/>
          <w:lang w:val="en-US" w:eastAsia="en-US"/>
        </w:rPr>
        <w:t>43</w:t>
      </w:r>
    </w:p>
    <w:p w:rsidR="00ED3DF5" w:rsidRDefault="00B659EB" w:rsidP="00C55676">
      <w:pPr>
        <w:widowControl w:val="0"/>
        <w:tabs>
          <w:tab w:val="left" w:pos="625"/>
        </w:tabs>
        <w:spacing w:before="13" w:after="0"/>
        <w:ind w:left="660" w:right="360"/>
        <w:jc w:val="both"/>
        <w:rPr>
          <w:rFonts w:ascii="Arial" w:eastAsia="Arial" w:hAnsi="Arial" w:cs="Arial"/>
          <w:sz w:val="24"/>
          <w:szCs w:val="24"/>
          <w:lang w:val="en-US" w:eastAsia="en-US"/>
        </w:rPr>
      </w:pPr>
      <w:r>
        <w:rPr>
          <w:rFonts w:ascii="Arial" w:eastAsia="Arial" w:hAnsi="Arial" w:cs="Arial"/>
          <w:sz w:val="24"/>
          <w:szCs w:val="24"/>
          <w:lang w:val="en-US" w:eastAsia="en-US"/>
        </w:rPr>
        <w:t xml:space="preserve">Reference: </w:t>
      </w:r>
      <w:r>
        <w:rPr>
          <w:rFonts w:ascii="Arial" w:eastAsia="Arial" w:hAnsi="Arial" w:cs="Arial"/>
          <w:sz w:val="24"/>
          <w:szCs w:val="24"/>
          <w:lang w:val="en-US" w:eastAsia="en-US"/>
        </w:rPr>
        <w:tab/>
        <w:t>VECC #14 a)</w:t>
      </w:r>
    </w:p>
    <w:p w:rsidR="00B659EB" w:rsidRDefault="00B659EB" w:rsidP="00C55676">
      <w:pPr>
        <w:widowControl w:val="0"/>
        <w:tabs>
          <w:tab w:val="left" w:pos="625"/>
        </w:tabs>
        <w:spacing w:before="13" w:after="0"/>
        <w:ind w:left="660" w:right="360"/>
        <w:jc w:val="both"/>
        <w:rPr>
          <w:rFonts w:ascii="Arial" w:eastAsia="Arial" w:hAnsi="Arial" w:cs="Arial"/>
          <w:sz w:val="24"/>
          <w:szCs w:val="24"/>
          <w:lang w:val="en-US" w:eastAsia="en-US"/>
        </w:rPr>
      </w:pPr>
      <w:r>
        <w:rPr>
          <w:rFonts w:ascii="Arial" w:eastAsia="Arial" w:hAnsi="Arial" w:cs="Arial"/>
          <w:sz w:val="24"/>
          <w:szCs w:val="24"/>
          <w:lang w:val="en-US" w:eastAsia="en-US"/>
        </w:rPr>
        <w:tab/>
      </w:r>
      <w:r>
        <w:rPr>
          <w:rFonts w:ascii="Arial" w:eastAsia="Arial" w:hAnsi="Arial" w:cs="Arial"/>
          <w:sz w:val="24"/>
          <w:szCs w:val="24"/>
          <w:lang w:val="en-US" w:eastAsia="en-US"/>
        </w:rPr>
        <w:tab/>
      </w:r>
      <w:r>
        <w:rPr>
          <w:rFonts w:ascii="Arial" w:eastAsia="Arial" w:hAnsi="Arial" w:cs="Arial"/>
          <w:sz w:val="24"/>
          <w:szCs w:val="24"/>
          <w:lang w:val="en-US" w:eastAsia="en-US"/>
        </w:rPr>
        <w:tab/>
        <w:t>VECC #16</w:t>
      </w:r>
    </w:p>
    <w:p w:rsidR="00ED3DF5" w:rsidRDefault="00ED3DF5" w:rsidP="00C55676">
      <w:pPr>
        <w:widowControl w:val="0"/>
        <w:tabs>
          <w:tab w:val="left" w:pos="625"/>
        </w:tabs>
        <w:spacing w:before="13" w:after="0"/>
        <w:ind w:left="660" w:right="360"/>
        <w:jc w:val="both"/>
        <w:rPr>
          <w:rFonts w:ascii="Arial" w:eastAsia="Arial" w:hAnsi="Arial" w:cs="Arial"/>
          <w:sz w:val="24"/>
          <w:szCs w:val="24"/>
          <w:lang w:val="en-US" w:eastAsia="en-US"/>
        </w:rPr>
      </w:pPr>
      <w:r w:rsidRPr="005516FC">
        <w:rPr>
          <w:rFonts w:ascii="Arial" w:eastAsia="Arial" w:hAnsi="Arial" w:cs="Arial"/>
          <w:sz w:val="24"/>
          <w:szCs w:val="24"/>
          <w:lang w:val="en-US" w:eastAsia="en-US"/>
        </w:rPr>
        <w:tab/>
      </w:r>
      <w:r w:rsidRPr="005516FC">
        <w:rPr>
          <w:rFonts w:ascii="Arial" w:eastAsia="Arial" w:hAnsi="Arial" w:cs="Arial"/>
          <w:sz w:val="24"/>
          <w:szCs w:val="24"/>
          <w:lang w:val="en-US" w:eastAsia="en-US"/>
        </w:rPr>
        <w:tab/>
      </w:r>
    </w:p>
    <w:p w:rsidR="00B659EB" w:rsidRPr="00B659EB" w:rsidRDefault="00B659EB" w:rsidP="00C55676">
      <w:pPr>
        <w:pStyle w:val="ListParagraph"/>
        <w:numPr>
          <w:ilvl w:val="0"/>
          <w:numId w:val="16"/>
        </w:numPr>
        <w:spacing w:after="120"/>
        <w:rPr>
          <w:rFonts w:ascii="Arial" w:hAnsi="Arial" w:cs="Arial"/>
          <w:sz w:val="24"/>
          <w:szCs w:val="24"/>
        </w:rPr>
      </w:pPr>
      <w:r w:rsidRPr="00B659EB">
        <w:rPr>
          <w:rFonts w:ascii="Arial" w:hAnsi="Arial" w:cs="Arial"/>
          <w:sz w:val="24"/>
          <w:szCs w:val="24"/>
        </w:rPr>
        <w:t>VECC #14 indicates that all customer classes (except Street Light connections) were included in the Customer Count variable.  However the total customer counts used in the model (per Table 3.12) do not match the totals for the individual classes</w:t>
      </w:r>
      <w:r>
        <w:rPr>
          <w:rFonts w:ascii="Arial" w:hAnsi="Arial" w:cs="Arial"/>
          <w:sz w:val="24"/>
          <w:szCs w:val="24"/>
        </w:rPr>
        <w:t xml:space="preserve"> (excluding Street Lighting)</w:t>
      </w:r>
      <w:r w:rsidRPr="00B659EB">
        <w:rPr>
          <w:rFonts w:ascii="Arial" w:hAnsi="Arial" w:cs="Arial"/>
          <w:sz w:val="24"/>
          <w:szCs w:val="24"/>
        </w:rPr>
        <w:t xml:space="preserve"> as reported in VECC 16.  For example, for January 2013 the model used 12,595 whereas the total from VECC 16 is 12,592.</w:t>
      </w:r>
      <w:r>
        <w:rPr>
          <w:rFonts w:ascii="Arial" w:hAnsi="Arial" w:cs="Arial"/>
          <w:sz w:val="24"/>
          <w:szCs w:val="24"/>
        </w:rPr>
        <w:t xml:space="preserve">  Similarly, for February 2013 the model uses 12,601, whereas the total from VECC 16 is 12,596.  Please reconcile and correct VECC 16 and/or the Load Forecast model as needed.</w:t>
      </w:r>
    </w:p>
    <w:p w:rsidR="00ED3DF5" w:rsidRDefault="00ED3DF5" w:rsidP="00C55676">
      <w:pPr>
        <w:widowControl w:val="0"/>
        <w:tabs>
          <w:tab w:val="left" w:pos="625"/>
        </w:tabs>
        <w:spacing w:before="13" w:after="0"/>
        <w:ind w:right="360"/>
        <w:contextualSpacing/>
        <w:jc w:val="both"/>
        <w:rPr>
          <w:rFonts w:ascii="Arial" w:eastAsia="Arial" w:hAnsi="Arial" w:cs="Arial"/>
          <w:sz w:val="24"/>
          <w:szCs w:val="24"/>
          <w:lang w:val="en-US" w:eastAsia="en-US"/>
        </w:rPr>
      </w:pPr>
    </w:p>
    <w:p w:rsidR="00B659EB" w:rsidRPr="005F0E78" w:rsidRDefault="00B659EB" w:rsidP="00C55676">
      <w:pPr>
        <w:widowControl w:val="0"/>
        <w:tabs>
          <w:tab w:val="left" w:pos="625"/>
        </w:tabs>
        <w:spacing w:before="13" w:after="0"/>
        <w:ind w:left="625" w:right="360"/>
        <w:jc w:val="both"/>
        <w:rPr>
          <w:rFonts w:ascii="Arial" w:eastAsia="Arial" w:hAnsi="Arial" w:cs="Arial"/>
          <w:b/>
          <w:sz w:val="24"/>
          <w:szCs w:val="24"/>
          <w:lang w:val="en-US" w:eastAsia="en-US"/>
        </w:rPr>
      </w:pPr>
      <w:r w:rsidRPr="005F0E78">
        <w:rPr>
          <w:rFonts w:ascii="Arial" w:eastAsia="Arial" w:hAnsi="Arial" w:cs="Arial"/>
          <w:b/>
          <w:sz w:val="24"/>
          <w:szCs w:val="24"/>
          <w:lang w:val="en-US" w:eastAsia="en-US"/>
        </w:rPr>
        <w:t xml:space="preserve">VECC </w:t>
      </w:r>
      <w:r>
        <w:rPr>
          <w:rFonts w:ascii="Arial" w:eastAsia="Arial" w:hAnsi="Arial" w:cs="Arial"/>
          <w:b/>
          <w:sz w:val="24"/>
          <w:szCs w:val="24"/>
          <w:lang w:val="en-US" w:eastAsia="en-US"/>
        </w:rPr>
        <w:t>– CQ 44</w:t>
      </w:r>
    </w:p>
    <w:p w:rsidR="00B659EB" w:rsidRDefault="00B659EB" w:rsidP="00C55676">
      <w:pPr>
        <w:widowControl w:val="0"/>
        <w:tabs>
          <w:tab w:val="left" w:pos="625"/>
        </w:tabs>
        <w:spacing w:before="13" w:after="0"/>
        <w:ind w:left="660" w:right="360"/>
        <w:jc w:val="both"/>
        <w:rPr>
          <w:rFonts w:ascii="Arial" w:eastAsia="Arial" w:hAnsi="Arial" w:cs="Arial"/>
          <w:sz w:val="24"/>
          <w:szCs w:val="24"/>
          <w:lang w:val="en-US" w:eastAsia="en-US"/>
        </w:rPr>
      </w:pPr>
      <w:r>
        <w:rPr>
          <w:rFonts w:ascii="Arial" w:eastAsia="Arial" w:hAnsi="Arial" w:cs="Arial"/>
          <w:sz w:val="24"/>
          <w:szCs w:val="24"/>
          <w:lang w:val="en-US" w:eastAsia="en-US"/>
        </w:rPr>
        <w:t xml:space="preserve">Reference: </w:t>
      </w:r>
      <w:r>
        <w:rPr>
          <w:rFonts w:ascii="Arial" w:eastAsia="Arial" w:hAnsi="Arial" w:cs="Arial"/>
          <w:sz w:val="24"/>
          <w:szCs w:val="24"/>
          <w:lang w:val="en-US" w:eastAsia="en-US"/>
        </w:rPr>
        <w:tab/>
        <w:t>VECC #12 d), e) &amp; f)</w:t>
      </w:r>
    </w:p>
    <w:p w:rsidR="00B659EB" w:rsidRDefault="00B659EB" w:rsidP="00C55676">
      <w:pPr>
        <w:widowControl w:val="0"/>
        <w:tabs>
          <w:tab w:val="left" w:pos="625"/>
        </w:tabs>
        <w:spacing w:before="13" w:after="0"/>
        <w:ind w:left="660" w:right="360"/>
        <w:jc w:val="both"/>
        <w:rPr>
          <w:rFonts w:ascii="Arial" w:eastAsia="Arial" w:hAnsi="Arial" w:cs="Arial"/>
          <w:sz w:val="24"/>
          <w:szCs w:val="24"/>
          <w:lang w:val="en-US" w:eastAsia="en-US"/>
        </w:rPr>
      </w:pPr>
      <w:r>
        <w:rPr>
          <w:rFonts w:ascii="Arial" w:eastAsia="Arial" w:hAnsi="Arial" w:cs="Arial"/>
          <w:sz w:val="24"/>
          <w:szCs w:val="24"/>
          <w:lang w:val="en-US" w:eastAsia="en-US"/>
        </w:rPr>
        <w:lastRenderedPageBreak/>
        <w:tab/>
      </w:r>
      <w:r>
        <w:rPr>
          <w:rFonts w:ascii="Arial" w:eastAsia="Arial" w:hAnsi="Arial" w:cs="Arial"/>
          <w:sz w:val="24"/>
          <w:szCs w:val="24"/>
          <w:lang w:val="en-US" w:eastAsia="en-US"/>
        </w:rPr>
        <w:tab/>
      </w:r>
      <w:r>
        <w:rPr>
          <w:rFonts w:ascii="Arial" w:eastAsia="Arial" w:hAnsi="Arial" w:cs="Arial"/>
          <w:sz w:val="24"/>
          <w:szCs w:val="24"/>
          <w:lang w:val="en-US" w:eastAsia="en-US"/>
        </w:rPr>
        <w:tab/>
        <w:t>VECC #17</w:t>
      </w:r>
    </w:p>
    <w:p w:rsidR="00B659EB" w:rsidRPr="005516FC" w:rsidRDefault="00B659EB" w:rsidP="00C55676">
      <w:pPr>
        <w:widowControl w:val="0"/>
        <w:tabs>
          <w:tab w:val="left" w:pos="625"/>
        </w:tabs>
        <w:spacing w:before="13" w:after="0"/>
        <w:ind w:left="660" w:right="360"/>
        <w:jc w:val="both"/>
        <w:rPr>
          <w:rFonts w:ascii="Arial" w:eastAsia="Arial" w:hAnsi="Arial" w:cs="Arial"/>
          <w:sz w:val="24"/>
          <w:szCs w:val="24"/>
          <w:lang w:val="en-US" w:eastAsia="en-US"/>
        </w:rPr>
      </w:pPr>
      <w:r w:rsidRPr="005516FC">
        <w:rPr>
          <w:rFonts w:ascii="Arial" w:eastAsia="Arial" w:hAnsi="Arial" w:cs="Arial"/>
          <w:sz w:val="24"/>
          <w:szCs w:val="24"/>
          <w:lang w:val="en-US" w:eastAsia="en-US"/>
        </w:rPr>
        <w:tab/>
      </w:r>
      <w:r w:rsidRPr="005516FC">
        <w:rPr>
          <w:rFonts w:ascii="Arial" w:eastAsia="Arial" w:hAnsi="Arial" w:cs="Arial"/>
          <w:sz w:val="24"/>
          <w:szCs w:val="24"/>
          <w:lang w:val="en-US" w:eastAsia="en-US"/>
        </w:rPr>
        <w:tab/>
      </w:r>
    </w:p>
    <w:p w:rsidR="00B659EB" w:rsidRPr="00C55676" w:rsidRDefault="00B659EB" w:rsidP="00C55676">
      <w:pPr>
        <w:widowControl w:val="0"/>
        <w:tabs>
          <w:tab w:val="left" w:pos="625"/>
        </w:tabs>
        <w:spacing w:before="13" w:after="0"/>
        <w:ind w:left="2155" w:right="360" w:hanging="1530"/>
        <w:contextualSpacing/>
        <w:jc w:val="both"/>
        <w:rPr>
          <w:rFonts w:ascii="Arial" w:eastAsia="Arial" w:hAnsi="Arial" w:cs="Arial"/>
          <w:i/>
          <w:sz w:val="24"/>
          <w:szCs w:val="24"/>
          <w:lang w:val="en-US" w:eastAsia="en-US"/>
        </w:rPr>
      </w:pPr>
      <w:r>
        <w:rPr>
          <w:rFonts w:ascii="Arial" w:eastAsia="Arial" w:hAnsi="Arial" w:cs="Arial"/>
          <w:sz w:val="24"/>
          <w:szCs w:val="24"/>
          <w:lang w:val="en-US" w:eastAsia="en-US"/>
        </w:rPr>
        <w:t>Preamble:</w:t>
      </w:r>
      <w:r>
        <w:rPr>
          <w:rFonts w:ascii="Arial" w:eastAsia="Arial" w:hAnsi="Arial" w:cs="Arial"/>
          <w:sz w:val="24"/>
          <w:szCs w:val="24"/>
          <w:lang w:val="en-US" w:eastAsia="en-US"/>
        </w:rPr>
        <w:tab/>
      </w:r>
      <w:r w:rsidRPr="00C55676">
        <w:rPr>
          <w:rFonts w:ascii="Arial" w:eastAsia="Arial" w:hAnsi="Arial" w:cs="Arial"/>
          <w:i/>
          <w:sz w:val="24"/>
          <w:szCs w:val="24"/>
          <w:lang w:val="en-US" w:eastAsia="en-US"/>
        </w:rPr>
        <w:t xml:space="preserve">The response to VECC #12 suggested that </w:t>
      </w:r>
      <w:proofErr w:type="spellStart"/>
      <w:r w:rsidRPr="00C55676">
        <w:rPr>
          <w:rFonts w:ascii="Arial" w:eastAsia="Arial" w:hAnsi="Arial" w:cs="Arial"/>
          <w:i/>
          <w:sz w:val="24"/>
          <w:szCs w:val="24"/>
          <w:lang w:val="en-US" w:eastAsia="en-US"/>
        </w:rPr>
        <w:t>Wasaga</w:t>
      </w:r>
      <w:proofErr w:type="spellEnd"/>
      <w:r w:rsidRPr="00C55676">
        <w:rPr>
          <w:rFonts w:ascii="Arial" w:eastAsia="Arial" w:hAnsi="Arial" w:cs="Arial"/>
          <w:i/>
          <w:sz w:val="24"/>
          <w:szCs w:val="24"/>
          <w:lang w:val="en-US" w:eastAsia="en-US"/>
        </w:rPr>
        <w:t xml:space="preserve"> did not apply the ½ year rule when determining the CDM adjustments to be made to historical purchase data.  </w:t>
      </w:r>
    </w:p>
    <w:p w:rsidR="00B659EB" w:rsidRPr="00C55676" w:rsidRDefault="00B659EB" w:rsidP="00C55676">
      <w:pPr>
        <w:widowControl w:val="0"/>
        <w:tabs>
          <w:tab w:val="left" w:pos="625"/>
        </w:tabs>
        <w:spacing w:before="13" w:after="0"/>
        <w:ind w:left="2155" w:right="360" w:hanging="1530"/>
        <w:contextualSpacing/>
        <w:jc w:val="both"/>
        <w:rPr>
          <w:rFonts w:ascii="Arial" w:eastAsia="Arial" w:hAnsi="Arial" w:cs="Arial"/>
          <w:i/>
          <w:sz w:val="24"/>
          <w:szCs w:val="24"/>
          <w:lang w:val="en-US" w:eastAsia="en-US"/>
        </w:rPr>
      </w:pPr>
      <w:r w:rsidRPr="00C55676">
        <w:rPr>
          <w:rFonts w:ascii="Arial" w:eastAsia="Arial" w:hAnsi="Arial" w:cs="Arial"/>
          <w:i/>
          <w:sz w:val="24"/>
          <w:szCs w:val="24"/>
          <w:lang w:val="en-US" w:eastAsia="en-US"/>
        </w:rPr>
        <w:tab/>
        <w:t>The response to VECC #17 acknowledges that the adjustments made to the historical individual customer class data to account for CDM do not match the IESO verified results but suggests the differences are small</w:t>
      </w:r>
    </w:p>
    <w:p w:rsidR="00B659EB" w:rsidRDefault="00B659EB" w:rsidP="00C55676">
      <w:pPr>
        <w:pStyle w:val="ListParagraph"/>
        <w:widowControl w:val="0"/>
        <w:numPr>
          <w:ilvl w:val="0"/>
          <w:numId w:val="18"/>
        </w:numPr>
        <w:tabs>
          <w:tab w:val="left" w:pos="625"/>
        </w:tabs>
        <w:spacing w:before="13" w:after="0"/>
        <w:ind w:right="360"/>
        <w:jc w:val="both"/>
        <w:rPr>
          <w:rFonts w:ascii="Arial" w:eastAsia="Arial" w:hAnsi="Arial" w:cs="Arial"/>
          <w:sz w:val="24"/>
          <w:szCs w:val="24"/>
          <w:lang w:val="en-US" w:eastAsia="en-US"/>
        </w:rPr>
      </w:pPr>
      <w:r>
        <w:rPr>
          <w:rFonts w:ascii="Arial" w:eastAsia="Arial" w:hAnsi="Arial" w:cs="Arial"/>
          <w:sz w:val="24"/>
          <w:szCs w:val="24"/>
          <w:lang w:val="en-US" w:eastAsia="en-US"/>
        </w:rPr>
        <w:t xml:space="preserve">The following table compares the adjustments made to the purchase data (column 2) and the customer class data (column 3) with the verified CDM results reported by the IESO both on an annualized basis (column 6) and with the ½ year adjustment (column 7).  It can be seen from the table that: </w:t>
      </w:r>
      <w:proofErr w:type="spellStart"/>
      <w:r>
        <w:rPr>
          <w:rFonts w:ascii="Arial" w:eastAsia="Arial" w:hAnsi="Arial" w:cs="Arial"/>
          <w:sz w:val="24"/>
          <w:szCs w:val="24"/>
          <w:lang w:val="en-US" w:eastAsia="en-US"/>
        </w:rPr>
        <w:t>i</w:t>
      </w:r>
      <w:proofErr w:type="spellEnd"/>
      <w:r>
        <w:rPr>
          <w:rFonts w:ascii="Arial" w:eastAsia="Arial" w:hAnsi="Arial" w:cs="Arial"/>
          <w:sz w:val="24"/>
          <w:szCs w:val="24"/>
          <w:lang w:val="en-US" w:eastAsia="en-US"/>
        </w:rPr>
        <w:t>) except for 2006, the annual adjustments to the purchase data do not match the IESO verified results, either with or without the ½ year adjustment and ii) except for 2006 and 2007 the annual customer class adjustment also don’t’ match.  Furthermore, in the latter case, the discrepancies are not always immaterial.  Please revise the adjustments made to the annual purchase and customer class data so that they reconcile with the IESO verified data (adjusted for the ½ year rule) and update the load forecast as needed.</w:t>
      </w:r>
      <w:bookmarkStart w:id="0" w:name="_GoBack"/>
      <w:bookmarkEnd w:id="0"/>
    </w:p>
    <w:p w:rsidR="00B659EB" w:rsidRPr="00B659EB" w:rsidRDefault="00B659EB" w:rsidP="00B659EB">
      <w:pPr>
        <w:pStyle w:val="ListParagraph"/>
        <w:widowControl w:val="0"/>
        <w:tabs>
          <w:tab w:val="left" w:pos="625"/>
        </w:tabs>
        <w:spacing w:before="13" w:after="0"/>
        <w:ind w:left="985" w:right="360"/>
        <w:jc w:val="both"/>
        <w:rPr>
          <w:rFonts w:ascii="Arial" w:eastAsia="Arial" w:hAnsi="Arial" w:cs="Arial"/>
          <w:sz w:val="24"/>
          <w:szCs w:val="24"/>
          <w:lang w:val="en-US" w:eastAsia="en-US"/>
        </w:rPr>
      </w:pPr>
    </w:p>
    <w:tbl>
      <w:tblPr>
        <w:tblStyle w:val="TableGrid1"/>
        <w:tblW w:w="0" w:type="auto"/>
        <w:tblLook w:val="04A0" w:firstRow="1" w:lastRow="0" w:firstColumn="1" w:lastColumn="0" w:noHBand="0" w:noVBand="1"/>
      </w:tblPr>
      <w:tblGrid>
        <w:gridCol w:w="1298"/>
        <w:gridCol w:w="1470"/>
        <w:gridCol w:w="1470"/>
        <w:gridCol w:w="1284"/>
        <w:gridCol w:w="1233"/>
        <w:gridCol w:w="1537"/>
        <w:gridCol w:w="1284"/>
      </w:tblGrid>
      <w:tr w:rsidR="00B659EB" w:rsidRPr="00B659EB" w:rsidTr="00C55676">
        <w:tc>
          <w:tcPr>
            <w:tcW w:w="1298" w:type="dxa"/>
            <w:tcBorders>
              <w:bottom w:val="single" w:sz="4" w:space="0" w:color="auto"/>
            </w:tcBorders>
          </w:tcPr>
          <w:p w:rsidR="00B659EB" w:rsidRPr="00C55676" w:rsidRDefault="00B659EB" w:rsidP="00B659EB">
            <w:pPr>
              <w:spacing w:after="120"/>
              <w:rPr>
                <w:rFonts w:ascii="Arial" w:hAnsi="Arial" w:cs="Arial"/>
              </w:rPr>
            </w:pPr>
            <w:r w:rsidRPr="00C55676">
              <w:rPr>
                <w:rFonts w:ascii="Arial" w:hAnsi="Arial" w:cs="Arial"/>
              </w:rPr>
              <w:t>(kWh)</w:t>
            </w:r>
          </w:p>
        </w:tc>
        <w:tc>
          <w:tcPr>
            <w:tcW w:w="1470" w:type="dxa"/>
            <w:vMerge w:val="restart"/>
            <w:tcBorders>
              <w:bottom w:val="single" w:sz="4" w:space="0" w:color="auto"/>
            </w:tcBorders>
            <w:shd w:val="clear" w:color="auto" w:fill="EAF1DD" w:themeFill="accent3" w:themeFillTint="33"/>
          </w:tcPr>
          <w:p w:rsidR="00B659EB" w:rsidRPr="00C55676" w:rsidRDefault="00B659EB" w:rsidP="00B659EB">
            <w:pPr>
              <w:spacing w:after="120"/>
              <w:rPr>
                <w:rFonts w:ascii="Arial" w:hAnsi="Arial" w:cs="Arial"/>
              </w:rPr>
            </w:pPr>
            <w:r w:rsidRPr="00C55676">
              <w:rPr>
                <w:rFonts w:ascii="Arial" w:hAnsi="Arial" w:cs="Arial"/>
              </w:rPr>
              <w:t xml:space="preserve">Annual Adj. per </w:t>
            </w:r>
            <w:proofErr w:type="spellStart"/>
            <w:r w:rsidRPr="00C55676">
              <w:rPr>
                <w:rFonts w:ascii="Arial" w:hAnsi="Arial" w:cs="Arial"/>
              </w:rPr>
              <w:t>Purch</w:t>
            </w:r>
            <w:proofErr w:type="spellEnd"/>
            <w:r w:rsidRPr="00C55676">
              <w:rPr>
                <w:rFonts w:ascii="Arial" w:hAnsi="Arial" w:cs="Arial"/>
              </w:rPr>
              <w:t>. Model (Tab X.1)</w:t>
            </w:r>
          </w:p>
        </w:tc>
        <w:tc>
          <w:tcPr>
            <w:tcW w:w="1470" w:type="dxa"/>
            <w:vMerge w:val="restart"/>
            <w:tcBorders>
              <w:bottom w:val="single" w:sz="4" w:space="0" w:color="auto"/>
            </w:tcBorders>
            <w:shd w:val="clear" w:color="auto" w:fill="EAF1DD" w:themeFill="accent3" w:themeFillTint="33"/>
          </w:tcPr>
          <w:p w:rsidR="00B659EB" w:rsidRPr="00C55676" w:rsidRDefault="00B659EB" w:rsidP="00B659EB">
            <w:pPr>
              <w:spacing w:after="120"/>
              <w:rPr>
                <w:rFonts w:ascii="Arial" w:hAnsi="Arial" w:cs="Arial"/>
              </w:rPr>
            </w:pPr>
            <w:r w:rsidRPr="00C55676">
              <w:rPr>
                <w:rFonts w:ascii="Arial" w:hAnsi="Arial" w:cs="Arial"/>
              </w:rPr>
              <w:t xml:space="preserve">Annual </w:t>
            </w:r>
            <w:proofErr w:type="spellStart"/>
            <w:r w:rsidRPr="00C55676">
              <w:rPr>
                <w:rFonts w:ascii="Arial" w:hAnsi="Arial" w:cs="Arial"/>
              </w:rPr>
              <w:t>Adj</w:t>
            </w:r>
            <w:proofErr w:type="spellEnd"/>
            <w:r w:rsidRPr="00C55676">
              <w:rPr>
                <w:rFonts w:ascii="Arial" w:hAnsi="Arial" w:cs="Arial"/>
              </w:rPr>
              <w:t xml:space="preserve">  used for Customer Class </w:t>
            </w:r>
            <w:proofErr w:type="spellStart"/>
            <w:r w:rsidRPr="00C55676">
              <w:rPr>
                <w:rFonts w:ascii="Arial" w:hAnsi="Arial" w:cs="Arial"/>
              </w:rPr>
              <w:t>Fcst</w:t>
            </w:r>
            <w:proofErr w:type="spellEnd"/>
            <w:r w:rsidRPr="00C55676">
              <w:rPr>
                <w:rFonts w:ascii="Arial" w:hAnsi="Arial" w:cs="Arial"/>
              </w:rPr>
              <w:t xml:space="preserve"> (VECC 17)</w:t>
            </w:r>
          </w:p>
        </w:tc>
        <w:tc>
          <w:tcPr>
            <w:tcW w:w="4054" w:type="dxa"/>
            <w:gridSpan w:val="3"/>
            <w:tcBorders>
              <w:bottom w:val="single" w:sz="4" w:space="0" w:color="auto"/>
            </w:tcBorders>
            <w:shd w:val="clear" w:color="auto" w:fill="EAF1DD" w:themeFill="accent3" w:themeFillTint="33"/>
          </w:tcPr>
          <w:p w:rsidR="00B659EB" w:rsidRPr="00C55676" w:rsidRDefault="00B659EB" w:rsidP="00B659EB">
            <w:pPr>
              <w:spacing w:after="120"/>
              <w:rPr>
                <w:rFonts w:ascii="Arial" w:hAnsi="Arial" w:cs="Arial"/>
              </w:rPr>
            </w:pPr>
            <w:r w:rsidRPr="00C55676">
              <w:rPr>
                <w:rFonts w:ascii="Arial" w:hAnsi="Arial" w:cs="Arial"/>
              </w:rPr>
              <w:t>IESO Verified CDM (Tab X.2)</w:t>
            </w:r>
          </w:p>
        </w:tc>
        <w:tc>
          <w:tcPr>
            <w:tcW w:w="1284" w:type="dxa"/>
            <w:vMerge w:val="restart"/>
            <w:tcBorders>
              <w:bottom w:val="single" w:sz="4" w:space="0" w:color="auto"/>
            </w:tcBorders>
            <w:shd w:val="clear" w:color="auto" w:fill="EAF1DD" w:themeFill="accent3" w:themeFillTint="33"/>
          </w:tcPr>
          <w:p w:rsidR="00B659EB" w:rsidRPr="00C55676" w:rsidRDefault="00B659EB" w:rsidP="00B659EB">
            <w:pPr>
              <w:spacing w:after="120"/>
              <w:rPr>
                <w:rFonts w:ascii="Arial" w:hAnsi="Arial" w:cs="Arial"/>
              </w:rPr>
            </w:pPr>
            <w:r w:rsidRPr="00C55676">
              <w:rPr>
                <w:rFonts w:ascii="Arial" w:hAnsi="Arial" w:cs="Arial"/>
              </w:rPr>
              <w:t xml:space="preserve">IESO Verified with ½ current year adj. </w:t>
            </w:r>
          </w:p>
        </w:tc>
      </w:tr>
      <w:tr w:rsidR="00B659EB" w:rsidRPr="00B659EB" w:rsidTr="00C55676">
        <w:tc>
          <w:tcPr>
            <w:tcW w:w="1298" w:type="dxa"/>
            <w:shd w:val="clear" w:color="auto" w:fill="EAF1DD" w:themeFill="accent3" w:themeFillTint="33"/>
          </w:tcPr>
          <w:p w:rsidR="00B659EB" w:rsidRPr="00C55676" w:rsidRDefault="00B659EB" w:rsidP="00B659EB">
            <w:pPr>
              <w:spacing w:after="120"/>
              <w:rPr>
                <w:rFonts w:ascii="Arial" w:hAnsi="Arial" w:cs="Arial"/>
              </w:rPr>
            </w:pPr>
          </w:p>
        </w:tc>
        <w:tc>
          <w:tcPr>
            <w:tcW w:w="1470" w:type="dxa"/>
            <w:vMerge/>
            <w:shd w:val="clear" w:color="auto" w:fill="EAF1DD" w:themeFill="accent3" w:themeFillTint="33"/>
          </w:tcPr>
          <w:p w:rsidR="00B659EB" w:rsidRPr="00C55676" w:rsidRDefault="00B659EB" w:rsidP="00B659EB">
            <w:pPr>
              <w:spacing w:after="120"/>
              <w:rPr>
                <w:rFonts w:ascii="Arial" w:hAnsi="Arial" w:cs="Arial"/>
              </w:rPr>
            </w:pPr>
          </w:p>
        </w:tc>
        <w:tc>
          <w:tcPr>
            <w:tcW w:w="1470" w:type="dxa"/>
            <w:vMerge/>
            <w:shd w:val="clear" w:color="auto" w:fill="EAF1DD" w:themeFill="accent3" w:themeFillTint="33"/>
          </w:tcPr>
          <w:p w:rsidR="00B659EB" w:rsidRPr="00C55676" w:rsidRDefault="00B659EB" w:rsidP="00B659EB">
            <w:pPr>
              <w:spacing w:after="120"/>
              <w:rPr>
                <w:rFonts w:ascii="Arial" w:hAnsi="Arial" w:cs="Arial"/>
              </w:rPr>
            </w:pPr>
          </w:p>
        </w:tc>
        <w:tc>
          <w:tcPr>
            <w:tcW w:w="1284" w:type="dxa"/>
            <w:shd w:val="clear" w:color="auto" w:fill="EAF1DD" w:themeFill="accent3" w:themeFillTint="33"/>
          </w:tcPr>
          <w:p w:rsidR="00B659EB" w:rsidRPr="00C55676" w:rsidRDefault="00B659EB" w:rsidP="00B659EB">
            <w:pPr>
              <w:spacing w:after="120"/>
              <w:rPr>
                <w:rFonts w:ascii="Arial" w:hAnsi="Arial" w:cs="Arial"/>
              </w:rPr>
            </w:pPr>
            <w:r w:rsidRPr="00C55676">
              <w:rPr>
                <w:rFonts w:ascii="Arial" w:hAnsi="Arial" w:cs="Arial"/>
              </w:rPr>
              <w:t>Persisting  from previous years</w:t>
            </w:r>
          </w:p>
        </w:tc>
        <w:tc>
          <w:tcPr>
            <w:tcW w:w="1233" w:type="dxa"/>
            <w:shd w:val="clear" w:color="auto" w:fill="EAF1DD" w:themeFill="accent3" w:themeFillTint="33"/>
          </w:tcPr>
          <w:p w:rsidR="00B659EB" w:rsidRPr="00C55676" w:rsidRDefault="00B659EB" w:rsidP="00B659EB">
            <w:pPr>
              <w:spacing w:after="120"/>
              <w:rPr>
                <w:rFonts w:ascii="Arial" w:hAnsi="Arial" w:cs="Arial"/>
              </w:rPr>
            </w:pPr>
            <w:r w:rsidRPr="00C55676">
              <w:rPr>
                <w:rFonts w:ascii="Arial" w:hAnsi="Arial" w:cs="Arial"/>
              </w:rPr>
              <w:t>Current Year</w:t>
            </w:r>
          </w:p>
        </w:tc>
        <w:tc>
          <w:tcPr>
            <w:tcW w:w="1537" w:type="dxa"/>
            <w:shd w:val="clear" w:color="auto" w:fill="EAF1DD" w:themeFill="accent3" w:themeFillTint="33"/>
          </w:tcPr>
          <w:p w:rsidR="00B659EB" w:rsidRPr="00C55676" w:rsidRDefault="00B659EB" w:rsidP="00B659EB">
            <w:pPr>
              <w:spacing w:after="120"/>
              <w:rPr>
                <w:rFonts w:ascii="Arial" w:hAnsi="Arial" w:cs="Arial"/>
              </w:rPr>
            </w:pPr>
            <w:r w:rsidRPr="00C55676">
              <w:rPr>
                <w:rFonts w:ascii="Arial" w:hAnsi="Arial" w:cs="Arial"/>
              </w:rPr>
              <w:t>Total (annualized)</w:t>
            </w:r>
          </w:p>
        </w:tc>
        <w:tc>
          <w:tcPr>
            <w:tcW w:w="1284" w:type="dxa"/>
            <w:vMerge/>
            <w:shd w:val="clear" w:color="auto" w:fill="EAF1DD" w:themeFill="accent3" w:themeFillTint="33"/>
          </w:tcPr>
          <w:p w:rsidR="00B659EB" w:rsidRPr="00C55676" w:rsidRDefault="00B659EB" w:rsidP="00B659EB">
            <w:pPr>
              <w:spacing w:after="120"/>
              <w:rPr>
                <w:rFonts w:ascii="Arial" w:hAnsi="Arial" w:cs="Arial"/>
              </w:rPr>
            </w:pPr>
          </w:p>
        </w:tc>
      </w:tr>
      <w:tr w:rsidR="00B659EB" w:rsidRPr="00B659EB" w:rsidTr="00B659EB">
        <w:tc>
          <w:tcPr>
            <w:tcW w:w="1298" w:type="dxa"/>
          </w:tcPr>
          <w:p w:rsidR="00B659EB" w:rsidRPr="00C55676" w:rsidRDefault="00B659EB" w:rsidP="00B659EB">
            <w:pPr>
              <w:spacing w:after="120"/>
              <w:rPr>
                <w:rFonts w:ascii="Arial" w:hAnsi="Arial" w:cs="Arial"/>
              </w:rPr>
            </w:pPr>
            <w:r w:rsidRPr="00C55676">
              <w:rPr>
                <w:rFonts w:ascii="Arial" w:hAnsi="Arial" w:cs="Arial"/>
              </w:rPr>
              <w:t>2006</w:t>
            </w:r>
          </w:p>
        </w:tc>
        <w:tc>
          <w:tcPr>
            <w:tcW w:w="1470" w:type="dxa"/>
          </w:tcPr>
          <w:p w:rsidR="00B659EB" w:rsidRPr="00C55676" w:rsidRDefault="00B659EB" w:rsidP="00B659EB">
            <w:pPr>
              <w:spacing w:after="120"/>
              <w:rPr>
                <w:rFonts w:ascii="Arial" w:hAnsi="Arial" w:cs="Arial"/>
              </w:rPr>
            </w:pPr>
            <w:r w:rsidRPr="00C55676">
              <w:rPr>
                <w:rFonts w:ascii="Arial" w:hAnsi="Arial" w:cs="Arial"/>
              </w:rPr>
              <w:t>344,370</w:t>
            </w:r>
          </w:p>
        </w:tc>
        <w:tc>
          <w:tcPr>
            <w:tcW w:w="1470" w:type="dxa"/>
          </w:tcPr>
          <w:p w:rsidR="00B659EB" w:rsidRPr="00C55676" w:rsidRDefault="00B659EB" w:rsidP="00B659EB">
            <w:pPr>
              <w:spacing w:after="120"/>
              <w:rPr>
                <w:rFonts w:ascii="Arial" w:hAnsi="Arial" w:cs="Arial"/>
              </w:rPr>
            </w:pPr>
            <w:r w:rsidRPr="00C55676">
              <w:rPr>
                <w:rFonts w:ascii="Arial" w:hAnsi="Arial" w:cs="Arial"/>
              </w:rPr>
              <w:t>344,370</w:t>
            </w:r>
          </w:p>
        </w:tc>
        <w:tc>
          <w:tcPr>
            <w:tcW w:w="1284" w:type="dxa"/>
          </w:tcPr>
          <w:p w:rsidR="00B659EB" w:rsidRPr="00C55676" w:rsidRDefault="00B659EB" w:rsidP="00B659EB">
            <w:pPr>
              <w:spacing w:after="120"/>
              <w:rPr>
                <w:rFonts w:ascii="Arial" w:hAnsi="Arial" w:cs="Arial"/>
              </w:rPr>
            </w:pPr>
            <w:r w:rsidRPr="00C55676">
              <w:rPr>
                <w:rFonts w:ascii="Arial" w:hAnsi="Arial" w:cs="Arial"/>
              </w:rPr>
              <w:t>-</w:t>
            </w:r>
          </w:p>
        </w:tc>
        <w:tc>
          <w:tcPr>
            <w:tcW w:w="1233" w:type="dxa"/>
          </w:tcPr>
          <w:p w:rsidR="00B659EB" w:rsidRPr="00C55676" w:rsidRDefault="00B659EB" w:rsidP="00B659EB">
            <w:pPr>
              <w:spacing w:after="120"/>
              <w:rPr>
                <w:rFonts w:ascii="Arial" w:hAnsi="Arial" w:cs="Arial"/>
              </w:rPr>
            </w:pPr>
            <w:r w:rsidRPr="00C55676">
              <w:rPr>
                <w:rFonts w:ascii="Arial" w:hAnsi="Arial" w:cs="Arial"/>
              </w:rPr>
              <w:t>688,739</w:t>
            </w:r>
          </w:p>
        </w:tc>
        <w:tc>
          <w:tcPr>
            <w:tcW w:w="1537" w:type="dxa"/>
          </w:tcPr>
          <w:p w:rsidR="00B659EB" w:rsidRPr="00C55676" w:rsidRDefault="00B659EB" w:rsidP="00B659EB">
            <w:pPr>
              <w:spacing w:after="120"/>
              <w:rPr>
                <w:rFonts w:ascii="Arial" w:hAnsi="Arial" w:cs="Arial"/>
              </w:rPr>
            </w:pPr>
            <w:r w:rsidRPr="00C55676">
              <w:rPr>
                <w:rFonts w:ascii="Arial" w:hAnsi="Arial" w:cs="Arial"/>
              </w:rPr>
              <w:t>688,739</w:t>
            </w:r>
          </w:p>
        </w:tc>
        <w:tc>
          <w:tcPr>
            <w:tcW w:w="1284" w:type="dxa"/>
          </w:tcPr>
          <w:p w:rsidR="00B659EB" w:rsidRPr="00C55676" w:rsidRDefault="00B659EB" w:rsidP="00B659EB">
            <w:pPr>
              <w:spacing w:after="120"/>
              <w:rPr>
                <w:rFonts w:ascii="Arial" w:hAnsi="Arial" w:cs="Arial"/>
              </w:rPr>
            </w:pPr>
            <w:r w:rsidRPr="00C55676">
              <w:rPr>
                <w:rFonts w:ascii="Arial" w:hAnsi="Arial" w:cs="Arial"/>
              </w:rPr>
              <w:t>344,370</w:t>
            </w:r>
          </w:p>
        </w:tc>
      </w:tr>
      <w:tr w:rsidR="00B659EB" w:rsidRPr="00B659EB" w:rsidTr="00B659EB">
        <w:tc>
          <w:tcPr>
            <w:tcW w:w="1298" w:type="dxa"/>
          </w:tcPr>
          <w:p w:rsidR="00B659EB" w:rsidRPr="00C55676" w:rsidRDefault="00B659EB" w:rsidP="00B659EB">
            <w:pPr>
              <w:spacing w:after="120"/>
              <w:rPr>
                <w:rFonts w:ascii="Arial" w:hAnsi="Arial" w:cs="Arial"/>
              </w:rPr>
            </w:pPr>
            <w:r w:rsidRPr="00C55676">
              <w:rPr>
                <w:rFonts w:ascii="Arial" w:hAnsi="Arial" w:cs="Arial"/>
              </w:rPr>
              <w:t>2007</w:t>
            </w:r>
          </w:p>
        </w:tc>
        <w:tc>
          <w:tcPr>
            <w:tcW w:w="1470" w:type="dxa"/>
          </w:tcPr>
          <w:p w:rsidR="00B659EB" w:rsidRPr="00C55676" w:rsidRDefault="00B659EB" w:rsidP="00B659EB">
            <w:pPr>
              <w:spacing w:after="120"/>
              <w:rPr>
                <w:rFonts w:ascii="Arial" w:hAnsi="Arial" w:cs="Arial"/>
              </w:rPr>
            </w:pPr>
            <w:r w:rsidRPr="00C55676">
              <w:rPr>
                <w:rFonts w:ascii="Arial" w:hAnsi="Arial" w:cs="Arial"/>
              </w:rPr>
              <w:t>1,411,584</w:t>
            </w:r>
          </w:p>
        </w:tc>
        <w:tc>
          <w:tcPr>
            <w:tcW w:w="1470" w:type="dxa"/>
          </w:tcPr>
          <w:p w:rsidR="00B659EB" w:rsidRPr="00C55676" w:rsidRDefault="00B659EB" w:rsidP="00B659EB">
            <w:pPr>
              <w:spacing w:after="120"/>
              <w:rPr>
                <w:rFonts w:ascii="Arial" w:hAnsi="Arial" w:cs="Arial"/>
              </w:rPr>
            </w:pPr>
            <w:r w:rsidRPr="00C55676">
              <w:rPr>
                <w:rFonts w:ascii="Arial" w:hAnsi="Arial" w:cs="Arial"/>
              </w:rPr>
              <w:t>1,067,214</w:t>
            </w:r>
          </w:p>
        </w:tc>
        <w:tc>
          <w:tcPr>
            <w:tcW w:w="1284" w:type="dxa"/>
          </w:tcPr>
          <w:p w:rsidR="00B659EB" w:rsidRPr="00C55676" w:rsidRDefault="00B659EB" w:rsidP="00B659EB">
            <w:pPr>
              <w:spacing w:after="120"/>
              <w:rPr>
                <w:rFonts w:ascii="Arial" w:hAnsi="Arial" w:cs="Arial"/>
              </w:rPr>
            </w:pPr>
            <w:r w:rsidRPr="00C55676">
              <w:rPr>
                <w:rFonts w:ascii="Arial" w:hAnsi="Arial" w:cs="Arial"/>
              </w:rPr>
              <w:t>688,739</w:t>
            </w:r>
          </w:p>
        </w:tc>
        <w:tc>
          <w:tcPr>
            <w:tcW w:w="1233" w:type="dxa"/>
          </w:tcPr>
          <w:p w:rsidR="00B659EB" w:rsidRPr="00C55676" w:rsidRDefault="00B659EB" w:rsidP="00B659EB">
            <w:pPr>
              <w:spacing w:after="120"/>
              <w:rPr>
                <w:rFonts w:ascii="Arial" w:hAnsi="Arial" w:cs="Arial"/>
              </w:rPr>
            </w:pPr>
            <w:r w:rsidRPr="00C55676">
              <w:rPr>
                <w:rFonts w:ascii="Arial" w:hAnsi="Arial" w:cs="Arial"/>
              </w:rPr>
              <w:t>756,950</w:t>
            </w:r>
          </w:p>
        </w:tc>
        <w:tc>
          <w:tcPr>
            <w:tcW w:w="1537" w:type="dxa"/>
          </w:tcPr>
          <w:p w:rsidR="00B659EB" w:rsidRPr="00C55676" w:rsidRDefault="00B659EB" w:rsidP="00B659EB">
            <w:pPr>
              <w:spacing w:after="120"/>
              <w:rPr>
                <w:rFonts w:ascii="Arial" w:hAnsi="Arial" w:cs="Arial"/>
              </w:rPr>
            </w:pPr>
            <w:r w:rsidRPr="00C55676">
              <w:rPr>
                <w:rFonts w:ascii="Arial" w:hAnsi="Arial" w:cs="Arial"/>
              </w:rPr>
              <w:t>1,445,689</w:t>
            </w:r>
          </w:p>
        </w:tc>
        <w:tc>
          <w:tcPr>
            <w:tcW w:w="1284" w:type="dxa"/>
          </w:tcPr>
          <w:p w:rsidR="00B659EB" w:rsidRPr="00C55676" w:rsidRDefault="00B659EB" w:rsidP="00B659EB">
            <w:pPr>
              <w:spacing w:after="120"/>
              <w:rPr>
                <w:rFonts w:ascii="Arial" w:hAnsi="Arial" w:cs="Arial"/>
              </w:rPr>
            </w:pPr>
            <w:r w:rsidRPr="00C55676">
              <w:rPr>
                <w:rFonts w:ascii="Arial" w:hAnsi="Arial" w:cs="Arial"/>
              </w:rPr>
              <w:t>1,067,214</w:t>
            </w:r>
          </w:p>
        </w:tc>
      </w:tr>
      <w:tr w:rsidR="00B659EB" w:rsidRPr="00B659EB" w:rsidTr="00B659EB">
        <w:tc>
          <w:tcPr>
            <w:tcW w:w="1298" w:type="dxa"/>
          </w:tcPr>
          <w:p w:rsidR="00B659EB" w:rsidRPr="00C55676" w:rsidRDefault="00B659EB" w:rsidP="00B659EB">
            <w:pPr>
              <w:spacing w:after="120"/>
              <w:rPr>
                <w:rFonts w:ascii="Arial" w:hAnsi="Arial" w:cs="Arial"/>
              </w:rPr>
            </w:pPr>
            <w:r w:rsidRPr="00C55676">
              <w:rPr>
                <w:rFonts w:ascii="Arial" w:hAnsi="Arial" w:cs="Arial"/>
              </w:rPr>
              <w:t>2008</w:t>
            </w:r>
          </w:p>
        </w:tc>
        <w:tc>
          <w:tcPr>
            <w:tcW w:w="1470" w:type="dxa"/>
          </w:tcPr>
          <w:p w:rsidR="00B659EB" w:rsidRPr="00C55676" w:rsidRDefault="00B659EB" w:rsidP="00B659EB">
            <w:pPr>
              <w:spacing w:after="120"/>
              <w:rPr>
                <w:rFonts w:ascii="Arial" w:hAnsi="Arial" w:cs="Arial"/>
              </w:rPr>
            </w:pPr>
            <w:r w:rsidRPr="00C55676">
              <w:rPr>
                <w:rFonts w:ascii="Arial" w:hAnsi="Arial" w:cs="Arial"/>
              </w:rPr>
              <w:t>1,711,798</w:t>
            </w:r>
          </w:p>
        </w:tc>
        <w:tc>
          <w:tcPr>
            <w:tcW w:w="1470" w:type="dxa"/>
          </w:tcPr>
          <w:p w:rsidR="00B659EB" w:rsidRPr="00C55676" w:rsidRDefault="00B659EB" w:rsidP="00B659EB">
            <w:pPr>
              <w:spacing w:after="120"/>
              <w:rPr>
                <w:rFonts w:ascii="Arial" w:hAnsi="Arial" w:cs="Arial"/>
              </w:rPr>
            </w:pPr>
            <w:r w:rsidRPr="00C55676">
              <w:rPr>
                <w:rFonts w:ascii="Arial" w:hAnsi="Arial" w:cs="Arial"/>
              </w:rPr>
              <w:t>1,671,908</w:t>
            </w:r>
          </w:p>
        </w:tc>
        <w:tc>
          <w:tcPr>
            <w:tcW w:w="1284" w:type="dxa"/>
          </w:tcPr>
          <w:p w:rsidR="00B659EB" w:rsidRPr="00C55676" w:rsidRDefault="00B659EB" w:rsidP="00B659EB">
            <w:pPr>
              <w:spacing w:after="120"/>
              <w:rPr>
                <w:rFonts w:ascii="Arial" w:hAnsi="Arial" w:cs="Arial"/>
              </w:rPr>
            </w:pPr>
            <w:r w:rsidRPr="00C55676">
              <w:rPr>
                <w:rFonts w:ascii="Arial" w:hAnsi="Arial" w:cs="Arial"/>
              </w:rPr>
              <w:t>1,107,104</w:t>
            </w:r>
          </w:p>
        </w:tc>
        <w:tc>
          <w:tcPr>
            <w:tcW w:w="1233" w:type="dxa"/>
          </w:tcPr>
          <w:p w:rsidR="00B659EB" w:rsidRPr="00C55676" w:rsidRDefault="00B659EB" w:rsidP="00B659EB">
            <w:pPr>
              <w:spacing w:after="120"/>
              <w:rPr>
                <w:rFonts w:ascii="Arial" w:hAnsi="Arial" w:cs="Arial"/>
              </w:rPr>
            </w:pPr>
            <w:r w:rsidRPr="00C55676">
              <w:rPr>
                <w:rFonts w:ascii="Arial" w:hAnsi="Arial" w:cs="Arial"/>
              </w:rPr>
              <w:t>452,437</w:t>
            </w:r>
          </w:p>
        </w:tc>
        <w:tc>
          <w:tcPr>
            <w:tcW w:w="1537" w:type="dxa"/>
          </w:tcPr>
          <w:p w:rsidR="00B659EB" w:rsidRPr="00C55676" w:rsidRDefault="00B659EB" w:rsidP="00B659EB">
            <w:pPr>
              <w:spacing w:after="120"/>
              <w:rPr>
                <w:rFonts w:ascii="Arial" w:hAnsi="Arial" w:cs="Arial"/>
              </w:rPr>
            </w:pPr>
            <w:r w:rsidRPr="00C55676">
              <w:rPr>
                <w:rFonts w:ascii="Arial" w:hAnsi="Arial" w:cs="Arial"/>
              </w:rPr>
              <w:t>1,559,541</w:t>
            </w:r>
          </w:p>
        </w:tc>
        <w:tc>
          <w:tcPr>
            <w:tcW w:w="1284" w:type="dxa"/>
          </w:tcPr>
          <w:p w:rsidR="00B659EB" w:rsidRPr="00C55676" w:rsidRDefault="00B659EB" w:rsidP="00B659EB">
            <w:pPr>
              <w:spacing w:after="120"/>
              <w:rPr>
                <w:rFonts w:ascii="Arial" w:hAnsi="Arial" w:cs="Arial"/>
              </w:rPr>
            </w:pPr>
            <w:r w:rsidRPr="00C55676">
              <w:rPr>
                <w:rFonts w:ascii="Arial" w:hAnsi="Arial" w:cs="Arial"/>
              </w:rPr>
              <w:t>1,333,323</w:t>
            </w:r>
          </w:p>
        </w:tc>
      </w:tr>
      <w:tr w:rsidR="00B659EB" w:rsidRPr="00B659EB" w:rsidTr="00B659EB">
        <w:tc>
          <w:tcPr>
            <w:tcW w:w="1298" w:type="dxa"/>
          </w:tcPr>
          <w:p w:rsidR="00B659EB" w:rsidRPr="00C55676" w:rsidRDefault="00B659EB" w:rsidP="00B659EB">
            <w:pPr>
              <w:spacing w:after="120"/>
              <w:rPr>
                <w:rFonts w:ascii="Arial" w:hAnsi="Arial" w:cs="Arial"/>
              </w:rPr>
            </w:pPr>
            <w:r w:rsidRPr="00C55676">
              <w:rPr>
                <w:rFonts w:ascii="Arial" w:hAnsi="Arial" w:cs="Arial"/>
              </w:rPr>
              <w:t>2009</w:t>
            </w:r>
          </w:p>
        </w:tc>
        <w:tc>
          <w:tcPr>
            <w:tcW w:w="1470" w:type="dxa"/>
          </w:tcPr>
          <w:p w:rsidR="00B659EB" w:rsidRPr="00C55676" w:rsidRDefault="00B659EB" w:rsidP="00B659EB">
            <w:pPr>
              <w:spacing w:after="120"/>
              <w:rPr>
                <w:rFonts w:ascii="Arial" w:hAnsi="Arial" w:cs="Arial"/>
              </w:rPr>
            </w:pPr>
            <w:r w:rsidRPr="00C55676">
              <w:rPr>
                <w:rFonts w:ascii="Arial" w:hAnsi="Arial" w:cs="Arial"/>
              </w:rPr>
              <w:t>2,025,078</w:t>
            </w:r>
          </w:p>
        </w:tc>
        <w:tc>
          <w:tcPr>
            <w:tcW w:w="1470" w:type="dxa"/>
          </w:tcPr>
          <w:p w:rsidR="00B659EB" w:rsidRPr="00C55676" w:rsidRDefault="00B659EB" w:rsidP="00B659EB">
            <w:pPr>
              <w:spacing w:after="120"/>
              <w:rPr>
                <w:rFonts w:ascii="Arial" w:hAnsi="Arial" w:cs="Arial"/>
              </w:rPr>
            </w:pPr>
            <w:r w:rsidRPr="00C55676">
              <w:rPr>
                <w:rFonts w:ascii="Arial" w:hAnsi="Arial" w:cs="Arial"/>
              </w:rPr>
              <w:t>1,906,068</w:t>
            </w:r>
          </w:p>
        </w:tc>
        <w:tc>
          <w:tcPr>
            <w:tcW w:w="1284" w:type="dxa"/>
          </w:tcPr>
          <w:p w:rsidR="00B659EB" w:rsidRPr="00C55676" w:rsidRDefault="00B659EB" w:rsidP="00B659EB">
            <w:pPr>
              <w:spacing w:after="120"/>
              <w:rPr>
                <w:rFonts w:ascii="Arial" w:hAnsi="Arial" w:cs="Arial"/>
              </w:rPr>
            </w:pPr>
            <w:r w:rsidRPr="00C55676">
              <w:rPr>
                <w:rFonts w:ascii="Arial" w:hAnsi="Arial" w:cs="Arial"/>
              </w:rPr>
              <w:t>1,452,332</w:t>
            </w:r>
          </w:p>
        </w:tc>
        <w:tc>
          <w:tcPr>
            <w:tcW w:w="1233" w:type="dxa"/>
          </w:tcPr>
          <w:p w:rsidR="00B659EB" w:rsidRPr="00C55676" w:rsidRDefault="00B659EB" w:rsidP="00B659EB">
            <w:pPr>
              <w:spacing w:after="120"/>
              <w:rPr>
                <w:rFonts w:ascii="Arial" w:hAnsi="Arial" w:cs="Arial"/>
              </w:rPr>
            </w:pPr>
            <w:r w:rsidRPr="00C55676">
              <w:rPr>
                <w:rFonts w:ascii="Arial" w:hAnsi="Arial" w:cs="Arial"/>
              </w:rPr>
              <w:t>693,054</w:t>
            </w:r>
          </w:p>
        </w:tc>
        <w:tc>
          <w:tcPr>
            <w:tcW w:w="1537" w:type="dxa"/>
          </w:tcPr>
          <w:p w:rsidR="00B659EB" w:rsidRPr="00C55676" w:rsidRDefault="00B659EB" w:rsidP="00B659EB">
            <w:pPr>
              <w:spacing w:after="120"/>
              <w:rPr>
                <w:rFonts w:ascii="Arial" w:hAnsi="Arial" w:cs="Arial"/>
              </w:rPr>
            </w:pPr>
            <w:r w:rsidRPr="00C55676">
              <w:rPr>
                <w:rFonts w:ascii="Arial" w:hAnsi="Arial" w:cs="Arial"/>
              </w:rPr>
              <w:t>2,145,387</w:t>
            </w:r>
          </w:p>
        </w:tc>
        <w:tc>
          <w:tcPr>
            <w:tcW w:w="1284" w:type="dxa"/>
          </w:tcPr>
          <w:p w:rsidR="00B659EB" w:rsidRPr="00C55676" w:rsidRDefault="00B659EB" w:rsidP="00B659EB">
            <w:pPr>
              <w:spacing w:after="120"/>
              <w:rPr>
                <w:rFonts w:ascii="Arial" w:hAnsi="Arial" w:cs="Arial"/>
              </w:rPr>
            </w:pPr>
            <w:r w:rsidRPr="00C55676">
              <w:rPr>
                <w:rFonts w:ascii="Arial" w:hAnsi="Arial" w:cs="Arial"/>
              </w:rPr>
              <w:t>1,798,860</w:t>
            </w:r>
          </w:p>
        </w:tc>
      </w:tr>
      <w:tr w:rsidR="00B659EB" w:rsidRPr="00B659EB" w:rsidTr="00B659EB">
        <w:tc>
          <w:tcPr>
            <w:tcW w:w="1298" w:type="dxa"/>
          </w:tcPr>
          <w:p w:rsidR="00B659EB" w:rsidRPr="00C55676" w:rsidRDefault="00B659EB" w:rsidP="00B659EB">
            <w:pPr>
              <w:spacing w:after="120"/>
              <w:rPr>
                <w:rFonts w:ascii="Arial" w:hAnsi="Arial" w:cs="Arial"/>
              </w:rPr>
            </w:pPr>
            <w:r w:rsidRPr="00C55676">
              <w:rPr>
                <w:rFonts w:ascii="Arial" w:hAnsi="Arial" w:cs="Arial"/>
              </w:rPr>
              <w:t>2010</w:t>
            </w:r>
          </w:p>
        </w:tc>
        <w:tc>
          <w:tcPr>
            <w:tcW w:w="1470" w:type="dxa"/>
          </w:tcPr>
          <w:p w:rsidR="00B659EB" w:rsidRPr="00C55676" w:rsidRDefault="00B659EB" w:rsidP="00B659EB">
            <w:pPr>
              <w:spacing w:after="120"/>
              <w:rPr>
                <w:rFonts w:ascii="Arial" w:hAnsi="Arial" w:cs="Arial"/>
              </w:rPr>
            </w:pPr>
            <w:r w:rsidRPr="00C55676">
              <w:rPr>
                <w:rFonts w:ascii="Arial" w:hAnsi="Arial" w:cs="Arial"/>
              </w:rPr>
              <w:t>2,097,142</w:t>
            </w:r>
          </w:p>
        </w:tc>
        <w:tc>
          <w:tcPr>
            <w:tcW w:w="1470" w:type="dxa"/>
          </w:tcPr>
          <w:p w:rsidR="00B659EB" w:rsidRPr="00C55676" w:rsidRDefault="00B659EB" w:rsidP="00B659EB">
            <w:pPr>
              <w:spacing w:after="120"/>
              <w:rPr>
                <w:rFonts w:ascii="Arial" w:hAnsi="Arial" w:cs="Arial"/>
              </w:rPr>
            </w:pPr>
            <w:r w:rsidRPr="00C55676">
              <w:rPr>
                <w:rFonts w:ascii="Arial" w:hAnsi="Arial" w:cs="Arial"/>
              </w:rPr>
              <w:t>2,353,519</w:t>
            </w:r>
          </w:p>
        </w:tc>
        <w:tc>
          <w:tcPr>
            <w:tcW w:w="1284" w:type="dxa"/>
          </w:tcPr>
          <w:p w:rsidR="00B659EB" w:rsidRPr="00C55676" w:rsidRDefault="00B659EB" w:rsidP="00B659EB">
            <w:pPr>
              <w:spacing w:after="120"/>
              <w:rPr>
                <w:rFonts w:ascii="Arial" w:hAnsi="Arial" w:cs="Arial"/>
              </w:rPr>
            </w:pPr>
            <w:r w:rsidRPr="00C55676">
              <w:rPr>
                <w:rFonts w:ascii="Arial" w:hAnsi="Arial" w:cs="Arial"/>
              </w:rPr>
              <w:t>1,542,483</w:t>
            </w:r>
          </w:p>
        </w:tc>
        <w:tc>
          <w:tcPr>
            <w:tcW w:w="1233" w:type="dxa"/>
          </w:tcPr>
          <w:p w:rsidR="00B659EB" w:rsidRPr="00C55676" w:rsidRDefault="00B659EB" w:rsidP="00B659EB">
            <w:pPr>
              <w:spacing w:after="120"/>
              <w:rPr>
                <w:rFonts w:ascii="Arial" w:hAnsi="Arial" w:cs="Arial"/>
              </w:rPr>
            </w:pPr>
            <w:r w:rsidRPr="00C55676">
              <w:rPr>
                <w:rFonts w:ascii="Arial" w:hAnsi="Arial" w:cs="Arial"/>
              </w:rPr>
              <w:t>416,265</w:t>
            </w:r>
          </w:p>
        </w:tc>
        <w:tc>
          <w:tcPr>
            <w:tcW w:w="1537" w:type="dxa"/>
          </w:tcPr>
          <w:p w:rsidR="00B659EB" w:rsidRPr="00C55676" w:rsidRDefault="00B659EB" w:rsidP="00B659EB">
            <w:pPr>
              <w:spacing w:after="120"/>
              <w:rPr>
                <w:rFonts w:ascii="Arial" w:hAnsi="Arial" w:cs="Arial"/>
              </w:rPr>
            </w:pPr>
            <w:r w:rsidRPr="00C55676">
              <w:rPr>
                <w:rFonts w:ascii="Arial" w:hAnsi="Arial" w:cs="Arial"/>
              </w:rPr>
              <w:t>1,958,748</w:t>
            </w:r>
          </w:p>
        </w:tc>
        <w:tc>
          <w:tcPr>
            <w:tcW w:w="1284" w:type="dxa"/>
          </w:tcPr>
          <w:p w:rsidR="00B659EB" w:rsidRPr="00C55676" w:rsidRDefault="00B659EB" w:rsidP="00B659EB">
            <w:pPr>
              <w:spacing w:after="120"/>
              <w:rPr>
                <w:rFonts w:ascii="Arial" w:hAnsi="Arial" w:cs="Arial"/>
              </w:rPr>
            </w:pPr>
            <w:r w:rsidRPr="00C55676">
              <w:rPr>
                <w:rFonts w:ascii="Arial" w:hAnsi="Arial" w:cs="Arial"/>
              </w:rPr>
              <w:t>1,750,615</w:t>
            </w:r>
          </w:p>
        </w:tc>
      </w:tr>
      <w:tr w:rsidR="00B659EB" w:rsidRPr="00B659EB" w:rsidTr="00B659EB">
        <w:tc>
          <w:tcPr>
            <w:tcW w:w="1298" w:type="dxa"/>
          </w:tcPr>
          <w:p w:rsidR="00B659EB" w:rsidRPr="00C55676" w:rsidRDefault="00B659EB" w:rsidP="00B659EB">
            <w:pPr>
              <w:spacing w:after="120"/>
              <w:rPr>
                <w:rFonts w:ascii="Arial" w:hAnsi="Arial" w:cs="Arial"/>
              </w:rPr>
            </w:pPr>
            <w:r w:rsidRPr="00C55676">
              <w:rPr>
                <w:rFonts w:ascii="Arial" w:hAnsi="Arial" w:cs="Arial"/>
              </w:rPr>
              <w:t>2011</w:t>
            </w:r>
          </w:p>
        </w:tc>
        <w:tc>
          <w:tcPr>
            <w:tcW w:w="1470" w:type="dxa"/>
          </w:tcPr>
          <w:p w:rsidR="00B659EB" w:rsidRPr="00C55676" w:rsidRDefault="00B659EB" w:rsidP="00B659EB">
            <w:pPr>
              <w:spacing w:after="120"/>
              <w:rPr>
                <w:rFonts w:ascii="Arial" w:hAnsi="Arial" w:cs="Arial"/>
              </w:rPr>
            </w:pPr>
            <w:r w:rsidRPr="00C55676">
              <w:rPr>
                <w:rFonts w:ascii="Arial" w:hAnsi="Arial" w:cs="Arial"/>
              </w:rPr>
              <w:t>2,245,380</w:t>
            </w:r>
          </w:p>
        </w:tc>
        <w:tc>
          <w:tcPr>
            <w:tcW w:w="1470" w:type="dxa"/>
          </w:tcPr>
          <w:p w:rsidR="00B659EB" w:rsidRPr="00C55676" w:rsidRDefault="00B659EB" w:rsidP="00B659EB">
            <w:pPr>
              <w:spacing w:after="120"/>
              <w:rPr>
                <w:rFonts w:ascii="Arial" w:hAnsi="Arial" w:cs="Arial"/>
              </w:rPr>
            </w:pPr>
            <w:r w:rsidRPr="00C55676">
              <w:rPr>
                <w:rFonts w:ascii="Arial" w:hAnsi="Arial" w:cs="Arial"/>
              </w:rPr>
              <w:t>2,120,093</w:t>
            </w:r>
          </w:p>
        </w:tc>
        <w:tc>
          <w:tcPr>
            <w:tcW w:w="1284" w:type="dxa"/>
          </w:tcPr>
          <w:p w:rsidR="00B659EB" w:rsidRPr="00C55676" w:rsidRDefault="00B659EB" w:rsidP="00B659EB">
            <w:pPr>
              <w:spacing w:after="120"/>
              <w:rPr>
                <w:rFonts w:ascii="Arial" w:hAnsi="Arial" w:cs="Arial"/>
              </w:rPr>
            </w:pPr>
            <w:r w:rsidRPr="00C55676">
              <w:rPr>
                <w:rFonts w:ascii="Arial" w:hAnsi="Arial" w:cs="Arial"/>
              </w:rPr>
              <w:t>1,877,951</w:t>
            </w:r>
          </w:p>
        </w:tc>
        <w:tc>
          <w:tcPr>
            <w:tcW w:w="1233" w:type="dxa"/>
          </w:tcPr>
          <w:p w:rsidR="00B659EB" w:rsidRPr="00C55676" w:rsidRDefault="00B659EB" w:rsidP="00B659EB">
            <w:pPr>
              <w:spacing w:after="120"/>
              <w:rPr>
                <w:rFonts w:ascii="Arial" w:hAnsi="Arial" w:cs="Arial"/>
              </w:rPr>
            </w:pPr>
            <w:r w:rsidRPr="00C55676">
              <w:rPr>
                <w:rFonts w:ascii="Arial" w:hAnsi="Arial" w:cs="Arial"/>
              </w:rPr>
              <w:t>318,592</w:t>
            </w:r>
          </w:p>
        </w:tc>
        <w:tc>
          <w:tcPr>
            <w:tcW w:w="1537" w:type="dxa"/>
          </w:tcPr>
          <w:p w:rsidR="00B659EB" w:rsidRPr="00C55676" w:rsidRDefault="00B659EB" w:rsidP="00B659EB">
            <w:pPr>
              <w:spacing w:after="120"/>
              <w:rPr>
                <w:rFonts w:ascii="Arial" w:hAnsi="Arial" w:cs="Arial"/>
              </w:rPr>
            </w:pPr>
            <w:r w:rsidRPr="00C55676">
              <w:rPr>
                <w:rFonts w:ascii="Arial" w:hAnsi="Arial" w:cs="Arial"/>
              </w:rPr>
              <w:t>2,196,543</w:t>
            </w:r>
          </w:p>
        </w:tc>
        <w:tc>
          <w:tcPr>
            <w:tcW w:w="1284" w:type="dxa"/>
          </w:tcPr>
          <w:p w:rsidR="00B659EB" w:rsidRPr="00C55676" w:rsidRDefault="00B659EB" w:rsidP="00B659EB">
            <w:pPr>
              <w:spacing w:after="120"/>
              <w:rPr>
                <w:rFonts w:ascii="Arial" w:hAnsi="Arial" w:cs="Arial"/>
              </w:rPr>
            </w:pPr>
            <w:r w:rsidRPr="00C55676">
              <w:rPr>
                <w:rFonts w:ascii="Arial" w:hAnsi="Arial" w:cs="Arial"/>
              </w:rPr>
              <w:t>2,037,247</w:t>
            </w:r>
          </w:p>
        </w:tc>
      </w:tr>
      <w:tr w:rsidR="00B659EB" w:rsidRPr="00B659EB" w:rsidTr="00B659EB">
        <w:tc>
          <w:tcPr>
            <w:tcW w:w="1298" w:type="dxa"/>
          </w:tcPr>
          <w:p w:rsidR="00B659EB" w:rsidRPr="00C55676" w:rsidRDefault="00B659EB" w:rsidP="00B659EB">
            <w:pPr>
              <w:spacing w:after="120"/>
              <w:rPr>
                <w:rFonts w:ascii="Arial" w:hAnsi="Arial" w:cs="Arial"/>
              </w:rPr>
            </w:pPr>
            <w:r w:rsidRPr="00C55676">
              <w:rPr>
                <w:rFonts w:ascii="Arial" w:hAnsi="Arial" w:cs="Arial"/>
              </w:rPr>
              <w:t>2012</w:t>
            </w:r>
          </w:p>
        </w:tc>
        <w:tc>
          <w:tcPr>
            <w:tcW w:w="1470" w:type="dxa"/>
          </w:tcPr>
          <w:p w:rsidR="00B659EB" w:rsidRPr="00C55676" w:rsidRDefault="00B659EB" w:rsidP="00B659EB">
            <w:pPr>
              <w:spacing w:after="120"/>
              <w:rPr>
                <w:rFonts w:ascii="Arial" w:hAnsi="Arial" w:cs="Arial"/>
              </w:rPr>
            </w:pPr>
            <w:r w:rsidRPr="00C55676">
              <w:rPr>
                <w:rFonts w:ascii="Arial" w:hAnsi="Arial" w:cs="Arial"/>
              </w:rPr>
              <w:t>2,608,149</w:t>
            </w:r>
          </w:p>
        </w:tc>
        <w:tc>
          <w:tcPr>
            <w:tcW w:w="1470" w:type="dxa"/>
          </w:tcPr>
          <w:p w:rsidR="00B659EB" w:rsidRPr="00C55676" w:rsidRDefault="00B659EB" w:rsidP="00B659EB">
            <w:pPr>
              <w:spacing w:after="120"/>
              <w:rPr>
                <w:rFonts w:ascii="Arial" w:hAnsi="Arial" w:cs="Arial"/>
              </w:rPr>
            </w:pPr>
            <w:r w:rsidRPr="00C55676">
              <w:rPr>
                <w:rFonts w:ascii="Arial" w:hAnsi="Arial" w:cs="Arial"/>
              </w:rPr>
              <w:t>2,613,878</w:t>
            </w:r>
          </w:p>
        </w:tc>
        <w:tc>
          <w:tcPr>
            <w:tcW w:w="1284" w:type="dxa"/>
          </w:tcPr>
          <w:p w:rsidR="00B659EB" w:rsidRPr="00C55676" w:rsidRDefault="00B659EB" w:rsidP="00B659EB">
            <w:pPr>
              <w:spacing w:after="120"/>
              <w:rPr>
                <w:rFonts w:ascii="Arial" w:hAnsi="Arial" w:cs="Arial"/>
              </w:rPr>
            </w:pPr>
            <w:r w:rsidRPr="00C55676">
              <w:rPr>
                <w:rFonts w:ascii="Arial" w:hAnsi="Arial" w:cs="Arial"/>
              </w:rPr>
              <w:t>2,140,007</w:t>
            </w:r>
          </w:p>
        </w:tc>
        <w:tc>
          <w:tcPr>
            <w:tcW w:w="1233" w:type="dxa"/>
          </w:tcPr>
          <w:p w:rsidR="00B659EB" w:rsidRPr="00C55676" w:rsidRDefault="00B659EB" w:rsidP="00B659EB">
            <w:pPr>
              <w:spacing w:after="120"/>
              <w:rPr>
                <w:rFonts w:ascii="Arial" w:hAnsi="Arial" w:cs="Arial"/>
              </w:rPr>
            </w:pPr>
            <w:r w:rsidRPr="00C55676">
              <w:rPr>
                <w:rFonts w:ascii="Arial" w:hAnsi="Arial" w:cs="Arial"/>
              </w:rPr>
              <w:t>617,693</w:t>
            </w:r>
          </w:p>
        </w:tc>
        <w:tc>
          <w:tcPr>
            <w:tcW w:w="1537" w:type="dxa"/>
          </w:tcPr>
          <w:p w:rsidR="00B659EB" w:rsidRPr="00C55676" w:rsidRDefault="00B659EB" w:rsidP="00B659EB">
            <w:pPr>
              <w:spacing w:after="120"/>
              <w:rPr>
                <w:rFonts w:ascii="Arial" w:hAnsi="Arial" w:cs="Arial"/>
              </w:rPr>
            </w:pPr>
            <w:r w:rsidRPr="00C55676">
              <w:rPr>
                <w:rFonts w:ascii="Arial" w:hAnsi="Arial" w:cs="Arial"/>
              </w:rPr>
              <w:t>2,757,700</w:t>
            </w:r>
          </w:p>
        </w:tc>
        <w:tc>
          <w:tcPr>
            <w:tcW w:w="1284" w:type="dxa"/>
          </w:tcPr>
          <w:p w:rsidR="00B659EB" w:rsidRPr="00C55676" w:rsidRDefault="00B659EB" w:rsidP="00B659EB">
            <w:pPr>
              <w:spacing w:after="120"/>
              <w:rPr>
                <w:rFonts w:ascii="Arial" w:hAnsi="Arial" w:cs="Arial"/>
              </w:rPr>
            </w:pPr>
            <w:r w:rsidRPr="00C55676">
              <w:rPr>
                <w:rFonts w:ascii="Arial" w:hAnsi="Arial" w:cs="Arial"/>
              </w:rPr>
              <w:t>2,448,853</w:t>
            </w:r>
          </w:p>
        </w:tc>
      </w:tr>
      <w:tr w:rsidR="00B659EB" w:rsidRPr="00B659EB" w:rsidTr="00B659EB">
        <w:tc>
          <w:tcPr>
            <w:tcW w:w="1298" w:type="dxa"/>
          </w:tcPr>
          <w:p w:rsidR="00B659EB" w:rsidRPr="00C55676" w:rsidRDefault="00B659EB" w:rsidP="00B659EB">
            <w:pPr>
              <w:spacing w:after="120"/>
              <w:rPr>
                <w:rFonts w:ascii="Arial" w:hAnsi="Arial" w:cs="Arial"/>
              </w:rPr>
            </w:pPr>
            <w:r w:rsidRPr="00C55676">
              <w:rPr>
                <w:rFonts w:ascii="Arial" w:hAnsi="Arial" w:cs="Arial"/>
              </w:rPr>
              <w:t>2013</w:t>
            </w:r>
          </w:p>
        </w:tc>
        <w:tc>
          <w:tcPr>
            <w:tcW w:w="1470" w:type="dxa"/>
          </w:tcPr>
          <w:p w:rsidR="00B659EB" w:rsidRPr="00C55676" w:rsidRDefault="00B659EB" w:rsidP="00B659EB">
            <w:pPr>
              <w:spacing w:after="120"/>
              <w:rPr>
                <w:rFonts w:ascii="Arial" w:hAnsi="Arial" w:cs="Arial"/>
              </w:rPr>
            </w:pPr>
            <w:r w:rsidRPr="00C55676">
              <w:rPr>
                <w:rFonts w:ascii="Arial" w:hAnsi="Arial" w:cs="Arial"/>
              </w:rPr>
              <w:t>3,164,453</w:t>
            </w:r>
          </w:p>
        </w:tc>
        <w:tc>
          <w:tcPr>
            <w:tcW w:w="1470" w:type="dxa"/>
          </w:tcPr>
          <w:p w:rsidR="00B659EB" w:rsidRPr="00C55676" w:rsidRDefault="00B659EB" w:rsidP="00B659EB">
            <w:pPr>
              <w:spacing w:after="120"/>
              <w:rPr>
                <w:rFonts w:ascii="Arial" w:hAnsi="Arial" w:cs="Arial"/>
              </w:rPr>
            </w:pPr>
            <w:r w:rsidRPr="00C55676">
              <w:rPr>
                <w:rFonts w:ascii="Arial" w:hAnsi="Arial" w:cs="Arial"/>
              </w:rPr>
              <w:t>2,940,658</w:t>
            </w:r>
          </w:p>
        </w:tc>
        <w:tc>
          <w:tcPr>
            <w:tcW w:w="1284" w:type="dxa"/>
          </w:tcPr>
          <w:p w:rsidR="00B659EB" w:rsidRPr="00C55676" w:rsidRDefault="00B659EB" w:rsidP="00B659EB">
            <w:pPr>
              <w:spacing w:after="120"/>
              <w:rPr>
                <w:rFonts w:ascii="Arial" w:hAnsi="Arial" w:cs="Arial"/>
              </w:rPr>
            </w:pPr>
            <w:r w:rsidRPr="00C55676">
              <w:rPr>
                <w:rFonts w:ascii="Arial" w:hAnsi="Arial" w:cs="Arial"/>
              </w:rPr>
              <w:t>2,741,487</w:t>
            </w:r>
          </w:p>
        </w:tc>
        <w:tc>
          <w:tcPr>
            <w:tcW w:w="1233" w:type="dxa"/>
          </w:tcPr>
          <w:p w:rsidR="00B659EB" w:rsidRPr="00C55676" w:rsidRDefault="00B659EB" w:rsidP="00B659EB">
            <w:pPr>
              <w:spacing w:after="120"/>
              <w:rPr>
                <w:rFonts w:ascii="Arial" w:hAnsi="Arial" w:cs="Arial"/>
              </w:rPr>
            </w:pPr>
            <w:r w:rsidRPr="00C55676">
              <w:rPr>
                <w:rFonts w:ascii="Arial" w:hAnsi="Arial" w:cs="Arial"/>
              </w:rPr>
              <w:t>213,898</w:t>
            </w:r>
          </w:p>
        </w:tc>
        <w:tc>
          <w:tcPr>
            <w:tcW w:w="1537" w:type="dxa"/>
          </w:tcPr>
          <w:p w:rsidR="00B659EB" w:rsidRPr="00C55676" w:rsidRDefault="00B659EB" w:rsidP="00B659EB">
            <w:pPr>
              <w:spacing w:after="120"/>
              <w:rPr>
                <w:rFonts w:ascii="Arial" w:hAnsi="Arial" w:cs="Arial"/>
              </w:rPr>
            </w:pPr>
            <w:r w:rsidRPr="00C55676">
              <w:rPr>
                <w:rFonts w:ascii="Arial" w:hAnsi="Arial" w:cs="Arial"/>
              </w:rPr>
              <w:t>2,955,385</w:t>
            </w:r>
          </w:p>
        </w:tc>
        <w:tc>
          <w:tcPr>
            <w:tcW w:w="1284" w:type="dxa"/>
          </w:tcPr>
          <w:p w:rsidR="00B659EB" w:rsidRPr="00C55676" w:rsidRDefault="00B659EB" w:rsidP="00B659EB">
            <w:pPr>
              <w:spacing w:after="120"/>
              <w:rPr>
                <w:rFonts w:ascii="Arial" w:hAnsi="Arial" w:cs="Arial"/>
              </w:rPr>
            </w:pPr>
            <w:r w:rsidRPr="00C55676">
              <w:rPr>
                <w:rFonts w:ascii="Arial" w:hAnsi="Arial" w:cs="Arial"/>
              </w:rPr>
              <w:t>2,848,436</w:t>
            </w:r>
          </w:p>
        </w:tc>
      </w:tr>
      <w:tr w:rsidR="00B659EB" w:rsidRPr="00B659EB" w:rsidTr="00B659EB">
        <w:tc>
          <w:tcPr>
            <w:tcW w:w="1298" w:type="dxa"/>
          </w:tcPr>
          <w:p w:rsidR="00B659EB" w:rsidRPr="00C55676" w:rsidRDefault="00B659EB" w:rsidP="00B659EB">
            <w:pPr>
              <w:spacing w:after="120"/>
              <w:rPr>
                <w:rFonts w:ascii="Arial" w:hAnsi="Arial" w:cs="Arial"/>
              </w:rPr>
            </w:pPr>
            <w:r w:rsidRPr="00C55676">
              <w:rPr>
                <w:rFonts w:ascii="Arial" w:hAnsi="Arial" w:cs="Arial"/>
              </w:rPr>
              <w:t>2014</w:t>
            </w:r>
          </w:p>
        </w:tc>
        <w:tc>
          <w:tcPr>
            <w:tcW w:w="1470" w:type="dxa"/>
          </w:tcPr>
          <w:p w:rsidR="00B659EB" w:rsidRPr="00C55676" w:rsidRDefault="00B659EB" w:rsidP="00B659EB">
            <w:pPr>
              <w:spacing w:after="120"/>
              <w:rPr>
                <w:rFonts w:ascii="Arial" w:hAnsi="Arial" w:cs="Arial"/>
              </w:rPr>
            </w:pPr>
            <w:r w:rsidRPr="00C55676">
              <w:rPr>
                <w:rFonts w:ascii="Arial" w:hAnsi="Arial" w:cs="Arial"/>
              </w:rPr>
              <w:t>3,267,586</w:t>
            </w:r>
          </w:p>
        </w:tc>
        <w:tc>
          <w:tcPr>
            <w:tcW w:w="1470" w:type="dxa"/>
          </w:tcPr>
          <w:p w:rsidR="00B659EB" w:rsidRPr="00C55676" w:rsidRDefault="00B659EB" w:rsidP="00B659EB">
            <w:pPr>
              <w:spacing w:after="120"/>
              <w:rPr>
                <w:rFonts w:ascii="Arial" w:hAnsi="Arial" w:cs="Arial"/>
              </w:rPr>
            </w:pPr>
            <w:r w:rsidRPr="00C55676">
              <w:rPr>
                <w:rFonts w:ascii="Arial" w:hAnsi="Arial" w:cs="Arial"/>
              </w:rPr>
              <w:t>3,426,778</w:t>
            </w:r>
          </w:p>
        </w:tc>
        <w:tc>
          <w:tcPr>
            <w:tcW w:w="1284" w:type="dxa"/>
          </w:tcPr>
          <w:p w:rsidR="00B659EB" w:rsidRPr="00C55676" w:rsidRDefault="00B659EB" w:rsidP="00B659EB">
            <w:pPr>
              <w:spacing w:after="120"/>
              <w:rPr>
                <w:rFonts w:ascii="Arial" w:hAnsi="Arial" w:cs="Arial"/>
              </w:rPr>
            </w:pPr>
            <w:r w:rsidRPr="00C55676">
              <w:rPr>
                <w:rFonts w:ascii="Arial" w:hAnsi="Arial" w:cs="Arial"/>
              </w:rPr>
              <w:t>2,762,927</w:t>
            </w:r>
          </w:p>
        </w:tc>
        <w:tc>
          <w:tcPr>
            <w:tcW w:w="1233" w:type="dxa"/>
          </w:tcPr>
          <w:p w:rsidR="00B659EB" w:rsidRPr="00C55676" w:rsidRDefault="00B659EB" w:rsidP="00B659EB">
            <w:pPr>
              <w:spacing w:after="120"/>
              <w:rPr>
                <w:rFonts w:ascii="Arial" w:hAnsi="Arial" w:cs="Arial"/>
              </w:rPr>
            </w:pPr>
            <w:r w:rsidRPr="00C55676">
              <w:rPr>
                <w:rFonts w:ascii="Arial" w:hAnsi="Arial" w:cs="Arial"/>
              </w:rPr>
              <w:t>781,079</w:t>
            </w:r>
          </w:p>
        </w:tc>
        <w:tc>
          <w:tcPr>
            <w:tcW w:w="1537" w:type="dxa"/>
          </w:tcPr>
          <w:p w:rsidR="00B659EB" w:rsidRPr="00C55676" w:rsidRDefault="00B659EB" w:rsidP="00B659EB">
            <w:pPr>
              <w:spacing w:after="120"/>
              <w:rPr>
                <w:rFonts w:ascii="Arial" w:hAnsi="Arial" w:cs="Arial"/>
              </w:rPr>
            </w:pPr>
            <w:r w:rsidRPr="00C55676">
              <w:rPr>
                <w:rFonts w:ascii="Arial" w:hAnsi="Arial" w:cs="Arial"/>
              </w:rPr>
              <w:t>3,544,006</w:t>
            </w:r>
          </w:p>
        </w:tc>
        <w:tc>
          <w:tcPr>
            <w:tcW w:w="1284" w:type="dxa"/>
          </w:tcPr>
          <w:p w:rsidR="00B659EB" w:rsidRPr="00C55676" w:rsidRDefault="00B659EB" w:rsidP="00B659EB">
            <w:pPr>
              <w:spacing w:after="120"/>
              <w:rPr>
                <w:rFonts w:ascii="Arial" w:hAnsi="Arial" w:cs="Arial"/>
              </w:rPr>
            </w:pPr>
            <w:r w:rsidRPr="00C55676">
              <w:rPr>
                <w:rFonts w:ascii="Arial" w:hAnsi="Arial" w:cs="Arial"/>
              </w:rPr>
              <w:t>3,153,467</w:t>
            </w:r>
          </w:p>
        </w:tc>
      </w:tr>
    </w:tbl>
    <w:p w:rsidR="00B659EB" w:rsidRPr="00B659EB" w:rsidRDefault="00B659EB" w:rsidP="00B659EB">
      <w:pPr>
        <w:spacing w:after="120" w:line="240" w:lineRule="auto"/>
        <w:rPr>
          <w:rFonts w:ascii="Arial" w:eastAsia="Calibri" w:hAnsi="Arial" w:cs="Arial"/>
          <w:sz w:val="24"/>
          <w:szCs w:val="24"/>
          <w:u w:val="single"/>
          <w:lang w:eastAsia="en-US"/>
        </w:rPr>
      </w:pPr>
    </w:p>
    <w:p w:rsidR="00B659EB" w:rsidRDefault="00B659EB" w:rsidP="00847560">
      <w:pPr>
        <w:widowControl w:val="0"/>
        <w:tabs>
          <w:tab w:val="left" w:pos="625"/>
        </w:tabs>
        <w:spacing w:before="13" w:after="0"/>
        <w:ind w:right="360"/>
        <w:contextualSpacing/>
        <w:jc w:val="both"/>
        <w:rPr>
          <w:rFonts w:ascii="Arial" w:eastAsia="Arial" w:hAnsi="Arial" w:cs="Arial"/>
          <w:sz w:val="24"/>
          <w:szCs w:val="24"/>
          <w:lang w:val="en-US" w:eastAsia="en-US"/>
        </w:rPr>
      </w:pPr>
    </w:p>
    <w:p w:rsidR="00B659EB" w:rsidRDefault="00B659EB" w:rsidP="00847560">
      <w:pPr>
        <w:widowControl w:val="0"/>
        <w:tabs>
          <w:tab w:val="left" w:pos="625"/>
        </w:tabs>
        <w:spacing w:before="13" w:after="0"/>
        <w:ind w:right="360"/>
        <w:contextualSpacing/>
        <w:jc w:val="both"/>
        <w:rPr>
          <w:rFonts w:ascii="Arial" w:eastAsia="Arial" w:hAnsi="Arial" w:cs="Arial"/>
          <w:sz w:val="24"/>
          <w:szCs w:val="24"/>
          <w:lang w:val="en-US" w:eastAsia="en-US"/>
        </w:rPr>
      </w:pPr>
    </w:p>
    <w:p w:rsidR="00B659EB" w:rsidRDefault="00B659EB" w:rsidP="00847560">
      <w:pPr>
        <w:widowControl w:val="0"/>
        <w:tabs>
          <w:tab w:val="left" w:pos="625"/>
        </w:tabs>
        <w:spacing w:before="13" w:after="0"/>
        <w:ind w:right="360"/>
        <w:contextualSpacing/>
        <w:jc w:val="both"/>
        <w:rPr>
          <w:rFonts w:ascii="Arial" w:eastAsia="Arial" w:hAnsi="Arial" w:cs="Arial"/>
          <w:sz w:val="24"/>
          <w:szCs w:val="24"/>
          <w:lang w:val="en-US" w:eastAsia="en-US"/>
        </w:rPr>
      </w:pPr>
    </w:p>
    <w:p w:rsidR="005516FC" w:rsidRPr="00BF146B" w:rsidRDefault="005516FC" w:rsidP="00847560">
      <w:pPr>
        <w:widowControl w:val="0"/>
        <w:tabs>
          <w:tab w:val="left" w:pos="625"/>
        </w:tabs>
        <w:spacing w:before="13" w:after="0"/>
        <w:ind w:right="360"/>
        <w:rPr>
          <w:rFonts w:ascii="Arial" w:eastAsia="Arial" w:hAnsi="Arial" w:cs="Arial"/>
          <w:sz w:val="24"/>
          <w:szCs w:val="24"/>
          <w:lang w:val="en-US" w:eastAsia="en-US"/>
        </w:rPr>
      </w:pPr>
      <w:r w:rsidRPr="00BF146B">
        <w:rPr>
          <w:rFonts w:ascii="Arial" w:eastAsia="Arial" w:hAnsi="Arial" w:cs="Arial"/>
          <w:b/>
          <w:bCs/>
          <w:sz w:val="24"/>
          <w:szCs w:val="24"/>
          <w:lang w:val="en-US" w:eastAsia="en-US"/>
        </w:rPr>
        <w:t>4.0</w:t>
      </w:r>
      <w:r w:rsidRPr="00BF146B">
        <w:rPr>
          <w:rFonts w:ascii="Arial" w:eastAsia="Arial" w:hAnsi="Arial" w:cs="Arial"/>
          <w:b/>
          <w:bCs/>
          <w:sz w:val="24"/>
          <w:szCs w:val="24"/>
          <w:lang w:val="en-US" w:eastAsia="en-US"/>
        </w:rPr>
        <w:tab/>
        <w:t>OPERATING COSTS (EXHIBIT 4)</w:t>
      </w:r>
    </w:p>
    <w:p w:rsidR="005516FC" w:rsidRDefault="005516FC" w:rsidP="00847560">
      <w:pPr>
        <w:spacing w:after="0"/>
        <w:ind w:left="720"/>
        <w:contextualSpacing/>
        <w:rPr>
          <w:rFonts w:ascii="Arial" w:eastAsia="Arial" w:hAnsi="Arial" w:cs="Arial"/>
          <w:sz w:val="24"/>
          <w:szCs w:val="24"/>
          <w:lang w:val="en-US" w:eastAsia="en-US"/>
        </w:rPr>
      </w:pPr>
    </w:p>
    <w:p w:rsidR="005F0E78" w:rsidRPr="005F0E78" w:rsidRDefault="005F0E78" w:rsidP="00C55676">
      <w:pPr>
        <w:widowControl w:val="0"/>
        <w:tabs>
          <w:tab w:val="left" w:pos="625"/>
        </w:tabs>
        <w:spacing w:before="13" w:after="0"/>
        <w:ind w:left="625" w:right="360"/>
        <w:jc w:val="both"/>
        <w:rPr>
          <w:rFonts w:ascii="Arial" w:eastAsia="Arial" w:hAnsi="Arial" w:cs="Arial"/>
          <w:b/>
          <w:sz w:val="24"/>
          <w:szCs w:val="24"/>
          <w:lang w:val="en-US" w:eastAsia="en-US"/>
        </w:rPr>
      </w:pPr>
      <w:r w:rsidRPr="005F0E78">
        <w:rPr>
          <w:rFonts w:ascii="Arial" w:eastAsia="Arial" w:hAnsi="Arial" w:cs="Arial"/>
          <w:b/>
          <w:sz w:val="24"/>
          <w:szCs w:val="24"/>
          <w:lang w:val="en-US" w:eastAsia="en-US"/>
        </w:rPr>
        <w:t xml:space="preserve">VECC – CQ </w:t>
      </w:r>
      <w:r w:rsidR="00B659EB">
        <w:rPr>
          <w:rFonts w:ascii="Arial" w:eastAsia="Arial" w:hAnsi="Arial" w:cs="Arial"/>
          <w:b/>
          <w:sz w:val="24"/>
          <w:szCs w:val="24"/>
          <w:lang w:val="en-US" w:eastAsia="en-US"/>
        </w:rPr>
        <w:t>45</w:t>
      </w:r>
    </w:p>
    <w:p w:rsidR="005F0E78" w:rsidRDefault="005F0E78" w:rsidP="00C55676">
      <w:pPr>
        <w:widowControl w:val="0"/>
        <w:tabs>
          <w:tab w:val="left" w:pos="625"/>
        </w:tabs>
        <w:spacing w:before="13" w:after="0"/>
        <w:ind w:left="660" w:right="360"/>
        <w:jc w:val="both"/>
        <w:rPr>
          <w:rFonts w:ascii="Arial" w:eastAsia="Arial" w:hAnsi="Arial" w:cs="Arial"/>
          <w:sz w:val="24"/>
          <w:szCs w:val="24"/>
          <w:lang w:val="en-US" w:eastAsia="en-US"/>
        </w:rPr>
      </w:pPr>
      <w:r>
        <w:rPr>
          <w:rFonts w:ascii="Arial" w:eastAsia="Arial" w:hAnsi="Arial" w:cs="Arial"/>
          <w:sz w:val="24"/>
          <w:szCs w:val="24"/>
          <w:lang w:val="en-US" w:eastAsia="en-US"/>
        </w:rPr>
        <w:t xml:space="preserve">Reference: </w:t>
      </w:r>
      <w:r>
        <w:rPr>
          <w:rFonts w:ascii="Arial" w:eastAsia="Arial" w:hAnsi="Arial" w:cs="Arial"/>
          <w:sz w:val="24"/>
          <w:szCs w:val="24"/>
          <w:lang w:val="en-US" w:eastAsia="en-US"/>
        </w:rPr>
        <w:tab/>
        <w:t>VECC #</w:t>
      </w:r>
      <w:r w:rsidR="00B659EB">
        <w:rPr>
          <w:rFonts w:ascii="Arial" w:eastAsia="Arial" w:hAnsi="Arial" w:cs="Arial"/>
          <w:sz w:val="24"/>
          <w:szCs w:val="24"/>
          <w:lang w:val="en-US" w:eastAsia="en-US"/>
        </w:rPr>
        <w:t>34 b)</w:t>
      </w:r>
    </w:p>
    <w:p w:rsidR="005F0E78" w:rsidRPr="005516FC" w:rsidRDefault="005F0E78" w:rsidP="00C55676">
      <w:pPr>
        <w:widowControl w:val="0"/>
        <w:tabs>
          <w:tab w:val="left" w:pos="625"/>
        </w:tabs>
        <w:spacing w:before="13" w:after="0"/>
        <w:ind w:left="660" w:right="360"/>
        <w:jc w:val="both"/>
        <w:rPr>
          <w:rFonts w:ascii="Arial" w:eastAsia="Arial" w:hAnsi="Arial" w:cs="Arial"/>
          <w:sz w:val="24"/>
          <w:szCs w:val="24"/>
          <w:lang w:val="en-US" w:eastAsia="en-US"/>
        </w:rPr>
      </w:pPr>
      <w:r w:rsidRPr="005516FC">
        <w:rPr>
          <w:rFonts w:ascii="Arial" w:eastAsia="Arial" w:hAnsi="Arial" w:cs="Arial"/>
          <w:sz w:val="24"/>
          <w:szCs w:val="24"/>
          <w:lang w:val="en-US" w:eastAsia="en-US"/>
        </w:rPr>
        <w:tab/>
      </w:r>
      <w:r w:rsidRPr="005516FC">
        <w:rPr>
          <w:rFonts w:ascii="Arial" w:eastAsia="Arial" w:hAnsi="Arial" w:cs="Arial"/>
          <w:sz w:val="24"/>
          <w:szCs w:val="24"/>
          <w:lang w:val="en-US" w:eastAsia="en-US"/>
        </w:rPr>
        <w:tab/>
      </w:r>
    </w:p>
    <w:p w:rsidR="005F0E78" w:rsidRPr="005F0E78" w:rsidRDefault="005F0E78" w:rsidP="00C55676">
      <w:pPr>
        <w:pStyle w:val="ListParagraph"/>
        <w:numPr>
          <w:ilvl w:val="0"/>
          <w:numId w:val="14"/>
        </w:numPr>
        <w:spacing w:after="120"/>
        <w:rPr>
          <w:rFonts w:ascii="Arial" w:hAnsi="Arial" w:cs="Arial"/>
          <w:sz w:val="24"/>
          <w:szCs w:val="24"/>
        </w:rPr>
      </w:pPr>
      <w:r w:rsidRPr="005F0E78">
        <w:rPr>
          <w:rFonts w:ascii="Arial" w:hAnsi="Arial" w:cs="Arial"/>
          <w:sz w:val="24"/>
          <w:szCs w:val="24"/>
        </w:rPr>
        <w:t xml:space="preserve">The </w:t>
      </w:r>
      <w:r w:rsidR="00B659EB">
        <w:rPr>
          <w:rFonts w:ascii="Arial" w:hAnsi="Arial" w:cs="Arial"/>
          <w:sz w:val="24"/>
          <w:szCs w:val="24"/>
        </w:rPr>
        <w:t xml:space="preserve">model provided in </w:t>
      </w:r>
      <w:r w:rsidRPr="005F0E78">
        <w:rPr>
          <w:rFonts w:ascii="Arial" w:hAnsi="Arial" w:cs="Arial"/>
          <w:sz w:val="24"/>
          <w:szCs w:val="24"/>
        </w:rPr>
        <w:t>response to VECC #</w:t>
      </w:r>
      <w:r w:rsidR="00B659EB">
        <w:rPr>
          <w:rFonts w:ascii="Arial" w:hAnsi="Arial" w:cs="Arial"/>
          <w:sz w:val="24"/>
          <w:szCs w:val="24"/>
        </w:rPr>
        <w:t>34 b</w:t>
      </w:r>
      <w:r w:rsidRPr="005F0E78">
        <w:rPr>
          <w:rFonts w:ascii="Arial" w:hAnsi="Arial" w:cs="Arial"/>
          <w:sz w:val="24"/>
          <w:szCs w:val="24"/>
        </w:rPr>
        <w:t>) suggests that for the CDM programs impacting on demand billed customers the IESO definition of “peak” includes all 12 months of the year</w:t>
      </w:r>
      <w:r w:rsidR="00B659EB">
        <w:rPr>
          <w:rFonts w:ascii="Arial" w:hAnsi="Arial" w:cs="Arial"/>
          <w:sz w:val="24"/>
          <w:szCs w:val="24"/>
        </w:rPr>
        <w:t xml:space="preserve"> (with the exception of DR programs)</w:t>
      </w:r>
      <w:r w:rsidRPr="005F0E78">
        <w:rPr>
          <w:rFonts w:ascii="Arial" w:hAnsi="Arial" w:cs="Arial"/>
          <w:sz w:val="24"/>
          <w:szCs w:val="24"/>
        </w:rPr>
        <w:t>.  However, the IESO’s Final Report: Evaluation of Business Incentive Programs states (page D-14) that “the IESO has judged that summer peak demand savings should be used for reporting</w:t>
      </w:r>
      <w:r w:rsidRPr="005F0E78">
        <w:t>”.</w:t>
      </w:r>
      <w:r w:rsidRPr="005F0E78">
        <w:rPr>
          <w:rFonts w:ascii="Arial" w:hAnsi="Arial" w:cs="Arial"/>
          <w:sz w:val="24"/>
          <w:szCs w:val="24"/>
        </w:rPr>
        <w:t xml:space="preserve">  This report can be found at </w:t>
      </w:r>
      <w:hyperlink r:id="rId12" w:history="1">
        <w:r w:rsidRPr="005F0E78">
          <w:rPr>
            <w:rStyle w:val="Hyperlink"/>
            <w:rFonts w:ascii="Arial" w:hAnsi="Arial" w:cs="Arial"/>
            <w:sz w:val="24"/>
            <w:szCs w:val="24"/>
          </w:rPr>
          <w:t>http://cms.powerauthority.on.ca/sites/default/files/conservation/2014-Evaluation-Business-Initiatives.pdf</w:t>
        </w:r>
      </w:hyperlink>
    </w:p>
    <w:p w:rsidR="005F0E78" w:rsidRPr="005F0E78" w:rsidRDefault="005F0E78" w:rsidP="00C55676">
      <w:pPr>
        <w:pStyle w:val="ListParagraph"/>
        <w:spacing w:after="120"/>
        <w:ind w:left="1080"/>
        <w:rPr>
          <w:rFonts w:ascii="Arial" w:hAnsi="Arial" w:cs="Arial"/>
          <w:sz w:val="24"/>
          <w:szCs w:val="24"/>
        </w:rPr>
      </w:pPr>
      <w:r w:rsidRPr="005F0E78">
        <w:rPr>
          <w:rFonts w:ascii="Arial" w:hAnsi="Arial" w:cs="Arial"/>
          <w:sz w:val="24"/>
          <w:szCs w:val="24"/>
        </w:rPr>
        <w:t>Also, in EB-2015-0083, Kingston Hydro in response to Technical Conference Undertaking JT2.7 as to the definition of peak period stated:</w:t>
      </w:r>
    </w:p>
    <w:p w:rsidR="005F0E78" w:rsidRPr="005F0E78" w:rsidRDefault="005F0E78" w:rsidP="00C55676">
      <w:pPr>
        <w:pStyle w:val="ListParagraph"/>
        <w:spacing w:after="120"/>
        <w:ind w:left="0"/>
        <w:contextualSpacing w:val="0"/>
        <w:rPr>
          <w:rFonts w:ascii="Arial" w:hAnsi="Arial" w:cs="Arial"/>
          <w:sz w:val="24"/>
          <w:szCs w:val="24"/>
          <w:highlight w:val="yellow"/>
        </w:rPr>
      </w:pPr>
    </w:p>
    <w:p w:rsidR="005F0E78" w:rsidRPr="005F0E78" w:rsidRDefault="005F0E78" w:rsidP="00C55676">
      <w:pPr>
        <w:autoSpaceDE w:val="0"/>
        <w:autoSpaceDN w:val="0"/>
        <w:adjustRightInd w:val="0"/>
        <w:spacing w:after="0"/>
        <w:ind w:left="1440"/>
        <w:rPr>
          <w:rFonts w:ascii="Arial" w:hAnsi="Arial" w:cs="Arial"/>
          <w:sz w:val="24"/>
          <w:szCs w:val="24"/>
        </w:rPr>
      </w:pPr>
      <w:r w:rsidRPr="005F0E78">
        <w:rPr>
          <w:rFonts w:ascii="Arial" w:hAnsi="Arial" w:cs="Arial"/>
          <w:sz w:val="24"/>
          <w:szCs w:val="24"/>
        </w:rPr>
        <w:t>From the definitions in the Master CDM Agreement executed between all Ontario LDCs and the IESO:</w:t>
      </w:r>
    </w:p>
    <w:p w:rsidR="005F0E78" w:rsidRPr="005F0E78" w:rsidRDefault="005F0E78" w:rsidP="00C55676">
      <w:pPr>
        <w:autoSpaceDE w:val="0"/>
        <w:autoSpaceDN w:val="0"/>
        <w:adjustRightInd w:val="0"/>
        <w:spacing w:after="0"/>
        <w:ind w:left="1440"/>
        <w:rPr>
          <w:rFonts w:ascii="Arial" w:hAnsi="Arial" w:cs="Arial"/>
          <w:sz w:val="24"/>
          <w:szCs w:val="24"/>
          <w:highlight w:val="yellow"/>
        </w:rPr>
      </w:pPr>
    </w:p>
    <w:p w:rsidR="005F0E78" w:rsidRPr="005F0E78" w:rsidRDefault="005F0E78" w:rsidP="00C55676">
      <w:pPr>
        <w:autoSpaceDE w:val="0"/>
        <w:autoSpaceDN w:val="0"/>
        <w:adjustRightInd w:val="0"/>
        <w:spacing w:after="0"/>
        <w:ind w:left="1440"/>
        <w:rPr>
          <w:rFonts w:ascii="Arial" w:hAnsi="Arial" w:cs="Arial"/>
          <w:sz w:val="24"/>
          <w:szCs w:val="24"/>
        </w:rPr>
      </w:pPr>
      <w:r w:rsidRPr="005F0E78">
        <w:rPr>
          <w:rFonts w:ascii="Arial" w:hAnsi="Arial" w:cs="Arial"/>
          <w:sz w:val="24"/>
          <w:szCs w:val="24"/>
        </w:rPr>
        <w:t>“</w:t>
      </w:r>
      <w:r w:rsidRPr="005F0E78">
        <w:rPr>
          <w:rFonts w:ascii="Arial" w:hAnsi="Arial" w:cs="Arial"/>
          <w:b/>
          <w:bCs/>
          <w:sz w:val="24"/>
          <w:szCs w:val="24"/>
        </w:rPr>
        <w:t>Peak Demand Savings</w:t>
      </w:r>
      <w:r w:rsidRPr="005F0E78">
        <w:rPr>
          <w:rFonts w:ascii="Arial" w:hAnsi="Arial" w:cs="Arial"/>
          <w:sz w:val="24"/>
          <w:szCs w:val="24"/>
        </w:rPr>
        <w:t>” means electricity peak demand savings determined pursuant to the OPA EM&amp;V Protocols.</w:t>
      </w:r>
    </w:p>
    <w:p w:rsidR="005F0E78" w:rsidRPr="005F0E78" w:rsidRDefault="005F0E78" w:rsidP="00C55676">
      <w:pPr>
        <w:autoSpaceDE w:val="0"/>
        <w:autoSpaceDN w:val="0"/>
        <w:adjustRightInd w:val="0"/>
        <w:spacing w:after="0"/>
        <w:ind w:left="1440"/>
        <w:rPr>
          <w:rFonts w:ascii="Arial" w:hAnsi="Arial" w:cs="Arial"/>
          <w:sz w:val="24"/>
          <w:szCs w:val="24"/>
          <w:highlight w:val="yellow"/>
        </w:rPr>
      </w:pPr>
    </w:p>
    <w:p w:rsidR="005F0E78" w:rsidRPr="005F0E78" w:rsidRDefault="00A732A0" w:rsidP="00C55676">
      <w:pPr>
        <w:autoSpaceDE w:val="0"/>
        <w:autoSpaceDN w:val="0"/>
        <w:adjustRightInd w:val="0"/>
        <w:spacing w:after="0"/>
        <w:ind w:left="1440"/>
        <w:rPr>
          <w:rFonts w:ascii="Arial" w:hAnsi="Arial" w:cs="Arial"/>
          <w:sz w:val="24"/>
          <w:szCs w:val="24"/>
        </w:rPr>
      </w:pPr>
      <w:r>
        <w:rPr>
          <w:rFonts w:ascii="Arial" w:hAnsi="Arial" w:cs="Arial"/>
          <w:sz w:val="24"/>
          <w:szCs w:val="24"/>
        </w:rPr>
        <w:t>From ERII Schedule F</w:t>
      </w:r>
      <w:r w:rsidR="005F0E78" w:rsidRPr="005F0E78">
        <w:rPr>
          <w:rFonts w:ascii="Arial" w:hAnsi="Arial" w:cs="Arial"/>
          <w:sz w:val="24"/>
          <w:szCs w:val="24"/>
        </w:rPr>
        <w:t>, EM&amp;V Protocols Section 3:</w:t>
      </w:r>
    </w:p>
    <w:p w:rsidR="005F0E78" w:rsidRPr="005F0E78" w:rsidRDefault="005F0E78" w:rsidP="00C55676">
      <w:pPr>
        <w:autoSpaceDE w:val="0"/>
        <w:autoSpaceDN w:val="0"/>
        <w:adjustRightInd w:val="0"/>
        <w:spacing w:after="0"/>
        <w:ind w:left="1440"/>
        <w:rPr>
          <w:rFonts w:ascii="Arial" w:hAnsi="Arial" w:cs="Arial"/>
          <w:sz w:val="24"/>
          <w:szCs w:val="24"/>
        </w:rPr>
      </w:pPr>
      <w:r w:rsidRPr="005F0E78">
        <w:rPr>
          <w:rFonts w:ascii="Arial" w:hAnsi="Arial" w:cs="Arial"/>
          <w:b/>
          <w:bCs/>
          <w:sz w:val="24"/>
          <w:szCs w:val="24"/>
        </w:rPr>
        <w:t xml:space="preserve">Demand Savings </w:t>
      </w:r>
      <w:r w:rsidRPr="005F0E78">
        <w:rPr>
          <w:rFonts w:ascii="Arial" w:hAnsi="Arial" w:cs="Arial"/>
          <w:sz w:val="24"/>
          <w:szCs w:val="24"/>
        </w:rPr>
        <w:t>(kW) are the maximum reduction in electricity demand between the Base Case and the Energy Efficient Case occurri</w:t>
      </w:r>
      <w:r w:rsidR="00A732A0">
        <w:rPr>
          <w:rFonts w:ascii="Arial" w:hAnsi="Arial" w:cs="Arial"/>
          <w:sz w:val="24"/>
          <w:szCs w:val="24"/>
        </w:rPr>
        <w:t xml:space="preserve">ng in the same hour between 11 </w:t>
      </w:r>
      <w:r w:rsidRPr="005F0E78">
        <w:rPr>
          <w:rFonts w:ascii="Arial" w:hAnsi="Arial" w:cs="Arial"/>
          <w:sz w:val="24"/>
          <w:szCs w:val="24"/>
        </w:rPr>
        <w:t>a.m. to 5 p.m. on business days, May through October.</w:t>
      </w:r>
    </w:p>
    <w:p w:rsidR="005F0E78" w:rsidRPr="005F0E78" w:rsidRDefault="005F0E78" w:rsidP="00C55676">
      <w:pPr>
        <w:autoSpaceDE w:val="0"/>
        <w:autoSpaceDN w:val="0"/>
        <w:adjustRightInd w:val="0"/>
        <w:spacing w:after="0"/>
        <w:ind w:left="1440"/>
        <w:rPr>
          <w:rFonts w:ascii="Arial" w:hAnsi="Arial" w:cs="Arial"/>
          <w:sz w:val="24"/>
          <w:szCs w:val="24"/>
          <w:highlight w:val="yellow"/>
        </w:rPr>
      </w:pPr>
    </w:p>
    <w:p w:rsidR="005F0E78" w:rsidRDefault="005F0E78" w:rsidP="00C55676">
      <w:pPr>
        <w:autoSpaceDE w:val="0"/>
        <w:autoSpaceDN w:val="0"/>
        <w:adjustRightInd w:val="0"/>
        <w:spacing w:after="0"/>
        <w:ind w:left="720"/>
        <w:rPr>
          <w:rFonts w:ascii="Arial" w:hAnsi="Arial" w:cs="Arial"/>
          <w:sz w:val="24"/>
          <w:szCs w:val="24"/>
        </w:rPr>
      </w:pPr>
      <w:r w:rsidRPr="005F0E78">
        <w:rPr>
          <w:rFonts w:ascii="Arial" w:hAnsi="Arial" w:cs="Arial"/>
          <w:sz w:val="24"/>
          <w:szCs w:val="24"/>
        </w:rPr>
        <w:t xml:space="preserve">Please provide the IESO documentation supporting </w:t>
      </w:r>
      <w:proofErr w:type="spellStart"/>
      <w:r w:rsidR="00B659EB">
        <w:rPr>
          <w:rFonts w:ascii="Arial" w:hAnsi="Arial" w:cs="Arial"/>
          <w:sz w:val="24"/>
          <w:szCs w:val="24"/>
        </w:rPr>
        <w:t>Wasaga</w:t>
      </w:r>
      <w:r w:rsidRPr="005F0E78">
        <w:rPr>
          <w:rFonts w:ascii="Arial" w:hAnsi="Arial" w:cs="Arial"/>
          <w:sz w:val="24"/>
          <w:szCs w:val="24"/>
        </w:rPr>
        <w:t>’s</w:t>
      </w:r>
      <w:proofErr w:type="spellEnd"/>
      <w:r w:rsidRPr="005F0E78">
        <w:rPr>
          <w:rFonts w:ascii="Arial" w:hAnsi="Arial" w:cs="Arial"/>
          <w:sz w:val="24"/>
          <w:szCs w:val="24"/>
        </w:rPr>
        <w:t xml:space="preserve"> contention that the peak period applicable to CDM programs impacting demand billed customers extends over the each of the 12 months of the year.</w:t>
      </w:r>
    </w:p>
    <w:p w:rsidR="005F0E78" w:rsidRPr="005516FC" w:rsidRDefault="005F0E78" w:rsidP="00C55676">
      <w:pPr>
        <w:spacing w:after="0"/>
        <w:ind w:left="720"/>
        <w:contextualSpacing/>
        <w:rPr>
          <w:rFonts w:ascii="Arial" w:eastAsia="Arial" w:hAnsi="Arial" w:cs="Arial"/>
          <w:sz w:val="24"/>
          <w:szCs w:val="24"/>
          <w:lang w:val="en-US" w:eastAsia="en-US"/>
        </w:rPr>
      </w:pPr>
    </w:p>
    <w:p w:rsidR="000C5C21" w:rsidRPr="005516FC" w:rsidRDefault="000C5C21" w:rsidP="00C55676">
      <w:pPr>
        <w:widowControl w:val="0"/>
        <w:tabs>
          <w:tab w:val="left" w:pos="625"/>
        </w:tabs>
        <w:spacing w:before="13" w:after="0"/>
        <w:ind w:right="360"/>
        <w:contextualSpacing/>
        <w:jc w:val="both"/>
        <w:rPr>
          <w:rFonts w:ascii="Arial" w:eastAsia="Arial" w:hAnsi="Arial" w:cs="Arial"/>
          <w:b/>
          <w:bCs/>
          <w:sz w:val="24"/>
          <w:szCs w:val="24"/>
          <w:lang w:val="en-US" w:eastAsia="en-US"/>
        </w:rPr>
      </w:pPr>
    </w:p>
    <w:p w:rsidR="00390788" w:rsidRDefault="00390788" w:rsidP="00C55676">
      <w:pPr>
        <w:rPr>
          <w:rFonts w:ascii="Arial" w:eastAsia="Arial" w:hAnsi="Arial" w:cs="Arial"/>
          <w:b/>
          <w:bCs/>
          <w:sz w:val="24"/>
          <w:szCs w:val="24"/>
          <w:u w:val="single"/>
          <w:lang w:val="en-US" w:eastAsia="en-US"/>
        </w:rPr>
      </w:pPr>
      <w:r>
        <w:rPr>
          <w:rFonts w:ascii="Arial" w:eastAsia="Arial" w:hAnsi="Arial" w:cs="Arial"/>
          <w:b/>
          <w:bCs/>
          <w:sz w:val="24"/>
          <w:szCs w:val="24"/>
          <w:u w:val="single"/>
          <w:lang w:val="en-US" w:eastAsia="en-US"/>
        </w:rPr>
        <w:br w:type="page"/>
      </w:r>
    </w:p>
    <w:p w:rsidR="005516FC" w:rsidRPr="00BF146B" w:rsidRDefault="005516FC" w:rsidP="00C55676">
      <w:pPr>
        <w:widowControl w:val="0"/>
        <w:tabs>
          <w:tab w:val="left" w:pos="625"/>
        </w:tabs>
        <w:spacing w:before="13" w:after="0"/>
        <w:ind w:right="360"/>
        <w:rPr>
          <w:rFonts w:ascii="Arial" w:eastAsia="Arial" w:hAnsi="Arial" w:cs="Arial"/>
          <w:sz w:val="24"/>
          <w:szCs w:val="24"/>
          <w:lang w:val="en-US" w:eastAsia="en-US"/>
        </w:rPr>
      </w:pPr>
      <w:r w:rsidRPr="00BF146B">
        <w:rPr>
          <w:rFonts w:ascii="Arial" w:eastAsia="Arial" w:hAnsi="Arial" w:cs="Arial"/>
          <w:b/>
          <w:bCs/>
          <w:sz w:val="24"/>
          <w:szCs w:val="24"/>
          <w:lang w:val="en-US" w:eastAsia="en-US"/>
        </w:rPr>
        <w:lastRenderedPageBreak/>
        <w:t>7.0</w:t>
      </w:r>
      <w:r w:rsidRPr="00BF146B">
        <w:rPr>
          <w:rFonts w:ascii="Arial" w:eastAsia="Arial" w:hAnsi="Arial" w:cs="Arial"/>
          <w:b/>
          <w:bCs/>
          <w:sz w:val="24"/>
          <w:szCs w:val="24"/>
          <w:lang w:val="en-US" w:eastAsia="en-US"/>
        </w:rPr>
        <w:tab/>
        <w:t>COST ALLOCATION (EXHIBIT 7)</w:t>
      </w:r>
    </w:p>
    <w:p w:rsidR="005516FC" w:rsidRPr="005516FC" w:rsidRDefault="005516FC" w:rsidP="00C55676">
      <w:pPr>
        <w:widowControl w:val="0"/>
        <w:tabs>
          <w:tab w:val="left" w:pos="625"/>
        </w:tabs>
        <w:spacing w:before="13" w:after="0"/>
        <w:ind w:right="360"/>
        <w:rPr>
          <w:rFonts w:ascii="Arial" w:eastAsia="Arial" w:hAnsi="Arial" w:cs="Arial"/>
          <w:sz w:val="24"/>
          <w:szCs w:val="24"/>
          <w:lang w:val="en-US" w:eastAsia="en-US"/>
        </w:rPr>
      </w:pPr>
    </w:p>
    <w:p w:rsidR="005516FC" w:rsidRPr="005F0E78" w:rsidRDefault="005F0E78" w:rsidP="00C55676">
      <w:pPr>
        <w:widowControl w:val="0"/>
        <w:tabs>
          <w:tab w:val="left" w:pos="625"/>
        </w:tabs>
        <w:spacing w:before="13" w:after="0"/>
        <w:ind w:right="360"/>
        <w:rPr>
          <w:rFonts w:ascii="Arial" w:eastAsia="Arial" w:hAnsi="Arial" w:cs="Arial"/>
          <w:b/>
          <w:sz w:val="24"/>
          <w:szCs w:val="24"/>
          <w:lang w:eastAsia="en-US"/>
        </w:rPr>
      </w:pPr>
      <w:r w:rsidRPr="005F0E78">
        <w:rPr>
          <w:rFonts w:ascii="Arial" w:eastAsia="Arial" w:hAnsi="Arial" w:cs="Arial"/>
          <w:b/>
          <w:sz w:val="24"/>
          <w:szCs w:val="24"/>
          <w:lang w:eastAsia="en-US"/>
        </w:rPr>
        <w:tab/>
      </w:r>
      <w:r w:rsidR="00364442" w:rsidRPr="005F0E78">
        <w:rPr>
          <w:rFonts w:ascii="Arial" w:eastAsia="Arial" w:hAnsi="Arial" w:cs="Arial"/>
          <w:b/>
          <w:sz w:val="24"/>
          <w:szCs w:val="24"/>
          <w:lang w:eastAsia="en-US"/>
        </w:rPr>
        <w:t>VECC –</w:t>
      </w:r>
      <w:r w:rsidRPr="005F0E78">
        <w:rPr>
          <w:rFonts w:ascii="Arial" w:eastAsia="Arial" w:hAnsi="Arial" w:cs="Arial"/>
          <w:b/>
          <w:sz w:val="24"/>
          <w:szCs w:val="24"/>
          <w:lang w:eastAsia="en-US"/>
        </w:rPr>
        <w:t xml:space="preserve"> CQ </w:t>
      </w:r>
      <w:r w:rsidR="00B659EB">
        <w:rPr>
          <w:rFonts w:ascii="Arial" w:eastAsia="Arial" w:hAnsi="Arial" w:cs="Arial"/>
          <w:b/>
          <w:sz w:val="24"/>
          <w:szCs w:val="24"/>
          <w:lang w:eastAsia="en-US"/>
        </w:rPr>
        <w:t>46</w:t>
      </w:r>
    </w:p>
    <w:p w:rsidR="005516FC" w:rsidRDefault="005516FC" w:rsidP="00C55676">
      <w:pPr>
        <w:widowControl w:val="0"/>
        <w:tabs>
          <w:tab w:val="left" w:pos="625"/>
        </w:tabs>
        <w:spacing w:before="13" w:after="0"/>
        <w:ind w:right="360"/>
        <w:rPr>
          <w:rFonts w:ascii="Arial" w:eastAsia="Arial" w:hAnsi="Arial" w:cs="Arial"/>
          <w:sz w:val="24"/>
          <w:szCs w:val="24"/>
          <w:lang w:eastAsia="en-US"/>
        </w:rPr>
      </w:pPr>
      <w:r w:rsidRPr="005516FC">
        <w:rPr>
          <w:rFonts w:ascii="Arial" w:eastAsia="Arial" w:hAnsi="Arial" w:cs="Arial"/>
          <w:sz w:val="24"/>
          <w:szCs w:val="24"/>
          <w:lang w:eastAsia="en-US"/>
        </w:rPr>
        <w:tab/>
        <w:t>Reference:</w:t>
      </w:r>
      <w:r w:rsidRPr="005516FC">
        <w:rPr>
          <w:rFonts w:ascii="Arial" w:eastAsia="Arial" w:hAnsi="Arial" w:cs="Arial"/>
          <w:sz w:val="24"/>
          <w:szCs w:val="24"/>
          <w:lang w:eastAsia="en-US"/>
        </w:rPr>
        <w:tab/>
      </w:r>
      <w:r w:rsidR="00B659EB">
        <w:rPr>
          <w:rFonts w:ascii="Arial" w:eastAsia="Arial" w:hAnsi="Arial" w:cs="Arial"/>
          <w:sz w:val="24"/>
          <w:szCs w:val="24"/>
          <w:lang w:eastAsia="en-US"/>
        </w:rPr>
        <w:t>VECC #35</w:t>
      </w:r>
    </w:p>
    <w:p w:rsidR="00A52F9A" w:rsidRDefault="00A52F9A" w:rsidP="00C55676">
      <w:pPr>
        <w:widowControl w:val="0"/>
        <w:tabs>
          <w:tab w:val="left" w:pos="625"/>
        </w:tabs>
        <w:spacing w:before="13" w:after="0"/>
        <w:ind w:right="360"/>
        <w:rPr>
          <w:rFonts w:ascii="Arial" w:eastAsia="Arial" w:hAnsi="Arial" w:cs="Arial"/>
          <w:sz w:val="24"/>
          <w:szCs w:val="24"/>
          <w:lang w:eastAsia="en-US"/>
        </w:rPr>
      </w:pPr>
    </w:p>
    <w:p w:rsidR="00B659EB" w:rsidRDefault="00B659EB" w:rsidP="00C55676">
      <w:pPr>
        <w:pStyle w:val="ListParagraph"/>
        <w:numPr>
          <w:ilvl w:val="0"/>
          <w:numId w:val="10"/>
        </w:numPr>
        <w:autoSpaceDE w:val="0"/>
        <w:autoSpaceDN w:val="0"/>
        <w:adjustRightInd w:val="0"/>
        <w:spacing w:after="120"/>
        <w:ind w:left="981" w:hanging="357"/>
        <w:contextualSpacing w:val="0"/>
        <w:rPr>
          <w:rFonts w:ascii="Arial" w:hAnsi="Arial" w:cs="Arial"/>
          <w:sz w:val="24"/>
          <w:szCs w:val="24"/>
        </w:rPr>
      </w:pPr>
      <w:r>
        <w:rPr>
          <w:rFonts w:ascii="Arial" w:hAnsi="Arial" w:cs="Arial"/>
          <w:sz w:val="24"/>
          <w:szCs w:val="24"/>
        </w:rPr>
        <w:t>Please explain why, for the Residential class the number of meters is greater than the number of customers, whereas for all other metered classes the two values are the same.</w:t>
      </w:r>
    </w:p>
    <w:p w:rsidR="00B659EB" w:rsidRDefault="00B659EB" w:rsidP="00C55676">
      <w:pPr>
        <w:pStyle w:val="ListParagraph"/>
        <w:numPr>
          <w:ilvl w:val="0"/>
          <w:numId w:val="10"/>
        </w:numPr>
        <w:autoSpaceDE w:val="0"/>
        <w:autoSpaceDN w:val="0"/>
        <w:adjustRightInd w:val="0"/>
        <w:spacing w:after="120"/>
        <w:ind w:left="981" w:hanging="357"/>
        <w:contextualSpacing w:val="0"/>
        <w:rPr>
          <w:rFonts w:ascii="Arial" w:hAnsi="Arial" w:cs="Arial"/>
          <w:sz w:val="24"/>
          <w:szCs w:val="24"/>
        </w:rPr>
      </w:pPr>
      <w:r>
        <w:rPr>
          <w:rFonts w:ascii="Arial" w:hAnsi="Arial" w:cs="Arial"/>
          <w:sz w:val="24"/>
          <w:szCs w:val="24"/>
        </w:rPr>
        <w:t xml:space="preserve">Please confirm that all </w:t>
      </w:r>
      <w:r w:rsidR="00DA5234">
        <w:rPr>
          <w:rFonts w:ascii="Arial" w:hAnsi="Arial" w:cs="Arial"/>
          <w:sz w:val="24"/>
          <w:szCs w:val="24"/>
        </w:rPr>
        <w:t xml:space="preserve">of </w:t>
      </w:r>
      <w:proofErr w:type="spellStart"/>
      <w:r w:rsidR="00DA5234">
        <w:rPr>
          <w:rFonts w:ascii="Arial" w:hAnsi="Arial" w:cs="Arial"/>
          <w:sz w:val="24"/>
          <w:szCs w:val="24"/>
        </w:rPr>
        <w:t>Wasaga’s</w:t>
      </w:r>
      <w:proofErr w:type="spellEnd"/>
      <w:r w:rsidR="00DA5234">
        <w:rPr>
          <w:rFonts w:ascii="Arial" w:hAnsi="Arial" w:cs="Arial"/>
          <w:sz w:val="24"/>
          <w:szCs w:val="24"/>
        </w:rPr>
        <w:t xml:space="preserve"> </w:t>
      </w:r>
      <w:r>
        <w:rPr>
          <w:rFonts w:ascii="Arial" w:hAnsi="Arial" w:cs="Arial"/>
          <w:sz w:val="24"/>
          <w:szCs w:val="24"/>
        </w:rPr>
        <w:t>secondary underground cable is direct bury and does not involve the use of conduit.</w:t>
      </w:r>
    </w:p>
    <w:p w:rsidR="00F16D04" w:rsidRPr="005F0E78" w:rsidRDefault="00F16D04" w:rsidP="00C55676">
      <w:pPr>
        <w:pStyle w:val="ListParagraph"/>
        <w:autoSpaceDE w:val="0"/>
        <w:autoSpaceDN w:val="0"/>
        <w:adjustRightInd w:val="0"/>
        <w:spacing w:after="120"/>
        <w:ind w:left="981"/>
        <w:contextualSpacing w:val="0"/>
        <w:rPr>
          <w:rFonts w:ascii="Arial" w:hAnsi="Arial" w:cs="Arial"/>
          <w:sz w:val="24"/>
          <w:szCs w:val="24"/>
        </w:rPr>
      </w:pPr>
    </w:p>
    <w:p w:rsidR="00C61E76" w:rsidRDefault="00C61E76" w:rsidP="00C55676">
      <w:pPr>
        <w:widowControl w:val="0"/>
        <w:tabs>
          <w:tab w:val="left" w:pos="625"/>
        </w:tabs>
        <w:spacing w:before="13" w:after="0"/>
        <w:ind w:right="360"/>
        <w:rPr>
          <w:rFonts w:ascii="Arial" w:eastAsia="Arial" w:hAnsi="Arial" w:cs="Arial"/>
          <w:sz w:val="24"/>
          <w:szCs w:val="24"/>
          <w:lang w:val="en-US" w:eastAsia="en-US"/>
        </w:rPr>
      </w:pPr>
    </w:p>
    <w:p w:rsidR="005516FC" w:rsidRPr="005516FC" w:rsidRDefault="005516FC" w:rsidP="00C55676">
      <w:pPr>
        <w:spacing w:after="0"/>
        <w:jc w:val="center"/>
        <w:rPr>
          <w:rFonts w:ascii="Arial" w:eastAsia="Calibri" w:hAnsi="Arial" w:cs="Arial"/>
          <w:sz w:val="24"/>
          <w:szCs w:val="24"/>
          <w:lang w:eastAsia="en-US"/>
        </w:rPr>
      </w:pPr>
      <w:r w:rsidRPr="005516FC">
        <w:rPr>
          <w:rFonts w:ascii="Arial" w:eastAsia="Calibri" w:hAnsi="Arial" w:cs="Arial"/>
          <w:sz w:val="24"/>
          <w:szCs w:val="24"/>
          <w:lang w:eastAsia="en-US"/>
        </w:rPr>
        <w:t>End of document</w:t>
      </w:r>
    </w:p>
    <w:p w:rsidR="002C38BB" w:rsidRPr="00323310" w:rsidRDefault="002C38BB" w:rsidP="00C55676">
      <w:pPr>
        <w:rPr>
          <w:rFonts w:ascii="Arial" w:hAnsi="Arial" w:cs="Arial"/>
          <w:b/>
          <w:lang w:val="en-GB"/>
        </w:rPr>
      </w:pPr>
    </w:p>
    <w:sectPr w:rsidR="002C38BB" w:rsidRPr="00323310" w:rsidSect="00D55C7C">
      <w:footerReference w:type="even" r:id="rId13"/>
      <w:footerReference w:type="default" r:id="rId14"/>
      <w:pgSz w:w="12240" w:h="15840"/>
      <w:pgMar w:top="1440" w:right="1440" w:bottom="1440" w:left="1440" w:header="720" w:footer="720" w:gutter="0"/>
      <w:pgNumType w:start="1"/>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360C" w:rsidRDefault="00C9360C" w:rsidP="003726CC">
      <w:pPr>
        <w:spacing w:after="0" w:line="240" w:lineRule="auto"/>
      </w:pPr>
      <w:r>
        <w:separator/>
      </w:r>
    </w:p>
  </w:endnote>
  <w:endnote w:type="continuationSeparator" w:id="0">
    <w:p w:rsidR="00C9360C" w:rsidRDefault="00C9360C" w:rsidP="003726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E9A" w:rsidRDefault="00187E9A" w:rsidP="00323310">
    <w:pPr>
      <w:pStyle w:val="Footer"/>
    </w:pPr>
    <w:r w:rsidRPr="003726CC">
      <w:rPr>
        <w:sz w:val="20"/>
        <w:szCs w:val="20"/>
      </w:rPr>
      <w:t xml:space="preserve">1204-ONE Nicholas Street, Ottawa, ON K1N 7B7 Tel: 613-562-4002 Fax: 613-562-0007 </w:t>
    </w:r>
    <w:hyperlink r:id="rId1" w:history="1">
      <w:r w:rsidRPr="003726CC">
        <w:rPr>
          <w:rStyle w:val="Hyperlink"/>
          <w:sz w:val="20"/>
          <w:szCs w:val="20"/>
        </w:rPr>
        <w:t>piac@piac.ca</w:t>
      </w:r>
    </w:hyperlink>
    <w:r>
      <w:rPr>
        <w:sz w:val="20"/>
        <w:szCs w:val="20"/>
      </w:rPr>
      <w:t xml:space="preserve">  </w:t>
    </w:r>
    <w:r w:rsidRPr="003726CC">
      <w:rPr>
        <w:sz w:val="20"/>
        <w:szCs w:val="20"/>
      </w:rPr>
      <w:t xml:space="preserve"> </w:t>
    </w:r>
    <w:hyperlink r:id="rId2" w:history="1">
      <w:r w:rsidRPr="003726CC">
        <w:rPr>
          <w:rStyle w:val="Hyperlink"/>
          <w:sz w:val="20"/>
          <w:szCs w:val="20"/>
        </w:rPr>
        <w:t>www.piac.ca</w:t>
      </w:r>
    </w:hyperlink>
  </w:p>
  <w:p w:rsidR="00187E9A" w:rsidRPr="00685C3E" w:rsidRDefault="00187E9A" w:rsidP="00323310">
    <w:pPr>
      <w:pStyle w:val="Footer"/>
      <w:rPr>
        <w:sz w:val="18"/>
        <w:szCs w:val="18"/>
      </w:rPr>
    </w:pPr>
    <w:r w:rsidRPr="00685C3E">
      <w:rPr>
        <w:sz w:val="18"/>
        <w:szCs w:val="18"/>
      </w:rPr>
      <w:t xml:space="preserve">Michael </w:t>
    </w:r>
    <w:proofErr w:type="spellStart"/>
    <w:r w:rsidRPr="00685C3E">
      <w:rPr>
        <w:sz w:val="18"/>
        <w:szCs w:val="18"/>
      </w:rPr>
      <w:t>Janigan</w:t>
    </w:r>
    <w:proofErr w:type="spellEnd"/>
    <w:r>
      <w:rPr>
        <w:sz w:val="18"/>
        <w:szCs w:val="18"/>
      </w:rPr>
      <w:t xml:space="preserve"> -</w:t>
    </w:r>
    <w:r w:rsidRPr="00685C3E">
      <w:rPr>
        <w:sz w:val="18"/>
        <w:szCs w:val="18"/>
      </w:rPr>
      <w:t xml:space="preserve"> Direct: 31 Hills</w:t>
    </w:r>
    <w:r>
      <w:rPr>
        <w:sz w:val="18"/>
        <w:szCs w:val="18"/>
      </w:rPr>
      <w:t>dale</w:t>
    </w:r>
    <w:r w:rsidRPr="00685C3E">
      <w:rPr>
        <w:sz w:val="18"/>
        <w:szCs w:val="18"/>
      </w:rPr>
      <w:t xml:space="preserve"> Avenue E, Toronto, ON M4S 1T4 Tel: 416-840-3907 </w:t>
    </w:r>
    <w:hyperlink r:id="rId3" w:history="1">
      <w:r w:rsidRPr="00685C3E">
        <w:rPr>
          <w:rStyle w:val="Hyperlink"/>
          <w:sz w:val="18"/>
          <w:szCs w:val="18"/>
        </w:rPr>
        <w:t>mjanigan@piac.ca</w:t>
      </w:r>
    </w:hyperlink>
  </w:p>
  <w:p w:rsidR="00187E9A" w:rsidRDefault="00187E9A" w:rsidP="002C38BB">
    <w:pPr>
      <w:jc w:val="center"/>
    </w:pPr>
    <w:r>
      <w:rPr>
        <w:rStyle w:val="PageNumber"/>
      </w:rPr>
      <w:fldChar w:fldCharType="begin"/>
    </w:r>
    <w:r>
      <w:rPr>
        <w:rStyle w:val="PageNumber"/>
      </w:rPr>
      <w:instrText xml:space="preserve"> PAGE </w:instrText>
    </w:r>
    <w:r>
      <w:rPr>
        <w:rStyle w:val="PageNumber"/>
      </w:rPr>
      <w:fldChar w:fldCharType="separate"/>
    </w:r>
    <w:r w:rsidR="00C55676">
      <w:rPr>
        <w:rStyle w:val="PageNumber"/>
        <w:noProof/>
      </w:rPr>
      <w:t>1</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E9A" w:rsidRDefault="00187E9A" w:rsidP="00187E9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87E9A" w:rsidRDefault="00187E9A" w:rsidP="00187E9A">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E9A" w:rsidRDefault="00187E9A" w:rsidP="00187E9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55676">
      <w:rPr>
        <w:rStyle w:val="PageNumber"/>
        <w:noProof/>
      </w:rPr>
      <w:t>2</w:t>
    </w:r>
    <w:r>
      <w:rPr>
        <w:rStyle w:val="PageNumber"/>
      </w:rPr>
      <w:fldChar w:fldCharType="end"/>
    </w:r>
  </w:p>
  <w:p w:rsidR="00187E9A" w:rsidRDefault="00187E9A" w:rsidP="00187E9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360C" w:rsidRDefault="00C9360C" w:rsidP="003726CC">
      <w:pPr>
        <w:spacing w:after="0" w:line="240" w:lineRule="auto"/>
      </w:pPr>
      <w:r>
        <w:separator/>
      </w:r>
    </w:p>
  </w:footnote>
  <w:footnote w:type="continuationSeparator" w:id="0">
    <w:p w:rsidR="00C9360C" w:rsidRDefault="00C9360C" w:rsidP="003726C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decimal"/>
      <w:lvlText w:val="ii"/>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
    <w:nsid w:val="00000003"/>
    <w:multiLevelType w:val="multilevel"/>
    <w:tmpl w:val="00000000"/>
    <w:name w:val="AutoList6"/>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
    <w:nsid w:val="0A4A6E5B"/>
    <w:multiLevelType w:val="hybridMultilevel"/>
    <w:tmpl w:val="E1B21ACE"/>
    <w:lvl w:ilvl="0" w:tplc="5C14E0B8">
      <w:start w:val="1"/>
      <w:numFmt w:val="lowerLetter"/>
      <w:lvlText w:val="%1)"/>
      <w:lvlJc w:val="left"/>
      <w:pPr>
        <w:ind w:left="985" w:hanging="360"/>
      </w:pPr>
      <w:rPr>
        <w:rFonts w:hint="default"/>
      </w:rPr>
    </w:lvl>
    <w:lvl w:ilvl="1" w:tplc="10090019" w:tentative="1">
      <w:start w:val="1"/>
      <w:numFmt w:val="lowerLetter"/>
      <w:lvlText w:val="%2."/>
      <w:lvlJc w:val="left"/>
      <w:pPr>
        <w:ind w:left="1705" w:hanging="360"/>
      </w:pPr>
    </w:lvl>
    <w:lvl w:ilvl="2" w:tplc="1009001B" w:tentative="1">
      <w:start w:val="1"/>
      <w:numFmt w:val="lowerRoman"/>
      <w:lvlText w:val="%3."/>
      <w:lvlJc w:val="right"/>
      <w:pPr>
        <w:ind w:left="2425" w:hanging="180"/>
      </w:pPr>
    </w:lvl>
    <w:lvl w:ilvl="3" w:tplc="1009000F" w:tentative="1">
      <w:start w:val="1"/>
      <w:numFmt w:val="decimal"/>
      <w:lvlText w:val="%4."/>
      <w:lvlJc w:val="left"/>
      <w:pPr>
        <w:ind w:left="3145" w:hanging="360"/>
      </w:pPr>
    </w:lvl>
    <w:lvl w:ilvl="4" w:tplc="10090019" w:tentative="1">
      <w:start w:val="1"/>
      <w:numFmt w:val="lowerLetter"/>
      <w:lvlText w:val="%5."/>
      <w:lvlJc w:val="left"/>
      <w:pPr>
        <w:ind w:left="3865" w:hanging="360"/>
      </w:pPr>
    </w:lvl>
    <w:lvl w:ilvl="5" w:tplc="1009001B" w:tentative="1">
      <w:start w:val="1"/>
      <w:numFmt w:val="lowerRoman"/>
      <w:lvlText w:val="%6."/>
      <w:lvlJc w:val="right"/>
      <w:pPr>
        <w:ind w:left="4585" w:hanging="180"/>
      </w:pPr>
    </w:lvl>
    <w:lvl w:ilvl="6" w:tplc="1009000F" w:tentative="1">
      <w:start w:val="1"/>
      <w:numFmt w:val="decimal"/>
      <w:lvlText w:val="%7."/>
      <w:lvlJc w:val="left"/>
      <w:pPr>
        <w:ind w:left="5305" w:hanging="360"/>
      </w:pPr>
    </w:lvl>
    <w:lvl w:ilvl="7" w:tplc="10090019" w:tentative="1">
      <w:start w:val="1"/>
      <w:numFmt w:val="lowerLetter"/>
      <w:lvlText w:val="%8."/>
      <w:lvlJc w:val="left"/>
      <w:pPr>
        <w:ind w:left="6025" w:hanging="360"/>
      </w:pPr>
    </w:lvl>
    <w:lvl w:ilvl="8" w:tplc="1009001B" w:tentative="1">
      <w:start w:val="1"/>
      <w:numFmt w:val="lowerRoman"/>
      <w:lvlText w:val="%9."/>
      <w:lvlJc w:val="right"/>
      <w:pPr>
        <w:ind w:left="6745" w:hanging="180"/>
      </w:pPr>
    </w:lvl>
  </w:abstractNum>
  <w:abstractNum w:abstractNumId="3">
    <w:nsid w:val="108866DE"/>
    <w:multiLevelType w:val="hybridMultilevel"/>
    <w:tmpl w:val="E92CFB90"/>
    <w:lvl w:ilvl="0" w:tplc="04090017">
      <w:start w:val="1"/>
      <w:numFmt w:val="lowerLetter"/>
      <w:pStyle w:val="Level1"/>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67E1D71"/>
    <w:multiLevelType w:val="hybridMultilevel"/>
    <w:tmpl w:val="8B024E36"/>
    <w:lvl w:ilvl="0" w:tplc="366C1A1A">
      <w:start w:val="1"/>
      <w:numFmt w:val="lowerLetter"/>
      <w:lvlText w:val="%1)"/>
      <w:lvlJc w:val="left"/>
      <w:pPr>
        <w:ind w:left="990" w:hanging="360"/>
      </w:pPr>
      <w:rPr>
        <w:rFonts w:hint="default"/>
      </w:rPr>
    </w:lvl>
    <w:lvl w:ilvl="1" w:tplc="10090001">
      <w:start w:val="1"/>
      <w:numFmt w:val="bullet"/>
      <w:lvlText w:val=""/>
      <w:lvlJc w:val="left"/>
      <w:pPr>
        <w:ind w:left="1710" w:hanging="360"/>
      </w:pPr>
      <w:rPr>
        <w:rFonts w:ascii="Symbol" w:hAnsi="Symbol" w:hint="default"/>
      </w:rPr>
    </w:lvl>
    <w:lvl w:ilvl="2" w:tplc="1009001B" w:tentative="1">
      <w:start w:val="1"/>
      <w:numFmt w:val="lowerRoman"/>
      <w:lvlText w:val="%3."/>
      <w:lvlJc w:val="right"/>
      <w:pPr>
        <w:ind w:left="2430" w:hanging="180"/>
      </w:pPr>
    </w:lvl>
    <w:lvl w:ilvl="3" w:tplc="1009000F" w:tentative="1">
      <w:start w:val="1"/>
      <w:numFmt w:val="decimal"/>
      <w:lvlText w:val="%4."/>
      <w:lvlJc w:val="left"/>
      <w:pPr>
        <w:ind w:left="3150" w:hanging="360"/>
      </w:pPr>
    </w:lvl>
    <w:lvl w:ilvl="4" w:tplc="10090019" w:tentative="1">
      <w:start w:val="1"/>
      <w:numFmt w:val="lowerLetter"/>
      <w:lvlText w:val="%5."/>
      <w:lvlJc w:val="left"/>
      <w:pPr>
        <w:ind w:left="3870" w:hanging="360"/>
      </w:pPr>
    </w:lvl>
    <w:lvl w:ilvl="5" w:tplc="1009001B" w:tentative="1">
      <w:start w:val="1"/>
      <w:numFmt w:val="lowerRoman"/>
      <w:lvlText w:val="%6."/>
      <w:lvlJc w:val="right"/>
      <w:pPr>
        <w:ind w:left="4590" w:hanging="180"/>
      </w:pPr>
    </w:lvl>
    <w:lvl w:ilvl="6" w:tplc="1009000F" w:tentative="1">
      <w:start w:val="1"/>
      <w:numFmt w:val="decimal"/>
      <w:lvlText w:val="%7."/>
      <w:lvlJc w:val="left"/>
      <w:pPr>
        <w:ind w:left="5310" w:hanging="360"/>
      </w:pPr>
    </w:lvl>
    <w:lvl w:ilvl="7" w:tplc="10090019" w:tentative="1">
      <w:start w:val="1"/>
      <w:numFmt w:val="lowerLetter"/>
      <w:lvlText w:val="%8."/>
      <w:lvlJc w:val="left"/>
      <w:pPr>
        <w:ind w:left="6030" w:hanging="360"/>
      </w:pPr>
    </w:lvl>
    <w:lvl w:ilvl="8" w:tplc="1009001B" w:tentative="1">
      <w:start w:val="1"/>
      <w:numFmt w:val="lowerRoman"/>
      <w:lvlText w:val="%9."/>
      <w:lvlJc w:val="right"/>
      <w:pPr>
        <w:ind w:left="6750" w:hanging="180"/>
      </w:pPr>
    </w:lvl>
  </w:abstractNum>
  <w:abstractNum w:abstractNumId="5">
    <w:nsid w:val="1E427BF6"/>
    <w:multiLevelType w:val="hybridMultilevel"/>
    <w:tmpl w:val="B1EE869A"/>
    <w:lvl w:ilvl="0" w:tplc="10090017">
      <w:start w:val="1"/>
      <w:numFmt w:val="lowerLetter"/>
      <w:lvlText w:val="%1)"/>
      <w:lvlJc w:val="left"/>
      <w:pPr>
        <w:ind w:left="985" w:hanging="360"/>
      </w:pPr>
      <w:rPr>
        <w:rFonts w:hint="default"/>
      </w:rPr>
    </w:lvl>
    <w:lvl w:ilvl="1" w:tplc="10090019" w:tentative="1">
      <w:start w:val="1"/>
      <w:numFmt w:val="lowerLetter"/>
      <w:lvlText w:val="%2."/>
      <w:lvlJc w:val="left"/>
      <w:pPr>
        <w:ind w:left="1705" w:hanging="360"/>
      </w:pPr>
    </w:lvl>
    <w:lvl w:ilvl="2" w:tplc="1009001B" w:tentative="1">
      <w:start w:val="1"/>
      <w:numFmt w:val="lowerRoman"/>
      <w:lvlText w:val="%3."/>
      <w:lvlJc w:val="right"/>
      <w:pPr>
        <w:ind w:left="2425" w:hanging="180"/>
      </w:pPr>
    </w:lvl>
    <w:lvl w:ilvl="3" w:tplc="1009000F" w:tentative="1">
      <w:start w:val="1"/>
      <w:numFmt w:val="decimal"/>
      <w:lvlText w:val="%4."/>
      <w:lvlJc w:val="left"/>
      <w:pPr>
        <w:ind w:left="3145" w:hanging="360"/>
      </w:pPr>
    </w:lvl>
    <w:lvl w:ilvl="4" w:tplc="10090019" w:tentative="1">
      <w:start w:val="1"/>
      <w:numFmt w:val="lowerLetter"/>
      <w:lvlText w:val="%5."/>
      <w:lvlJc w:val="left"/>
      <w:pPr>
        <w:ind w:left="3865" w:hanging="360"/>
      </w:pPr>
    </w:lvl>
    <w:lvl w:ilvl="5" w:tplc="1009001B" w:tentative="1">
      <w:start w:val="1"/>
      <w:numFmt w:val="lowerRoman"/>
      <w:lvlText w:val="%6."/>
      <w:lvlJc w:val="right"/>
      <w:pPr>
        <w:ind w:left="4585" w:hanging="180"/>
      </w:pPr>
    </w:lvl>
    <w:lvl w:ilvl="6" w:tplc="1009000F" w:tentative="1">
      <w:start w:val="1"/>
      <w:numFmt w:val="decimal"/>
      <w:lvlText w:val="%7."/>
      <w:lvlJc w:val="left"/>
      <w:pPr>
        <w:ind w:left="5305" w:hanging="360"/>
      </w:pPr>
    </w:lvl>
    <w:lvl w:ilvl="7" w:tplc="10090019" w:tentative="1">
      <w:start w:val="1"/>
      <w:numFmt w:val="lowerLetter"/>
      <w:lvlText w:val="%8."/>
      <w:lvlJc w:val="left"/>
      <w:pPr>
        <w:ind w:left="6025" w:hanging="360"/>
      </w:pPr>
    </w:lvl>
    <w:lvl w:ilvl="8" w:tplc="1009001B" w:tentative="1">
      <w:start w:val="1"/>
      <w:numFmt w:val="lowerRoman"/>
      <w:lvlText w:val="%9."/>
      <w:lvlJc w:val="right"/>
      <w:pPr>
        <w:ind w:left="6745" w:hanging="180"/>
      </w:pPr>
    </w:lvl>
  </w:abstractNum>
  <w:abstractNum w:abstractNumId="6">
    <w:nsid w:val="1EF83BE1"/>
    <w:multiLevelType w:val="hybridMultilevel"/>
    <w:tmpl w:val="B1EE869A"/>
    <w:lvl w:ilvl="0" w:tplc="10090017">
      <w:start w:val="1"/>
      <w:numFmt w:val="lowerLetter"/>
      <w:lvlText w:val="%1)"/>
      <w:lvlJc w:val="left"/>
      <w:pPr>
        <w:ind w:left="985" w:hanging="360"/>
      </w:pPr>
      <w:rPr>
        <w:rFonts w:hint="default"/>
      </w:rPr>
    </w:lvl>
    <w:lvl w:ilvl="1" w:tplc="10090019" w:tentative="1">
      <w:start w:val="1"/>
      <w:numFmt w:val="lowerLetter"/>
      <w:lvlText w:val="%2."/>
      <w:lvlJc w:val="left"/>
      <w:pPr>
        <w:ind w:left="1705" w:hanging="360"/>
      </w:pPr>
    </w:lvl>
    <w:lvl w:ilvl="2" w:tplc="1009001B" w:tentative="1">
      <w:start w:val="1"/>
      <w:numFmt w:val="lowerRoman"/>
      <w:lvlText w:val="%3."/>
      <w:lvlJc w:val="right"/>
      <w:pPr>
        <w:ind w:left="2425" w:hanging="180"/>
      </w:pPr>
    </w:lvl>
    <w:lvl w:ilvl="3" w:tplc="1009000F" w:tentative="1">
      <w:start w:val="1"/>
      <w:numFmt w:val="decimal"/>
      <w:lvlText w:val="%4."/>
      <w:lvlJc w:val="left"/>
      <w:pPr>
        <w:ind w:left="3145" w:hanging="360"/>
      </w:pPr>
    </w:lvl>
    <w:lvl w:ilvl="4" w:tplc="10090019" w:tentative="1">
      <w:start w:val="1"/>
      <w:numFmt w:val="lowerLetter"/>
      <w:lvlText w:val="%5."/>
      <w:lvlJc w:val="left"/>
      <w:pPr>
        <w:ind w:left="3865" w:hanging="360"/>
      </w:pPr>
    </w:lvl>
    <w:lvl w:ilvl="5" w:tplc="1009001B" w:tentative="1">
      <w:start w:val="1"/>
      <w:numFmt w:val="lowerRoman"/>
      <w:lvlText w:val="%6."/>
      <w:lvlJc w:val="right"/>
      <w:pPr>
        <w:ind w:left="4585" w:hanging="180"/>
      </w:pPr>
    </w:lvl>
    <w:lvl w:ilvl="6" w:tplc="1009000F" w:tentative="1">
      <w:start w:val="1"/>
      <w:numFmt w:val="decimal"/>
      <w:lvlText w:val="%7."/>
      <w:lvlJc w:val="left"/>
      <w:pPr>
        <w:ind w:left="5305" w:hanging="360"/>
      </w:pPr>
    </w:lvl>
    <w:lvl w:ilvl="7" w:tplc="10090019" w:tentative="1">
      <w:start w:val="1"/>
      <w:numFmt w:val="lowerLetter"/>
      <w:lvlText w:val="%8."/>
      <w:lvlJc w:val="left"/>
      <w:pPr>
        <w:ind w:left="6025" w:hanging="360"/>
      </w:pPr>
    </w:lvl>
    <w:lvl w:ilvl="8" w:tplc="1009001B" w:tentative="1">
      <w:start w:val="1"/>
      <w:numFmt w:val="lowerRoman"/>
      <w:lvlText w:val="%9."/>
      <w:lvlJc w:val="right"/>
      <w:pPr>
        <w:ind w:left="6745" w:hanging="180"/>
      </w:pPr>
    </w:lvl>
  </w:abstractNum>
  <w:abstractNum w:abstractNumId="7">
    <w:nsid w:val="1F49622C"/>
    <w:multiLevelType w:val="hybridMultilevel"/>
    <w:tmpl w:val="8B024E36"/>
    <w:lvl w:ilvl="0" w:tplc="366C1A1A">
      <w:start w:val="1"/>
      <w:numFmt w:val="lowerLetter"/>
      <w:lvlText w:val="%1)"/>
      <w:lvlJc w:val="left"/>
      <w:pPr>
        <w:ind w:left="990" w:hanging="360"/>
      </w:pPr>
      <w:rPr>
        <w:rFonts w:hint="default"/>
      </w:rPr>
    </w:lvl>
    <w:lvl w:ilvl="1" w:tplc="10090001">
      <w:start w:val="1"/>
      <w:numFmt w:val="bullet"/>
      <w:lvlText w:val=""/>
      <w:lvlJc w:val="left"/>
      <w:pPr>
        <w:ind w:left="1710" w:hanging="360"/>
      </w:pPr>
      <w:rPr>
        <w:rFonts w:ascii="Symbol" w:hAnsi="Symbol" w:hint="default"/>
      </w:rPr>
    </w:lvl>
    <w:lvl w:ilvl="2" w:tplc="1009001B" w:tentative="1">
      <w:start w:val="1"/>
      <w:numFmt w:val="lowerRoman"/>
      <w:lvlText w:val="%3."/>
      <w:lvlJc w:val="right"/>
      <w:pPr>
        <w:ind w:left="2430" w:hanging="180"/>
      </w:pPr>
    </w:lvl>
    <w:lvl w:ilvl="3" w:tplc="1009000F" w:tentative="1">
      <w:start w:val="1"/>
      <w:numFmt w:val="decimal"/>
      <w:lvlText w:val="%4."/>
      <w:lvlJc w:val="left"/>
      <w:pPr>
        <w:ind w:left="3150" w:hanging="360"/>
      </w:pPr>
    </w:lvl>
    <w:lvl w:ilvl="4" w:tplc="10090019" w:tentative="1">
      <w:start w:val="1"/>
      <w:numFmt w:val="lowerLetter"/>
      <w:lvlText w:val="%5."/>
      <w:lvlJc w:val="left"/>
      <w:pPr>
        <w:ind w:left="3870" w:hanging="360"/>
      </w:pPr>
    </w:lvl>
    <w:lvl w:ilvl="5" w:tplc="1009001B" w:tentative="1">
      <w:start w:val="1"/>
      <w:numFmt w:val="lowerRoman"/>
      <w:lvlText w:val="%6."/>
      <w:lvlJc w:val="right"/>
      <w:pPr>
        <w:ind w:left="4590" w:hanging="180"/>
      </w:pPr>
    </w:lvl>
    <w:lvl w:ilvl="6" w:tplc="1009000F" w:tentative="1">
      <w:start w:val="1"/>
      <w:numFmt w:val="decimal"/>
      <w:lvlText w:val="%7."/>
      <w:lvlJc w:val="left"/>
      <w:pPr>
        <w:ind w:left="5310" w:hanging="360"/>
      </w:pPr>
    </w:lvl>
    <w:lvl w:ilvl="7" w:tplc="10090019" w:tentative="1">
      <w:start w:val="1"/>
      <w:numFmt w:val="lowerLetter"/>
      <w:lvlText w:val="%8."/>
      <w:lvlJc w:val="left"/>
      <w:pPr>
        <w:ind w:left="6030" w:hanging="360"/>
      </w:pPr>
    </w:lvl>
    <w:lvl w:ilvl="8" w:tplc="1009001B" w:tentative="1">
      <w:start w:val="1"/>
      <w:numFmt w:val="lowerRoman"/>
      <w:lvlText w:val="%9."/>
      <w:lvlJc w:val="right"/>
      <w:pPr>
        <w:ind w:left="6750" w:hanging="180"/>
      </w:pPr>
    </w:lvl>
  </w:abstractNum>
  <w:abstractNum w:abstractNumId="8">
    <w:nsid w:val="24A61E74"/>
    <w:multiLevelType w:val="hybridMultilevel"/>
    <w:tmpl w:val="8B025E3C"/>
    <w:lvl w:ilvl="0" w:tplc="612658EA">
      <w:start w:val="1"/>
      <w:numFmt w:val="lowerLetter"/>
      <w:lvlText w:val="%1)"/>
      <w:lvlJc w:val="left"/>
      <w:pPr>
        <w:ind w:left="1020" w:hanging="360"/>
      </w:pPr>
      <w:rPr>
        <w:rFonts w:hint="default"/>
      </w:rPr>
    </w:lvl>
    <w:lvl w:ilvl="1" w:tplc="10090019" w:tentative="1">
      <w:start w:val="1"/>
      <w:numFmt w:val="lowerLetter"/>
      <w:lvlText w:val="%2."/>
      <w:lvlJc w:val="left"/>
      <w:pPr>
        <w:ind w:left="1740" w:hanging="360"/>
      </w:pPr>
    </w:lvl>
    <w:lvl w:ilvl="2" w:tplc="1009001B" w:tentative="1">
      <w:start w:val="1"/>
      <w:numFmt w:val="lowerRoman"/>
      <w:lvlText w:val="%3."/>
      <w:lvlJc w:val="right"/>
      <w:pPr>
        <w:ind w:left="2460" w:hanging="180"/>
      </w:pPr>
    </w:lvl>
    <w:lvl w:ilvl="3" w:tplc="1009000F" w:tentative="1">
      <w:start w:val="1"/>
      <w:numFmt w:val="decimal"/>
      <w:lvlText w:val="%4."/>
      <w:lvlJc w:val="left"/>
      <w:pPr>
        <w:ind w:left="3180" w:hanging="360"/>
      </w:pPr>
    </w:lvl>
    <w:lvl w:ilvl="4" w:tplc="10090019" w:tentative="1">
      <w:start w:val="1"/>
      <w:numFmt w:val="lowerLetter"/>
      <w:lvlText w:val="%5."/>
      <w:lvlJc w:val="left"/>
      <w:pPr>
        <w:ind w:left="3900" w:hanging="360"/>
      </w:pPr>
    </w:lvl>
    <w:lvl w:ilvl="5" w:tplc="1009001B" w:tentative="1">
      <w:start w:val="1"/>
      <w:numFmt w:val="lowerRoman"/>
      <w:lvlText w:val="%6."/>
      <w:lvlJc w:val="right"/>
      <w:pPr>
        <w:ind w:left="4620" w:hanging="180"/>
      </w:pPr>
    </w:lvl>
    <w:lvl w:ilvl="6" w:tplc="1009000F" w:tentative="1">
      <w:start w:val="1"/>
      <w:numFmt w:val="decimal"/>
      <w:lvlText w:val="%7."/>
      <w:lvlJc w:val="left"/>
      <w:pPr>
        <w:ind w:left="5340" w:hanging="360"/>
      </w:pPr>
    </w:lvl>
    <w:lvl w:ilvl="7" w:tplc="10090019" w:tentative="1">
      <w:start w:val="1"/>
      <w:numFmt w:val="lowerLetter"/>
      <w:lvlText w:val="%8."/>
      <w:lvlJc w:val="left"/>
      <w:pPr>
        <w:ind w:left="6060" w:hanging="360"/>
      </w:pPr>
    </w:lvl>
    <w:lvl w:ilvl="8" w:tplc="1009001B" w:tentative="1">
      <w:start w:val="1"/>
      <w:numFmt w:val="lowerRoman"/>
      <w:lvlText w:val="%9."/>
      <w:lvlJc w:val="right"/>
      <w:pPr>
        <w:ind w:left="6780" w:hanging="180"/>
      </w:pPr>
    </w:lvl>
  </w:abstractNum>
  <w:abstractNum w:abstractNumId="9">
    <w:nsid w:val="258172C2"/>
    <w:multiLevelType w:val="hybridMultilevel"/>
    <w:tmpl w:val="C74A1D8C"/>
    <w:lvl w:ilvl="0" w:tplc="B92A263C">
      <w:start w:val="1"/>
      <w:numFmt w:val="lowerLetter"/>
      <w:lvlText w:val="%1)"/>
      <w:lvlJc w:val="left"/>
      <w:pPr>
        <w:ind w:left="985" w:hanging="360"/>
      </w:pPr>
      <w:rPr>
        <w:rFonts w:hint="default"/>
      </w:r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3374355C"/>
    <w:multiLevelType w:val="hybridMultilevel"/>
    <w:tmpl w:val="C246A222"/>
    <w:lvl w:ilvl="0" w:tplc="F9DAE214">
      <w:start w:val="1"/>
      <w:numFmt w:val="lowerLetter"/>
      <w:lvlText w:val="%1)"/>
      <w:lvlJc w:val="left"/>
      <w:pPr>
        <w:ind w:left="990" w:hanging="360"/>
      </w:pPr>
      <w:rPr>
        <w:rFonts w:hint="default"/>
      </w:rPr>
    </w:lvl>
    <w:lvl w:ilvl="1" w:tplc="10090019" w:tentative="1">
      <w:start w:val="1"/>
      <w:numFmt w:val="lowerLetter"/>
      <w:lvlText w:val="%2."/>
      <w:lvlJc w:val="left"/>
      <w:pPr>
        <w:ind w:left="1710" w:hanging="360"/>
      </w:pPr>
    </w:lvl>
    <w:lvl w:ilvl="2" w:tplc="1009001B" w:tentative="1">
      <w:start w:val="1"/>
      <w:numFmt w:val="lowerRoman"/>
      <w:lvlText w:val="%3."/>
      <w:lvlJc w:val="right"/>
      <w:pPr>
        <w:ind w:left="2430" w:hanging="180"/>
      </w:pPr>
    </w:lvl>
    <w:lvl w:ilvl="3" w:tplc="1009000F" w:tentative="1">
      <w:start w:val="1"/>
      <w:numFmt w:val="decimal"/>
      <w:lvlText w:val="%4."/>
      <w:lvlJc w:val="left"/>
      <w:pPr>
        <w:ind w:left="3150" w:hanging="360"/>
      </w:pPr>
    </w:lvl>
    <w:lvl w:ilvl="4" w:tplc="10090019" w:tentative="1">
      <w:start w:val="1"/>
      <w:numFmt w:val="lowerLetter"/>
      <w:lvlText w:val="%5."/>
      <w:lvlJc w:val="left"/>
      <w:pPr>
        <w:ind w:left="3870" w:hanging="360"/>
      </w:pPr>
    </w:lvl>
    <w:lvl w:ilvl="5" w:tplc="1009001B" w:tentative="1">
      <w:start w:val="1"/>
      <w:numFmt w:val="lowerRoman"/>
      <w:lvlText w:val="%6."/>
      <w:lvlJc w:val="right"/>
      <w:pPr>
        <w:ind w:left="4590" w:hanging="180"/>
      </w:pPr>
    </w:lvl>
    <w:lvl w:ilvl="6" w:tplc="1009000F" w:tentative="1">
      <w:start w:val="1"/>
      <w:numFmt w:val="decimal"/>
      <w:lvlText w:val="%7."/>
      <w:lvlJc w:val="left"/>
      <w:pPr>
        <w:ind w:left="5310" w:hanging="360"/>
      </w:pPr>
    </w:lvl>
    <w:lvl w:ilvl="7" w:tplc="10090019" w:tentative="1">
      <w:start w:val="1"/>
      <w:numFmt w:val="lowerLetter"/>
      <w:lvlText w:val="%8."/>
      <w:lvlJc w:val="left"/>
      <w:pPr>
        <w:ind w:left="6030" w:hanging="360"/>
      </w:pPr>
    </w:lvl>
    <w:lvl w:ilvl="8" w:tplc="1009001B" w:tentative="1">
      <w:start w:val="1"/>
      <w:numFmt w:val="lowerRoman"/>
      <w:lvlText w:val="%9."/>
      <w:lvlJc w:val="right"/>
      <w:pPr>
        <w:ind w:left="6750" w:hanging="180"/>
      </w:pPr>
    </w:lvl>
  </w:abstractNum>
  <w:abstractNum w:abstractNumId="11">
    <w:nsid w:val="35DA3871"/>
    <w:multiLevelType w:val="hybridMultilevel"/>
    <w:tmpl w:val="25BAB562"/>
    <w:lvl w:ilvl="0" w:tplc="371ED498">
      <w:start w:val="1"/>
      <w:numFmt w:val="lowerLetter"/>
      <w:lvlText w:val="%1)"/>
      <w:lvlJc w:val="left"/>
      <w:pPr>
        <w:ind w:left="10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nsid w:val="3F5C7004"/>
    <w:multiLevelType w:val="hybridMultilevel"/>
    <w:tmpl w:val="4C106B38"/>
    <w:lvl w:ilvl="0" w:tplc="FEB4F8FC">
      <w:start w:val="1"/>
      <w:numFmt w:val="lowerLetter"/>
      <w:lvlText w:val="%1)"/>
      <w:lvlJc w:val="left"/>
      <w:pPr>
        <w:ind w:left="1020" w:hanging="360"/>
      </w:pPr>
      <w:rPr>
        <w:rFonts w:hint="default"/>
      </w:r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nsid w:val="4FAB1C9C"/>
    <w:multiLevelType w:val="hybridMultilevel"/>
    <w:tmpl w:val="66BE0680"/>
    <w:lvl w:ilvl="0" w:tplc="5C14E0B8">
      <w:start w:val="1"/>
      <w:numFmt w:val="lowerLetter"/>
      <w:lvlText w:val="%1)"/>
      <w:lvlJc w:val="left"/>
      <w:pPr>
        <w:ind w:left="1020" w:hanging="360"/>
      </w:pPr>
      <w:rPr>
        <w:rFonts w:hint="default"/>
      </w:rPr>
    </w:lvl>
    <w:lvl w:ilvl="1" w:tplc="10090019" w:tentative="1">
      <w:start w:val="1"/>
      <w:numFmt w:val="lowerLetter"/>
      <w:lvlText w:val="%2."/>
      <w:lvlJc w:val="left"/>
      <w:pPr>
        <w:ind w:left="1740" w:hanging="360"/>
      </w:pPr>
    </w:lvl>
    <w:lvl w:ilvl="2" w:tplc="1009001B" w:tentative="1">
      <w:start w:val="1"/>
      <w:numFmt w:val="lowerRoman"/>
      <w:lvlText w:val="%3."/>
      <w:lvlJc w:val="right"/>
      <w:pPr>
        <w:ind w:left="2460" w:hanging="180"/>
      </w:pPr>
    </w:lvl>
    <w:lvl w:ilvl="3" w:tplc="1009000F" w:tentative="1">
      <w:start w:val="1"/>
      <w:numFmt w:val="decimal"/>
      <w:lvlText w:val="%4."/>
      <w:lvlJc w:val="left"/>
      <w:pPr>
        <w:ind w:left="3180" w:hanging="360"/>
      </w:pPr>
    </w:lvl>
    <w:lvl w:ilvl="4" w:tplc="10090019" w:tentative="1">
      <w:start w:val="1"/>
      <w:numFmt w:val="lowerLetter"/>
      <w:lvlText w:val="%5."/>
      <w:lvlJc w:val="left"/>
      <w:pPr>
        <w:ind w:left="3900" w:hanging="360"/>
      </w:pPr>
    </w:lvl>
    <w:lvl w:ilvl="5" w:tplc="1009001B" w:tentative="1">
      <w:start w:val="1"/>
      <w:numFmt w:val="lowerRoman"/>
      <w:lvlText w:val="%6."/>
      <w:lvlJc w:val="right"/>
      <w:pPr>
        <w:ind w:left="4620" w:hanging="180"/>
      </w:pPr>
    </w:lvl>
    <w:lvl w:ilvl="6" w:tplc="1009000F" w:tentative="1">
      <w:start w:val="1"/>
      <w:numFmt w:val="decimal"/>
      <w:lvlText w:val="%7."/>
      <w:lvlJc w:val="left"/>
      <w:pPr>
        <w:ind w:left="5340" w:hanging="360"/>
      </w:pPr>
    </w:lvl>
    <w:lvl w:ilvl="7" w:tplc="10090019" w:tentative="1">
      <w:start w:val="1"/>
      <w:numFmt w:val="lowerLetter"/>
      <w:lvlText w:val="%8."/>
      <w:lvlJc w:val="left"/>
      <w:pPr>
        <w:ind w:left="6060" w:hanging="360"/>
      </w:pPr>
    </w:lvl>
    <w:lvl w:ilvl="8" w:tplc="1009001B" w:tentative="1">
      <w:start w:val="1"/>
      <w:numFmt w:val="lowerRoman"/>
      <w:lvlText w:val="%9."/>
      <w:lvlJc w:val="right"/>
      <w:pPr>
        <w:ind w:left="6780" w:hanging="180"/>
      </w:pPr>
    </w:lvl>
  </w:abstractNum>
  <w:abstractNum w:abstractNumId="14">
    <w:nsid w:val="5DE1398F"/>
    <w:multiLevelType w:val="hybridMultilevel"/>
    <w:tmpl w:val="8C6C7CF0"/>
    <w:lvl w:ilvl="0" w:tplc="4246F3B8">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5">
    <w:nsid w:val="6033465B"/>
    <w:multiLevelType w:val="hybridMultilevel"/>
    <w:tmpl w:val="E31A10C8"/>
    <w:lvl w:ilvl="0" w:tplc="684234DA">
      <w:start w:val="1"/>
      <w:numFmt w:val="lowerLetter"/>
      <w:lvlText w:val="%1)"/>
      <w:lvlJc w:val="left"/>
      <w:pPr>
        <w:ind w:left="990" w:hanging="360"/>
      </w:pPr>
      <w:rPr>
        <w:rFonts w:hint="default"/>
      </w:rPr>
    </w:lvl>
    <w:lvl w:ilvl="1" w:tplc="10090019" w:tentative="1">
      <w:start w:val="1"/>
      <w:numFmt w:val="lowerLetter"/>
      <w:lvlText w:val="%2."/>
      <w:lvlJc w:val="left"/>
      <w:pPr>
        <w:ind w:left="1710" w:hanging="360"/>
      </w:pPr>
    </w:lvl>
    <w:lvl w:ilvl="2" w:tplc="1009001B" w:tentative="1">
      <w:start w:val="1"/>
      <w:numFmt w:val="lowerRoman"/>
      <w:lvlText w:val="%3."/>
      <w:lvlJc w:val="right"/>
      <w:pPr>
        <w:ind w:left="2430" w:hanging="180"/>
      </w:pPr>
    </w:lvl>
    <w:lvl w:ilvl="3" w:tplc="1009000F" w:tentative="1">
      <w:start w:val="1"/>
      <w:numFmt w:val="decimal"/>
      <w:lvlText w:val="%4."/>
      <w:lvlJc w:val="left"/>
      <w:pPr>
        <w:ind w:left="3150" w:hanging="360"/>
      </w:pPr>
    </w:lvl>
    <w:lvl w:ilvl="4" w:tplc="10090019" w:tentative="1">
      <w:start w:val="1"/>
      <w:numFmt w:val="lowerLetter"/>
      <w:lvlText w:val="%5."/>
      <w:lvlJc w:val="left"/>
      <w:pPr>
        <w:ind w:left="3870" w:hanging="360"/>
      </w:pPr>
    </w:lvl>
    <w:lvl w:ilvl="5" w:tplc="1009001B" w:tentative="1">
      <w:start w:val="1"/>
      <w:numFmt w:val="lowerRoman"/>
      <w:lvlText w:val="%6."/>
      <w:lvlJc w:val="right"/>
      <w:pPr>
        <w:ind w:left="4590" w:hanging="180"/>
      </w:pPr>
    </w:lvl>
    <w:lvl w:ilvl="6" w:tplc="1009000F" w:tentative="1">
      <w:start w:val="1"/>
      <w:numFmt w:val="decimal"/>
      <w:lvlText w:val="%7."/>
      <w:lvlJc w:val="left"/>
      <w:pPr>
        <w:ind w:left="5310" w:hanging="360"/>
      </w:pPr>
    </w:lvl>
    <w:lvl w:ilvl="7" w:tplc="10090019" w:tentative="1">
      <w:start w:val="1"/>
      <w:numFmt w:val="lowerLetter"/>
      <w:lvlText w:val="%8."/>
      <w:lvlJc w:val="left"/>
      <w:pPr>
        <w:ind w:left="6030" w:hanging="360"/>
      </w:pPr>
    </w:lvl>
    <w:lvl w:ilvl="8" w:tplc="1009001B" w:tentative="1">
      <w:start w:val="1"/>
      <w:numFmt w:val="lowerRoman"/>
      <w:lvlText w:val="%9."/>
      <w:lvlJc w:val="right"/>
      <w:pPr>
        <w:ind w:left="6750" w:hanging="180"/>
      </w:pPr>
    </w:lvl>
  </w:abstractNum>
  <w:abstractNum w:abstractNumId="16">
    <w:nsid w:val="69443553"/>
    <w:multiLevelType w:val="hybridMultilevel"/>
    <w:tmpl w:val="D8A6E264"/>
    <w:lvl w:ilvl="0" w:tplc="5C14E0B8">
      <w:start w:val="1"/>
      <w:numFmt w:val="lowerLetter"/>
      <w:lvlText w:val="%1)"/>
      <w:lvlJc w:val="left"/>
      <w:pPr>
        <w:ind w:left="1020" w:hanging="360"/>
      </w:pPr>
      <w:rPr>
        <w:rFonts w:hint="default"/>
      </w:rPr>
    </w:lvl>
    <w:lvl w:ilvl="1" w:tplc="10090001">
      <w:start w:val="1"/>
      <w:numFmt w:val="bullet"/>
      <w:lvlText w:val=""/>
      <w:lvlJc w:val="left"/>
      <w:pPr>
        <w:ind w:left="1740" w:hanging="360"/>
      </w:pPr>
      <w:rPr>
        <w:rFonts w:ascii="Symbol" w:hAnsi="Symbol" w:hint="default"/>
      </w:rPr>
    </w:lvl>
    <w:lvl w:ilvl="2" w:tplc="1009001B" w:tentative="1">
      <w:start w:val="1"/>
      <w:numFmt w:val="lowerRoman"/>
      <w:lvlText w:val="%3."/>
      <w:lvlJc w:val="right"/>
      <w:pPr>
        <w:ind w:left="2460" w:hanging="180"/>
      </w:pPr>
    </w:lvl>
    <w:lvl w:ilvl="3" w:tplc="1009000F" w:tentative="1">
      <w:start w:val="1"/>
      <w:numFmt w:val="decimal"/>
      <w:lvlText w:val="%4."/>
      <w:lvlJc w:val="left"/>
      <w:pPr>
        <w:ind w:left="3180" w:hanging="360"/>
      </w:pPr>
    </w:lvl>
    <w:lvl w:ilvl="4" w:tplc="10090019" w:tentative="1">
      <w:start w:val="1"/>
      <w:numFmt w:val="lowerLetter"/>
      <w:lvlText w:val="%5."/>
      <w:lvlJc w:val="left"/>
      <w:pPr>
        <w:ind w:left="3900" w:hanging="360"/>
      </w:pPr>
    </w:lvl>
    <w:lvl w:ilvl="5" w:tplc="1009001B" w:tentative="1">
      <w:start w:val="1"/>
      <w:numFmt w:val="lowerRoman"/>
      <w:lvlText w:val="%6."/>
      <w:lvlJc w:val="right"/>
      <w:pPr>
        <w:ind w:left="4620" w:hanging="180"/>
      </w:pPr>
    </w:lvl>
    <w:lvl w:ilvl="6" w:tplc="1009000F" w:tentative="1">
      <w:start w:val="1"/>
      <w:numFmt w:val="decimal"/>
      <w:lvlText w:val="%7."/>
      <w:lvlJc w:val="left"/>
      <w:pPr>
        <w:ind w:left="5340" w:hanging="360"/>
      </w:pPr>
    </w:lvl>
    <w:lvl w:ilvl="7" w:tplc="10090019" w:tentative="1">
      <w:start w:val="1"/>
      <w:numFmt w:val="lowerLetter"/>
      <w:lvlText w:val="%8."/>
      <w:lvlJc w:val="left"/>
      <w:pPr>
        <w:ind w:left="6060" w:hanging="360"/>
      </w:pPr>
    </w:lvl>
    <w:lvl w:ilvl="8" w:tplc="1009001B" w:tentative="1">
      <w:start w:val="1"/>
      <w:numFmt w:val="lowerRoman"/>
      <w:lvlText w:val="%9."/>
      <w:lvlJc w:val="right"/>
      <w:pPr>
        <w:ind w:left="6780" w:hanging="180"/>
      </w:pPr>
    </w:lvl>
  </w:abstractNum>
  <w:abstractNum w:abstractNumId="17">
    <w:nsid w:val="717F76BE"/>
    <w:multiLevelType w:val="hybridMultilevel"/>
    <w:tmpl w:val="B1EE869A"/>
    <w:lvl w:ilvl="0" w:tplc="10090017">
      <w:start w:val="1"/>
      <w:numFmt w:val="lowerLetter"/>
      <w:lvlText w:val="%1)"/>
      <w:lvlJc w:val="left"/>
      <w:pPr>
        <w:ind w:left="985" w:hanging="360"/>
      </w:pPr>
      <w:rPr>
        <w:rFonts w:hint="default"/>
      </w:rPr>
    </w:lvl>
    <w:lvl w:ilvl="1" w:tplc="10090019" w:tentative="1">
      <w:start w:val="1"/>
      <w:numFmt w:val="lowerLetter"/>
      <w:lvlText w:val="%2."/>
      <w:lvlJc w:val="left"/>
      <w:pPr>
        <w:ind w:left="1705" w:hanging="360"/>
      </w:pPr>
    </w:lvl>
    <w:lvl w:ilvl="2" w:tplc="1009001B" w:tentative="1">
      <w:start w:val="1"/>
      <w:numFmt w:val="lowerRoman"/>
      <w:lvlText w:val="%3."/>
      <w:lvlJc w:val="right"/>
      <w:pPr>
        <w:ind w:left="2425" w:hanging="180"/>
      </w:pPr>
    </w:lvl>
    <w:lvl w:ilvl="3" w:tplc="1009000F" w:tentative="1">
      <w:start w:val="1"/>
      <w:numFmt w:val="decimal"/>
      <w:lvlText w:val="%4."/>
      <w:lvlJc w:val="left"/>
      <w:pPr>
        <w:ind w:left="3145" w:hanging="360"/>
      </w:pPr>
    </w:lvl>
    <w:lvl w:ilvl="4" w:tplc="10090019" w:tentative="1">
      <w:start w:val="1"/>
      <w:numFmt w:val="lowerLetter"/>
      <w:lvlText w:val="%5."/>
      <w:lvlJc w:val="left"/>
      <w:pPr>
        <w:ind w:left="3865" w:hanging="360"/>
      </w:pPr>
    </w:lvl>
    <w:lvl w:ilvl="5" w:tplc="1009001B" w:tentative="1">
      <w:start w:val="1"/>
      <w:numFmt w:val="lowerRoman"/>
      <w:lvlText w:val="%6."/>
      <w:lvlJc w:val="right"/>
      <w:pPr>
        <w:ind w:left="4585" w:hanging="180"/>
      </w:pPr>
    </w:lvl>
    <w:lvl w:ilvl="6" w:tplc="1009000F" w:tentative="1">
      <w:start w:val="1"/>
      <w:numFmt w:val="decimal"/>
      <w:lvlText w:val="%7."/>
      <w:lvlJc w:val="left"/>
      <w:pPr>
        <w:ind w:left="5305" w:hanging="360"/>
      </w:pPr>
    </w:lvl>
    <w:lvl w:ilvl="7" w:tplc="10090019" w:tentative="1">
      <w:start w:val="1"/>
      <w:numFmt w:val="lowerLetter"/>
      <w:lvlText w:val="%8."/>
      <w:lvlJc w:val="left"/>
      <w:pPr>
        <w:ind w:left="6025" w:hanging="360"/>
      </w:pPr>
    </w:lvl>
    <w:lvl w:ilvl="8" w:tplc="1009001B" w:tentative="1">
      <w:start w:val="1"/>
      <w:numFmt w:val="lowerRoman"/>
      <w:lvlText w:val="%9."/>
      <w:lvlJc w:val="right"/>
      <w:pPr>
        <w:ind w:left="6745" w:hanging="180"/>
      </w:pPr>
    </w:lvl>
  </w:abstractNum>
  <w:abstractNum w:abstractNumId="18">
    <w:nsid w:val="7D044A77"/>
    <w:multiLevelType w:val="hybridMultilevel"/>
    <w:tmpl w:val="E9A4FCD4"/>
    <w:lvl w:ilvl="0" w:tplc="BC3A9EF0">
      <w:start w:val="1"/>
      <w:numFmt w:val="lowerLetter"/>
      <w:lvlText w:val="%1)"/>
      <w:lvlJc w:val="left"/>
      <w:pPr>
        <w:ind w:left="10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nsid w:val="7F861C31"/>
    <w:multiLevelType w:val="hybridMultilevel"/>
    <w:tmpl w:val="B098584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3"/>
  </w:num>
  <w:num w:numId="2">
    <w:abstractNumId w:val="16"/>
  </w:num>
  <w:num w:numId="3">
    <w:abstractNumId w:val="12"/>
  </w:num>
  <w:num w:numId="4">
    <w:abstractNumId w:val="10"/>
  </w:num>
  <w:num w:numId="5">
    <w:abstractNumId w:val="9"/>
  </w:num>
  <w:num w:numId="6">
    <w:abstractNumId w:val="15"/>
  </w:num>
  <w:num w:numId="7">
    <w:abstractNumId w:val="7"/>
  </w:num>
  <w:num w:numId="8">
    <w:abstractNumId w:val="11"/>
  </w:num>
  <w:num w:numId="9">
    <w:abstractNumId w:val="4"/>
  </w:num>
  <w:num w:numId="10">
    <w:abstractNumId w:val="17"/>
  </w:num>
  <w:num w:numId="11">
    <w:abstractNumId w:val="6"/>
  </w:num>
  <w:num w:numId="12">
    <w:abstractNumId w:val="5"/>
  </w:num>
  <w:num w:numId="13">
    <w:abstractNumId w:val="8"/>
  </w:num>
  <w:num w:numId="14">
    <w:abstractNumId w:val="14"/>
  </w:num>
  <w:num w:numId="15">
    <w:abstractNumId w:val="19"/>
  </w:num>
  <w:num w:numId="16">
    <w:abstractNumId w:val="13"/>
  </w:num>
  <w:num w:numId="17">
    <w:abstractNumId w:val="18"/>
  </w:num>
  <w:num w:numId="18">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79A"/>
    <w:rsid w:val="000040E0"/>
    <w:rsid w:val="00030CF4"/>
    <w:rsid w:val="000471D7"/>
    <w:rsid w:val="00053B42"/>
    <w:rsid w:val="000634AA"/>
    <w:rsid w:val="000671E5"/>
    <w:rsid w:val="0007594E"/>
    <w:rsid w:val="00081587"/>
    <w:rsid w:val="000A6460"/>
    <w:rsid w:val="000A6FC3"/>
    <w:rsid w:val="000B2348"/>
    <w:rsid w:val="000C5C21"/>
    <w:rsid w:val="000C64C9"/>
    <w:rsid w:val="000F2310"/>
    <w:rsid w:val="00153597"/>
    <w:rsid w:val="001714A7"/>
    <w:rsid w:val="0017653B"/>
    <w:rsid w:val="00187E9A"/>
    <w:rsid w:val="001B0BDC"/>
    <w:rsid w:val="001B59FA"/>
    <w:rsid w:val="001B5DB5"/>
    <w:rsid w:val="00203642"/>
    <w:rsid w:val="00210353"/>
    <w:rsid w:val="00210B90"/>
    <w:rsid w:val="00221DA0"/>
    <w:rsid w:val="00257CBC"/>
    <w:rsid w:val="002608AA"/>
    <w:rsid w:val="00262A12"/>
    <w:rsid w:val="00277D25"/>
    <w:rsid w:val="00281C11"/>
    <w:rsid w:val="00283B5A"/>
    <w:rsid w:val="002909D1"/>
    <w:rsid w:val="00291E3B"/>
    <w:rsid w:val="002970DB"/>
    <w:rsid w:val="0029722F"/>
    <w:rsid w:val="002A3076"/>
    <w:rsid w:val="002B0969"/>
    <w:rsid w:val="002C28C3"/>
    <w:rsid w:val="002C38BB"/>
    <w:rsid w:val="002D28EF"/>
    <w:rsid w:val="002D7DE2"/>
    <w:rsid w:val="00302DEA"/>
    <w:rsid w:val="00312970"/>
    <w:rsid w:val="00314496"/>
    <w:rsid w:val="0032071F"/>
    <w:rsid w:val="00321672"/>
    <w:rsid w:val="00323310"/>
    <w:rsid w:val="00364442"/>
    <w:rsid w:val="003726CC"/>
    <w:rsid w:val="00382E63"/>
    <w:rsid w:val="003862C7"/>
    <w:rsid w:val="00390788"/>
    <w:rsid w:val="00393EC5"/>
    <w:rsid w:val="0039472E"/>
    <w:rsid w:val="003A63FC"/>
    <w:rsid w:val="003B1247"/>
    <w:rsid w:val="003C5B5A"/>
    <w:rsid w:val="003D0F88"/>
    <w:rsid w:val="003E00A6"/>
    <w:rsid w:val="003F1A69"/>
    <w:rsid w:val="003F4218"/>
    <w:rsid w:val="003F4840"/>
    <w:rsid w:val="004000C9"/>
    <w:rsid w:val="00413DFD"/>
    <w:rsid w:val="00445C0C"/>
    <w:rsid w:val="0044695A"/>
    <w:rsid w:val="00453DAB"/>
    <w:rsid w:val="00457DCE"/>
    <w:rsid w:val="0048404C"/>
    <w:rsid w:val="00492C8E"/>
    <w:rsid w:val="004A0633"/>
    <w:rsid w:val="004A3DC1"/>
    <w:rsid w:val="004C3A0E"/>
    <w:rsid w:val="004D3108"/>
    <w:rsid w:val="004E12D8"/>
    <w:rsid w:val="004E18D8"/>
    <w:rsid w:val="004E28F5"/>
    <w:rsid w:val="004E344D"/>
    <w:rsid w:val="004E68BE"/>
    <w:rsid w:val="004F6984"/>
    <w:rsid w:val="00540CD4"/>
    <w:rsid w:val="005516FC"/>
    <w:rsid w:val="00560F34"/>
    <w:rsid w:val="00562831"/>
    <w:rsid w:val="00570C5E"/>
    <w:rsid w:val="00572E95"/>
    <w:rsid w:val="00581E27"/>
    <w:rsid w:val="00582197"/>
    <w:rsid w:val="005B3841"/>
    <w:rsid w:val="005C4E15"/>
    <w:rsid w:val="005C5CD9"/>
    <w:rsid w:val="005C7949"/>
    <w:rsid w:val="005D00AB"/>
    <w:rsid w:val="005F0E78"/>
    <w:rsid w:val="005F6097"/>
    <w:rsid w:val="005F6297"/>
    <w:rsid w:val="00605BAC"/>
    <w:rsid w:val="00605D94"/>
    <w:rsid w:val="0063418C"/>
    <w:rsid w:val="00634283"/>
    <w:rsid w:val="00682BFF"/>
    <w:rsid w:val="00685C3E"/>
    <w:rsid w:val="0069381B"/>
    <w:rsid w:val="0069460B"/>
    <w:rsid w:val="006A0B22"/>
    <w:rsid w:val="006C2BA8"/>
    <w:rsid w:val="006D172C"/>
    <w:rsid w:val="006D68AA"/>
    <w:rsid w:val="00705FC4"/>
    <w:rsid w:val="00711800"/>
    <w:rsid w:val="00712E1D"/>
    <w:rsid w:val="00720641"/>
    <w:rsid w:val="00724585"/>
    <w:rsid w:val="00733487"/>
    <w:rsid w:val="00743F2B"/>
    <w:rsid w:val="007440E5"/>
    <w:rsid w:val="007521F9"/>
    <w:rsid w:val="007552CF"/>
    <w:rsid w:val="00755610"/>
    <w:rsid w:val="007569D2"/>
    <w:rsid w:val="0076175F"/>
    <w:rsid w:val="00765D4F"/>
    <w:rsid w:val="00775A38"/>
    <w:rsid w:val="00777174"/>
    <w:rsid w:val="00794CAC"/>
    <w:rsid w:val="007A3725"/>
    <w:rsid w:val="007B0105"/>
    <w:rsid w:val="007D7C39"/>
    <w:rsid w:val="007F422F"/>
    <w:rsid w:val="00807324"/>
    <w:rsid w:val="008210C4"/>
    <w:rsid w:val="00821B4F"/>
    <w:rsid w:val="0082244D"/>
    <w:rsid w:val="0082489F"/>
    <w:rsid w:val="00824BAB"/>
    <w:rsid w:val="00834E7D"/>
    <w:rsid w:val="008356FE"/>
    <w:rsid w:val="00847560"/>
    <w:rsid w:val="0085525D"/>
    <w:rsid w:val="008600A5"/>
    <w:rsid w:val="00872090"/>
    <w:rsid w:val="008960A5"/>
    <w:rsid w:val="008A5AA6"/>
    <w:rsid w:val="008B3381"/>
    <w:rsid w:val="008C59EE"/>
    <w:rsid w:val="008E057C"/>
    <w:rsid w:val="008F312E"/>
    <w:rsid w:val="00905450"/>
    <w:rsid w:val="00905623"/>
    <w:rsid w:val="00905C8A"/>
    <w:rsid w:val="00905DEE"/>
    <w:rsid w:val="009060D0"/>
    <w:rsid w:val="00910122"/>
    <w:rsid w:val="009257F8"/>
    <w:rsid w:val="009609BF"/>
    <w:rsid w:val="00970047"/>
    <w:rsid w:val="0097065C"/>
    <w:rsid w:val="00980594"/>
    <w:rsid w:val="0098153D"/>
    <w:rsid w:val="00982116"/>
    <w:rsid w:val="009927E7"/>
    <w:rsid w:val="009A2F0E"/>
    <w:rsid w:val="009C3A27"/>
    <w:rsid w:val="009C5CA8"/>
    <w:rsid w:val="009D66B7"/>
    <w:rsid w:val="009E1912"/>
    <w:rsid w:val="009E3BBC"/>
    <w:rsid w:val="009F1FAF"/>
    <w:rsid w:val="00A0138C"/>
    <w:rsid w:val="00A05A09"/>
    <w:rsid w:val="00A06B6A"/>
    <w:rsid w:val="00A13598"/>
    <w:rsid w:val="00A225C3"/>
    <w:rsid w:val="00A22DB3"/>
    <w:rsid w:val="00A40413"/>
    <w:rsid w:val="00A43954"/>
    <w:rsid w:val="00A52F9A"/>
    <w:rsid w:val="00A729D1"/>
    <w:rsid w:val="00A732A0"/>
    <w:rsid w:val="00A96BD7"/>
    <w:rsid w:val="00AA69A4"/>
    <w:rsid w:val="00AB3AF3"/>
    <w:rsid w:val="00AB5F18"/>
    <w:rsid w:val="00AC5459"/>
    <w:rsid w:val="00AD3BF0"/>
    <w:rsid w:val="00AD52A8"/>
    <w:rsid w:val="00AE10D2"/>
    <w:rsid w:val="00AE3A74"/>
    <w:rsid w:val="00B048DA"/>
    <w:rsid w:val="00B15F87"/>
    <w:rsid w:val="00B22BD4"/>
    <w:rsid w:val="00B235E3"/>
    <w:rsid w:val="00B450FE"/>
    <w:rsid w:val="00B50C35"/>
    <w:rsid w:val="00B52B12"/>
    <w:rsid w:val="00B55745"/>
    <w:rsid w:val="00B659EB"/>
    <w:rsid w:val="00B75E77"/>
    <w:rsid w:val="00B854BE"/>
    <w:rsid w:val="00BD172C"/>
    <w:rsid w:val="00BD33DB"/>
    <w:rsid w:val="00BD6D20"/>
    <w:rsid w:val="00BD7568"/>
    <w:rsid w:val="00BE3772"/>
    <w:rsid w:val="00BE57E5"/>
    <w:rsid w:val="00BE6A80"/>
    <w:rsid w:val="00BF146B"/>
    <w:rsid w:val="00BF4D88"/>
    <w:rsid w:val="00C00B45"/>
    <w:rsid w:val="00C0382E"/>
    <w:rsid w:val="00C063DF"/>
    <w:rsid w:val="00C0723B"/>
    <w:rsid w:val="00C158A4"/>
    <w:rsid w:val="00C1630A"/>
    <w:rsid w:val="00C2784D"/>
    <w:rsid w:val="00C3520A"/>
    <w:rsid w:val="00C357DA"/>
    <w:rsid w:val="00C55676"/>
    <w:rsid w:val="00C56E9A"/>
    <w:rsid w:val="00C61E76"/>
    <w:rsid w:val="00C62D96"/>
    <w:rsid w:val="00C63F7F"/>
    <w:rsid w:val="00C640D5"/>
    <w:rsid w:val="00C642F8"/>
    <w:rsid w:val="00C9360C"/>
    <w:rsid w:val="00C95B3B"/>
    <w:rsid w:val="00CA03B5"/>
    <w:rsid w:val="00CB6A9D"/>
    <w:rsid w:val="00CC29E5"/>
    <w:rsid w:val="00CC5A51"/>
    <w:rsid w:val="00CD1677"/>
    <w:rsid w:val="00CE4266"/>
    <w:rsid w:val="00CE7CC8"/>
    <w:rsid w:val="00D011E8"/>
    <w:rsid w:val="00D154DA"/>
    <w:rsid w:val="00D436D8"/>
    <w:rsid w:val="00D55C7C"/>
    <w:rsid w:val="00D603C9"/>
    <w:rsid w:val="00D7431A"/>
    <w:rsid w:val="00D85B69"/>
    <w:rsid w:val="00D86A75"/>
    <w:rsid w:val="00DA1AAF"/>
    <w:rsid w:val="00DA22B0"/>
    <w:rsid w:val="00DA2A11"/>
    <w:rsid w:val="00DA5234"/>
    <w:rsid w:val="00DA5A11"/>
    <w:rsid w:val="00DB379A"/>
    <w:rsid w:val="00DC3A97"/>
    <w:rsid w:val="00DD6DC2"/>
    <w:rsid w:val="00DF2052"/>
    <w:rsid w:val="00E115E4"/>
    <w:rsid w:val="00E32317"/>
    <w:rsid w:val="00E46EA7"/>
    <w:rsid w:val="00E52C6A"/>
    <w:rsid w:val="00E56BA1"/>
    <w:rsid w:val="00E726AA"/>
    <w:rsid w:val="00E73D11"/>
    <w:rsid w:val="00E7506D"/>
    <w:rsid w:val="00E80803"/>
    <w:rsid w:val="00E829BD"/>
    <w:rsid w:val="00EC1653"/>
    <w:rsid w:val="00ED3DF5"/>
    <w:rsid w:val="00ED438C"/>
    <w:rsid w:val="00EE35D1"/>
    <w:rsid w:val="00F00166"/>
    <w:rsid w:val="00F0766C"/>
    <w:rsid w:val="00F11FD2"/>
    <w:rsid w:val="00F126F7"/>
    <w:rsid w:val="00F16D04"/>
    <w:rsid w:val="00F27FB7"/>
    <w:rsid w:val="00F518B0"/>
    <w:rsid w:val="00F55BDF"/>
    <w:rsid w:val="00F56B40"/>
    <w:rsid w:val="00F67600"/>
    <w:rsid w:val="00F96BC6"/>
    <w:rsid w:val="00FA1451"/>
    <w:rsid w:val="00FC6049"/>
    <w:rsid w:val="00FD6C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2B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37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379A"/>
    <w:rPr>
      <w:rFonts w:ascii="Tahoma" w:hAnsi="Tahoma" w:cs="Tahoma"/>
      <w:sz w:val="16"/>
      <w:szCs w:val="16"/>
    </w:rPr>
  </w:style>
  <w:style w:type="paragraph" w:styleId="Header">
    <w:name w:val="header"/>
    <w:basedOn w:val="Normal"/>
    <w:link w:val="HeaderChar"/>
    <w:uiPriority w:val="99"/>
    <w:semiHidden/>
    <w:unhideWhenUsed/>
    <w:rsid w:val="003726C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726CC"/>
  </w:style>
  <w:style w:type="paragraph" w:styleId="Footer">
    <w:name w:val="footer"/>
    <w:basedOn w:val="Normal"/>
    <w:link w:val="FooterChar"/>
    <w:uiPriority w:val="99"/>
    <w:unhideWhenUsed/>
    <w:rsid w:val="003726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26CC"/>
  </w:style>
  <w:style w:type="character" w:styleId="Hyperlink">
    <w:name w:val="Hyperlink"/>
    <w:basedOn w:val="DefaultParagraphFont"/>
    <w:uiPriority w:val="99"/>
    <w:unhideWhenUsed/>
    <w:rsid w:val="003726CC"/>
    <w:rPr>
      <w:color w:val="0000FF" w:themeColor="hyperlink"/>
      <w:u w:val="single"/>
    </w:rPr>
  </w:style>
  <w:style w:type="paragraph" w:customStyle="1" w:styleId="Default">
    <w:name w:val="Default"/>
    <w:rsid w:val="00C0382E"/>
    <w:pPr>
      <w:autoSpaceDE w:val="0"/>
      <w:autoSpaceDN w:val="0"/>
      <w:adjustRightInd w:val="0"/>
      <w:spacing w:after="0" w:line="240" w:lineRule="auto"/>
    </w:pPr>
    <w:rPr>
      <w:rFonts w:ascii="Arial" w:eastAsia="Times New Roman" w:hAnsi="Arial" w:cs="Arial"/>
      <w:color w:val="000000"/>
      <w:sz w:val="24"/>
      <w:szCs w:val="24"/>
    </w:rPr>
  </w:style>
  <w:style w:type="paragraph" w:styleId="NoSpacing">
    <w:name w:val="No Spacing"/>
    <w:uiPriority w:val="1"/>
    <w:qFormat/>
    <w:rsid w:val="00C0382E"/>
    <w:pPr>
      <w:spacing w:after="0" w:line="240" w:lineRule="auto"/>
    </w:pPr>
  </w:style>
  <w:style w:type="character" w:styleId="PageNumber">
    <w:name w:val="page number"/>
    <w:uiPriority w:val="99"/>
    <w:rsid w:val="002C38BB"/>
    <w:rPr>
      <w:rFonts w:cs="Times New Roman"/>
    </w:rPr>
  </w:style>
  <w:style w:type="paragraph" w:customStyle="1" w:styleId="Level1">
    <w:name w:val="Level 1"/>
    <w:basedOn w:val="Normal"/>
    <w:uiPriority w:val="99"/>
    <w:rsid w:val="002C38BB"/>
    <w:pPr>
      <w:widowControl w:val="0"/>
      <w:numPr>
        <w:numId w:val="1"/>
      </w:numPr>
      <w:autoSpaceDE w:val="0"/>
      <w:autoSpaceDN w:val="0"/>
      <w:adjustRightInd w:val="0"/>
      <w:spacing w:after="0" w:line="240" w:lineRule="auto"/>
      <w:ind w:hanging="720"/>
      <w:outlineLvl w:val="0"/>
    </w:pPr>
    <w:rPr>
      <w:rFonts w:ascii="Courier" w:eastAsia="Times New Roman" w:hAnsi="Courier" w:cs="Times New Roman"/>
      <w:sz w:val="24"/>
      <w:szCs w:val="24"/>
    </w:rPr>
  </w:style>
  <w:style w:type="paragraph" w:styleId="BodyText">
    <w:name w:val="Body Text"/>
    <w:basedOn w:val="Default"/>
    <w:next w:val="Default"/>
    <w:link w:val="BodyTextChar"/>
    <w:uiPriority w:val="99"/>
    <w:rsid w:val="002C38BB"/>
    <w:rPr>
      <w:color w:val="auto"/>
    </w:rPr>
  </w:style>
  <w:style w:type="character" w:customStyle="1" w:styleId="BodyTextChar">
    <w:name w:val="Body Text Char"/>
    <w:basedOn w:val="DefaultParagraphFont"/>
    <w:link w:val="BodyText"/>
    <w:uiPriority w:val="99"/>
    <w:rsid w:val="002C38BB"/>
    <w:rPr>
      <w:rFonts w:ascii="Arial" w:eastAsia="Times New Roman" w:hAnsi="Arial" w:cs="Arial"/>
      <w:sz w:val="24"/>
      <w:szCs w:val="24"/>
    </w:rPr>
  </w:style>
  <w:style w:type="paragraph" w:styleId="ListParagraph">
    <w:name w:val="List Paragraph"/>
    <w:basedOn w:val="Normal"/>
    <w:uiPriority w:val="34"/>
    <w:qFormat/>
    <w:rsid w:val="0044695A"/>
    <w:pPr>
      <w:ind w:left="720"/>
      <w:contextualSpacing/>
    </w:pPr>
  </w:style>
  <w:style w:type="table" w:styleId="TableGrid">
    <w:name w:val="Table Grid"/>
    <w:basedOn w:val="TableNormal"/>
    <w:uiPriority w:val="59"/>
    <w:rsid w:val="005516F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115E4"/>
    <w:rPr>
      <w:color w:val="800080" w:themeColor="followedHyperlink"/>
      <w:u w:val="single"/>
    </w:rPr>
  </w:style>
  <w:style w:type="table" w:customStyle="1" w:styleId="TableGrid1">
    <w:name w:val="Table Grid1"/>
    <w:basedOn w:val="TableNormal"/>
    <w:next w:val="TableGrid"/>
    <w:uiPriority w:val="59"/>
    <w:rsid w:val="00B659EB"/>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2B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37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379A"/>
    <w:rPr>
      <w:rFonts w:ascii="Tahoma" w:hAnsi="Tahoma" w:cs="Tahoma"/>
      <w:sz w:val="16"/>
      <w:szCs w:val="16"/>
    </w:rPr>
  </w:style>
  <w:style w:type="paragraph" w:styleId="Header">
    <w:name w:val="header"/>
    <w:basedOn w:val="Normal"/>
    <w:link w:val="HeaderChar"/>
    <w:uiPriority w:val="99"/>
    <w:semiHidden/>
    <w:unhideWhenUsed/>
    <w:rsid w:val="003726C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726CC"/>
  </w:style>
  <w:style w:type="paragraph" w:styleId="Footer">
    <w:name w:val="footer"/>
    <w:basedOn w:val="Normal"/>
    <w:link w:val="FooterChar"/>
    <w:uiPriority w:val="99"/>
    <w:unhideWhenUsed/>
    <w:rsid w:val="003726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26CC"/>
  </w:style>
  <w:style w:type="character" w:styleId="Hyperlink">
    <w:name w:val="Hyperlink"/>
    <w:basedOn w:val="DefaultParagraphFont"/>
    <w:uiPriority w:val="99"/>
    <w:unhideWhenUsed/>
    <w:rsid w:val="003726CC"/>
    <w:rPr>
      <w:color w:val="0000FF" w:themeColor="hyperlink"/>
      <w:u w:val="single"/>
    </w:rPr>
  </w:style>
  <w:style w:type="paragraph" w:customStyle="1" w:styleId="Default">
    <w:name w:val="Default"/>
    <w:rsid w:val="00C0382E"/>
    <w:pPr>
      <w:autoSpaceDE w:val="0"/>
      <w:autoSpaceDN w:val="0"/>
      <w:adjustRightInd w:val="0"/>
      <w:spacing w:after="0" w:line="240" w:lineRule="auto"/>
    </w:pPr>
    <w:rPr>
      <w:rFonts w:ascii="Arial" w:eastAsia="Times New Roman" w:hAnsi="Arial" w:cs="Arial"/>
      <w:color w:val="000000"/>
      <w:sz w:val="24"/>
      <w:szCs w:val="24"/>
    </w:rPr>
  </w:style>
  <w:style w:type="paragraph" w:styleId="NoSpacing">
    <w:name w:val="No Spacing"/>
    <w:uiPriority w:val="1"/>
    <w:qFormat/>
    <w:rsid w:val="00C0382E"/>
    <w:pPr>
      <w:spacing w:after="0" w:line="240" w:lineRule="auto"/>
    </w:pPr>
  </w:style>
  <w:style w:type="character" w:styleId="PageNumber">
    <w:name w:val="page number"/>
    <w:uiPriority w:val="99"/>
    <w:rsid w:val="002C38BB"/>
    <w:rPr>
      <w:rFonts w:cs="Times New Roman"/>
    </w:rPr>
  </w:style>
  <w:style w:type="paragraph" w:customStyle="1" w:styleId="Level1">
    <w:name w:val="Level 1"/>
    <w:basedOn w:val="Normal"/>
    <w:uiPriority w:val="99"/>
    <w:rsid w:val="002C38BB"/>
    <w:pPr>
      <w:widowControl w:val="0"/>
      <w:numPr>
        <w:numId w:val="1"/>
      </w:numPr>
      <w:autoSpaceDE w:val="0"/>
      <w:autoSpaceDN w:val="0"/>
      <w:adjustRightInd w:val="0"/>
      <w:spacing w:after="0" w:line="240" w:lineRule="auto"/>
      <w:ind w:hanging="720"/>
      <w:outlineLvl w:val="0"/>
    </w:pPr>
    <w:rPr>
      <w:rFonts w:ascii="Courier" w:eastAsia="Times New Roman" w:hAnsi="Courier" w:cs="Times New Roman"/>
      <w:sz w:val="24"/>
      <w:szCs w:val="24"/>
    </w:rPr>
  </w:style>
  <w:style w:type="paragraph" w:styleId="BodyText">
    <w:name w:val="Body Text"/>
    <w:basedOn w:val="Default"/>
    <w:next w:val="Default"/>
    <w:link w:val="BodyTextChar"/>
    <w:uiPriority w:val="99"/>
    <w:rsid w:val="002C38BB"/>
    <w:rPr>
      <w:color w:val="auto"/>
    </w:rPr>
  </w:style>
  <w:style w:type="character" w:customStyle="1" w:styleId="BodyTextChar">
    <w:name w:val="Body Text Char"/>
    <w:basedOn w:val="DefaultParagraphFont"/>
    <w:link w:val="BodyText"/>
    <w:uiPriority w:val="99"/>
    <w:rsid w:val="002C38BB"/>
    <w:rPr>
      <w:rFonts w:ascii="Arial" w:eastAsia="Times New Roman" w:hAnsi="Arial" w:cs="Arial"/>
      <w:sz w:val="24"/>
      <w:szCs w:val="24"/>
    </w:rPr>
  </w:style>
  <w:style w:type="paragraph" w:styleId="ListParagraph">
    <w:name w:val="List Paragraph"/>
    <w:basedOn w:val="Normal"/>
    <w:uiPriority w:val="34"/>
    <w:qFormat/>
    <w:rsid w:val="0044695A"/>
    <w:pPr>
      <w:ind w:left="720"/>
      <w:contextualSpacing/>
    </w:pPr>
  </w:style>
  <w:style w:type="table" w:styleId="TableGrid">
    <w:name w:val="Table Grid"/>
    <w:basedOn w:val="TableNormal"/>
    <w:uiPriority w:val="59"/>
    <w:rsid w:val="005516F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115E4"/>
    <w:rPr>
      <w:color w:val="800080" w:themeColor="followedHyperlink"/>
      <w:u w:val="single"/>
    </w:rPr>
  </w:style>
  <w:style w:type="table" w:customStyle="1" w:styleId="TableGrid1">
    <w:name w:val="Table Grid1"/>
    <w:basedOn w:val="TableNormal"/>
    <w:next w:val="TableGrid"/>
    <w:uiPriority w:val="59"/>
    <w:rsid w:val="00B659EB"/>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5345445">
      <w:bodyDiv w:val="1"/>
      <w:marLeft w:val="0"/>
      <w:marRight w:val="0"/>
      <w:marTop w:val="0"/>
      <w:marBottom w:val="0"/>
      <w:divBdr>
        <w:top w:val="none" w:sz="0" w:space="0" w:color="auto"/>
        <w:left w:val="none" w:sz="0" w:space="0" w:color="auto"/>
        <w:bottom w:val="none" w:sz="0" w:space="0" w:color="auto"/>
        <w:right w:val="none" w:sz="0" w:space="0" w:color="auto"/>
      </w:divBdr>
    </w:div>
    <w:div w:id="2007591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cms.powerauthority.on.ca/sites/default/files/conservation/2014-Evaluation-Business-Initiatives.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Georgette.Vlahos@ontarioenergyboard.ca"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3" Type="http://schemas.openxmlformats.org/officeDocument/2006/relationships/hyperlink" Target="mailto:mjanigan@piac.ca" TargetMode="External"/><Relationship Id="rId2" Type="http://schemas.openxmlformats.org/officeDocument/2006/relationships/hyperlink" Target="http://www.piac.ca" TargetMode="External"/><Relationship Id="rId1" Type="http://schemas.openxmlformats.org/officeDocument/2006/relationships/hyperlink" Target="mailto:piac@piac.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36CE0D-859E-46D6-8A1F-80A3B75B4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990</Words>
  <Characters>5643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dbrady</dc:creator>
  <cp:lastModifiedBy>Mark Garner</cp:lastModifiedBy>
  <cp:revision>7</cp:revision>
  <cp:lastPrinted>2015-06-05T00:00:00Z</cp:lastPrinted>
  <dcterms:created xsi:type="dcterms:W3CDTF">2016-01-13T22:58:00Z</dcterms:created>
  <dcterms:modified xsi:type="dcterms:W3CDTF">2016-01-14T01:54:00Z</dcterms:modified>
</cp:coreProperties>
</file>