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BC" w:rsidRDefault="00DB379A">
      <w:bookmarkStart w:id="0" w:name="_GoBack"/>
      <w:bookmarkEnd w:id="0"/>
      <w:r>
        <w:rPr>
          <w:noProof/>
          <w:lang w:val="en-CA" w:eastAsia="en-CA"/>
        </w:rPr>
        <w:drawing>
          <wp:inline distT="0" distB="0" distL="0" distR="0">
            <wp:extent cx="5943600" cy="1077306"/>
            <wp:effectExtent l="19050" t="0" r="0" b="0"/>
            <wp:docPr id="1" name="Picture 1" descr="C:\Users\dbrady\AppData\Local\Microsoft\Windows\Temporary Internet Files\Content.Outlook\UJLJ0EN3\PIAC_Logo_H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ady\AppData\Local\Microsoft\Windows\Temporary Internet Files\Content.Outlook\UJLJ0EN3\PIAC_Logo_H_Red.jpg"/>
                    <pic:cNvPicPr>
                      <a:picLocks noChangeAspect="1" noChangeArrowheads="1"/>
                    </pic:cNvPicPr>
                  </pic:nvPicPr>
                  <pic:blipFill>
                    <a:blip r:embed="rId9" cstate="print"/>
                    <a:srcRect/>
                    <a:stretch>
                      <a:fillRect/>
                    </a:stretch>
                  </pic:blipFill>
                  <pic:spPr bwMode="auto">
                    <a:xfrm>
                      <a:off x="0" y="0"/>
                      <a:ext cx="5943600" cy="1077306"/>
                    </a:xfrm>
                    <a:prstGeom prst="rect">
                      <a:avLst/>
                    </a:prstGeom>
                    <a:noFill/>
                    <a:ln w="9525">
                      <a:noFill/>
                      <a:miter lim="800000"/>
                      <a:headEnd/>
                      <a:tailEnd/>
                    </a:ln>
                  </pic:spPr>
                </pic:pic>
              </a:graphicData>
            </a:graphic>
          </wp:inline>
        </w:drawing>
      </w:r>
    </w:p>
    <w:p w:rsidR="00C0382E" w:rsidRPr="00730434" w:rsidRDefault="00730434" w:rsidP="00C0382E">
      <w:pPr>
        <w:rPr>
          <w:rFonts w:cs="Arial"/>
          <w:sz w:val="24"/>
          <w:szCs w:val="24"/>
          <w:lang w:val="en-GB"/>
        </w:rPr>
      </w:pPr>
      <w:r w:rsidRPr="00730434">
        <w:rPr>
          <w:sz w:val="24"/>
          <w:szCs w:val="24"/>
        </w:rPr>
        <w:t xml:space="preserve">February 3, 2016 </w:t>
      </w:r>
    </w:p>
    <w:p w:rsidR="00C0382E" w:rsidRPr="00730434" w:rsidRDefault="00C0382E" w:rsidP="00C0382E">
      <w:pPr>
        <w:jc w:val="right"/>
        <w:rPr>
          <w:rFonts w:cs="Arial"/>
          <w:b/>
          <w:sz w:val="24"/>
          <w:szCs w:val="24"/>
          <w:lang w:val="en-GB"/>
        </w:rPr>
      </w:pPr>
      <w:r w:rsidRPr="00730434">
        <w:rPr>
          <w:rFonts w:cs="Arial"/>
          <w:b/>
          <w:sz w:val="24"/>
          <w:szCs w:val="24"/>
          <w:lang w:val="en-GB"/>
        </w:rPr>
        <w:tab/>
        <w:t>VIA E-MAIL</w:t>
      </w:r>
    </w:p>
    <w:p w:rsidR="00C0382E" w:rsidRPr="00730434" w:rsidRDefault="00C0382E" w:rsidP="00C0382E">
      <w:pPr>
        <w:pStyle w:val="NoSpacing"/>
        <w:rPr>
          <w:sz w:val="24"/>
          <w:szCs w:val="24"/>
          <w:lang w:val="en-GB"/>
        </w:rPr>
      </w:pPr>
      <w:r w:rsidRPr="00730434">
        <w:rPr>
          <w:sz w:val="24"/>
          <w:szCs w:val="24"/>
          <w:lang w:val="en-GB"/>
        </w:rPr>
        <w:t xml:space="preserve">Ms. Kirsten Walli </w:t>
      </w:r>
    </w:p>
    <w:p w:rsidR="00C0382E" w:rsidRPr="00730434" w:rsidRDefault="00C0382E" w:rsidP="00C0382E">
      <w:pPr>
        <w:pStyle w:val="NoSpacing"/>
        <w:rPr>
          <w:sz w:val="24"/>
          <w:szCs w:val="24"/>
          <w:lang w:val="en-GB"/>
        </w:rPr>
      </w:pPr>
      <w:r w:rsidRPr="00730434">
        <w:rPr>
          <w:sz w:val="24"/>
          <w:szCs w:val="24"/>
          <w:lang w:val="en-GB"/>
        </w:rPr>
        <w:t>Board Secretary</w:t>
      </w:r>
    </w:p>
    <w:p w:rsidR="00C0382E" w:rsidRPr="00730434" w:rsidRDefault="00C0382E" w:rsidP="00C0382E">
      <w:pPr>
        <w:pStyle w:val="NoSpacing"/>
        <w:rPr>
          <w:sz w:val="24"/>
          <w:szCs w:val="24"/>
          <w:lang w:val="en-GB"/>
        </w:rPr>
      </w:pPr>
      <w:r w:rsidRPr="00730434">
        <w:rPr>
          <w:sz w:val="24"/>
          <w:szCs w:val="24"/>
          <w:lang w:val="en-GB"/>
        </w:rPr>
        <w:t>Ontario Energy Board</w:t>
      </w:r>
    </w:p>
    <w:p w:rsidR="00C0382E" w:rsidRPr="00730434" w:rsidRDefault="00C0382E" w:rsidP="00C0382E">
      <w:pPr>
        <w:pStyle w:val="NoSpacing"/>
        <w:rPr>
          <w:sz w:val="24"/>
          <w:szCs w:val="24"/>
          <w:lang w:val="en-GB"/>
        </w:rPr>
      </w:pPr>
      <w:r w:rsidRPr="00730434">
        <w:rPr>
          <w:sz w:val="24"/>
          <w:szCs w:val="24"/>
          <w:lang w:val="en-GB"/>
        </w:rPr>
        <w:t>P.O. Box 2319</w:t>
      </w:r>
    </w:p>
    <w:p w:rsidR="00C0382E" w:rsidRPr="00730434" w:rsidRDefault="00C0382E" w:rsidP="00C0382E">
      <w:pPr>
        <w:pStyle w:val="NoSpacing"/>
        <w:rPr>
          <w:sz w:val="24"/>
          <w:szCs w:val="24"/>
          <w:lang w:val="en-GB"/>
        </w:rPr>
      </w:pPr>
      <w:r w:rsidRPr="00730434">
        <w:rPr>
          <w:sz w:val="24"/>
          <w:szCs w:val="24"/>
          <w:lang w:val="en-GB"/>
        </w:rPr>
        <w:t>2300 Yonge St.</w:t>
      </w:r>
    </w:p>
    <w:p w:rsidR="00C0382E" w:rsidRPr="00730434" w:rsidRDefault="00C0382E" w:rsidP="00C0382E">
      <w:pPr>
        <w:pStyle w:val="NoSpacing"/>
        <w:rPr>
          <w:sz w:val="24"/>
          <w:szCs w:val="24"/>
          <w:lang w:val="en-GB"/>
        </w:rPr>
      </w:pPr>
      <w:r w:rsidRPr="00730434">
        <w:rPr>
          <w:sz w:val="24"/>
          <w:szCs w:val="24"/>
          <w:lang w:val="en-GB"/>
        </w:rPr>
        <w:t>Toronto, ON</w:t>
      </w:r>
    </w:p>
    <w:p w:rsidR="00C0382E" w:rsidRPr="00730434" w:rsidRDefault="00C0382E" w:rsidP="00C0382E">
      <w:pPr>
        <w:pStyle w:val="NoSpacing"/>
        <w:rPr>
          <w:sz w:val="24"/>
          <w:szCs w:val="24"/>
          <w:lang w:val="en-GB"/>
        </w:rPr>
      </w:pPr>
      <w:r w:rsidRPr="00730434">
        <w:rPr>
          <w:sz w:val="24"/>
          <w:szCs w:val="24"/>
          <w:lang w:val="en-GB"/>
        </w:rPr>
        <w:t>M4P 1E4</w:t>
      </w:r>
    </w:p>
    <w:p w:rsidR="00C0382E" w:rsidRPr="00730434" w:rsidRDefault="00C0382E" w:rsidP="00C0382E">
      <w:pPr>
        <w:pStyle w:val="NoSpacing"/>
        <w:rPr>
          <w:sz w:val="24"/>
          <w:szCs w:val="24"/>
          <w:lang w:val="en-GB"/>
        </w:rPr>
      </w:pPr>
    </w:p>
    <w:p w:rsidR="00C0382E" w:rsidRPr="00730434" w:rsidRDefault="00C0382E" w:rsidP="00C0382E">
      <w:pPr>
        <w:pStyle w:val="NoSpacing"/>
        <w:rPr>
          <w:sz w:val="24"/>
          <w:szCs w:val="24"/>
          <w:lang w:val="en-GB"/>
        </w:rPr>
      </w:pPr>
      <w:r w:rsidRPr="00730434">
        <w:rPr>
          <w:sz w:val="24"/>
          <w:szCs w:val="24"/>
          <w:lang w:val="en-GB"/>
        </w:rPr>
        <w:t xml:space="preserve">Dear Ms. Walli: </w:t>
      </w:r>
    </w:p>
    <w:p w:rsidR="00C0382E" w:rsidRPr="00730434" w:rsidRDefault="00C0382E" w:rsidP="00C0382E">
      <w:pPr>
        <w:pStyle w:val="NoSpacing"/>
        <w:rPr>
          <w:b/>
          <w:sz w:val="24"/>
          <w:szCs w:val="24"/>
          <w:lang w:val="en-GB"/>
        </w:rPr>
      </w:pPr>
    </w:p>
    <w:p w:rsidR="00C0382E" w:rsidRPr="00730434" w:rsidRDefault="00C0382E" w:rsidP="00C0382E">
      <w:pPr>
        <w:pStyle w:val="NoSpacing"/>
        <w:ind w:firstLine="720"/>
        <w:rPr>
          <w:b/>
          <w:bCs/>
          <w:sz w:val="24"/>
          <w:szCs w:val="24"/>
        </w:rPr>
      </w:pPr>
      <w:r w:rsidRPr="00730434">
        <w:rPr>
          <w:b/>
          <w:sz w:val="24"/>
          <w:szCs w:val="24"/>
          <w:lang w:val="en-GB"/>
        </w:rPr>
        <w:t>Re:</w:t>
      </w:r>
      <w:r w:rsidRPr="00730434">
        <w:rPr>
          <w:b/>
          <w:sz w:val="24"/>
          <w:szCs w:val="24"/>
          <w:lang w:val="en-GB"/>
        </w:rPr>
        <w:tab/>
        <w:t>EB-201</w:t>
      </w:r>
      <w:r w:rsidR="00167746" w:rsidRPr="00730434">
        <w:rPr>
          <w:b/>
          <w:sz w:val="24"/>
          <w:szCs w:val="24"/>
          <w:lang w:val="en-GB"/>
        </w:rPr>
        <w:t>5-0</w:t>
      </w:r>
      <w:r w:rsidR="00290EE6" w:rsidRPr="00730434">
        <w:rPr>
          <w:b/>
          <w:sz w:val="24"/>
          <w:szCs w:val="24"/>
          <w:lang w:val="en-GB"/>
        </w:rPr>
        <w:t>06</w:t>
      </w:r>
      <w:r w:rsidR="005046FB" w:rsidRPr="00730434">
        <w:rPr>
          <w:b/>
          <w:sz w:val="24"/>
          <w:szCs w:val="24"/>
          <w:lang w:val="en-GB"/>
        </w:rPr>
        <w:t>5</w:t>
      </w:r>
      <w:r w:rsidRPr="00730434">
        <w:rPr>
          <w:b/>
          <w:sz w:val="24"/>
          <w:szCs w:val="24"/>
          <w:lang w:val="en-GB"/>
        </w:rPr>
        <w:t xml:space="preserve"> </w:t>
      </w:r>
      <w:r w:rsidR="00167746" w:rsidRPr="00730434">
        <w:rPr>
          <w:b/>
          <w:sz w:val="24"/>
          <w:szCs w:val="24"/>
          <w:lang w:val="en-GB"/>
        </w:rPr>
        <w:t>–</w:t>
      </w:r>
      <w:r w:rsidRPr="00730434">
        <w:rPr>
          <w:b/>
          <w:sz w:val="24"/>
          <w:szCs w:val="24"/>
          <w:lang w:val="en-GB"/>
        </w:rPr>
        <w:t xml:space="preserve"> </w:t>
      </w:r>
      <w:r w:rsidR="00290EE6" w:rsidRPr="00730434">
        <w:rPr>
          <w:b/>
          <w:sz w:val="24"/>
          <w:szCs w:val="24"/>
          <w:lang w:val="en-GB"/>
        </w:rPr>
        <w:t>Enersource Hydro Mississauga Inc.</w:t>
      </w:r>
    </w:p>
    <w:p w:rsidR="00C0382E" w:rsidRPr="00730434" w:rsidRDefault="00730434" w:rsidP="00C0382E">
      <w:pPr>
        <w:pStyle w:val="NoSpacing"/>
        <w:ind w:left="720" w:firstLine="720"/>
        <w:rPr>
          <w:b/>
          <w:sz w:val="24"/>
          <w:szCs w:val="24"/>
          <w:lang w:val="en-GB"/>
        </w:rPr>
      </w:pPr>
      <w:r w:rsidRPr="00730434">
        <w:rPr>
          <w:b/>
          <w:sz w:val="24"/>
          <w:szCs w:val="24"/>
          <w:lang w:val="en-GB"/>
        </w:rPr>
        <w:t xml:space="preserve">Submission </w:t>
      </w:r>
      <w:r w:rsidR="00C0382E" w:rsidRPr="00730434">
        <w:rPr>
          <w:b/>
          <w:sz w:val="24"/>
          <w:szCs w:val="24"/>
          <w:lang w:val="en-GB"/>
        </w:rPr>
        <w:t>of Vulnerable Energy Consumers Coalition (VECC)</w:t>
      </w:r>
    </w:p>
    <w:p w:rsidR="00C0382E" w:rsidRPr="00730434" w:rsidRDefault="00C0382E" w:rsidP="00C0382E">
      <w:pPr>
        <w:pStyle w:val="NoSpacing"/>
        <w:rPr>
          <w:b/>
          <w:sz w:val="24"/>
          <w:szCs w:val="24"/>
          <w:lang w:val="en-GB"/>
        </w:rPr>
      </w:pPr>
    </w:p>
    <w:p w:rsidR="00730434" w:rsidRPr="00730434" w:rsidRDefault="00730434" w:rsidP="00C0382E">
      <w:pPr>
        <w:pStyle w:val="NoSpacing"/>
        <w:rPr>
          <w:sz w:val="24"/>
          <w:szCs w:val="24"/>
          <w:lang w:val="en-GB"/>
        </w:rPr>
      </w:pPr>
      <w:r w:rsidRPr="00730434">
        <w:rPr>
          <w:sz w:val="24"/>
          <w:szCs w:val="24"/>
          <w:lang w:val="en-GB"/>
        </w:rPr>
        <w:t xml:space="preserve">On behalf of the Vulnerable Energy Consumers Coalition (VECC) we have attached </w:t>
      </w:r>
      <w:r w:rsidR="00315FAD">
        <w:rPr>
          <w:sz w:val="24"/>
          <w:szCs w:val="24"/>
          <w:lang w:val="en-GB"/>
        </w:rPr>
        <w:t>its</w:t>
      </w:r>
      <w:r w:rsidRPr="00730434">
        <w:rPr>
          <w:sz w:val="24"/>
          <w:szCs w:val="24"/>
          <w:lang w:val="en-GB"/>
        </w:rPr>
        <w:t xml:space="preserve"> submission with respect to </w:t>
      </w:r>
      <w:r w:rsidR="00290EE6" w:rsidRPr="00730434">
        <w:rPr>
          <w:sz w:val="24"/>
          <w:szCs w:val="24"/>
          <w:lang w:val="en-GB"/>
        </w:rPr>
        <w:t xml:space="preserve">the above-noted proceeding.  </w:t>
      </w:r>
    </w:p>
    <w:p w:rsidR="000F26E8" w:rsidRPr="00730434" w:rsidRDefault="000F26E8" w:rsidP="00C0382E">
      <w:pPr>
        <w:pStyle w:val="NoSpacing"/>
        <w:rPr>
          <w:sz w:val="24"/>
          <w:szCs w:val="24"/>
        </w:rPr>
      </w:pPr>
    </w:p>
    <w:p w:rsidR="00C0382E" w:rsidRPr="00730434" w:rsidRDefault="00C0382E" w:rsidP="00C0382E">
      <w:pPr>
        <w:pStyle w:val="NoSpacing"/>
        <w:rPr>
          <w:sz w:val="24"/>
          <w:szCs w:val="24"/>
        </w:rPr>
      </w:pPr>
      <w:r w:rsidRPr="00730434">
        <w:rPr>
          <w:sz w:val="24"/>
          <w:szCs w:val="24"/>
        </w:rPr>
        <w:t>Thank you.</w:t>
      </w:r>
    </w:p>
    <w:p w:rsidR="00C0382E" w:rsidRPr="00730434" w:rsidRDefault="00C0382E" w:rsidP="00C0382E">
      <w:pPr>
        <w:pStyle w:val="NoSpacing"/>
        <w:rPr>
          <w:sz w:val="24"/>
          <w:szCs w:val="24"/>
        </w:rPr>
      </w:pPr>
    </w:p>
    <w:p w:rsidR="00C0382E" w:rsidRPr="00730434" w:rsidRDefault="00C0382E" w:rsidP="00C0382E">
      <w:pPr>
        <w:pStyle w:val="NoSpacing"/>
        <w:rPr>
          <w:sz w:val="24"/>
          <w:szCs w:val="24"/>
        </w:rPr>
      </w:pPr>
      <w:r w:rsidRPr="00730434">
        <w:rPr>
          <w:sz w:val="24"/>
          <w:szCs w:val="24"/>
        </w:rPr>
        <w:t>Yours truly,</w:t>
      </w:r>
    </w:p>
    <w:p w:rsidR="00C0382E" w:rsidRPr="00730434" w:rsidRDefault="00C0382E" w:rsidP="00C0382E">
      <w:pPr>
        <w:pStyle w:val="NoSpacing"/>
        <w:rPr>
          <w:sz w:val="24"/>
          <w:szCs w:val="24"/>
        </w:rPr>
      </w:pPr>
    </w:p>
    <w:p w:rsidR="00C0382E" w:rsidRPr="00730434" w:rsidRDefault="002C38BB" w:rsidP="00C0382E">
      <w:pPr>
        <w:pStyle w:val="NoSpacing"/>
        <w:rPr>
          <w:sz w:val="24"/>
          <w:szCs w:val="24"/>
        </w:rPr>
      </w:pPr>
      <w:r w:rsidRPr="00730434">
        <w:rPr>
          <w:noProof/>
          <w:sz w:val="24"/>
          <w:szCs w:val="24"/>
          <w:lang w:val="en-CA" w:eastAsia="en-CA"/>
        </w:rPr>
        <w:drawing>
          <wp:inline distT="0" distB="0" distL="0" distR="0">
            <wp:extent cx="848259" cy="282633"/>
            <wp:effectExtent l="19050" t="0" r="8991" b="0"/>
            <wp:docPr id="2" name="Picture 1" descr="cid:image001.jpg@01CE0386.FFA4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0386.FFA46D30"/>
                    <pic:cNvPicPr>
                      <a:picLocks noChangeAspect="1" noChangeArrowheads="1"/>
                    </pic:cNvPicPr>
                  </pic:nvPicPr>
                  <pic:blipFill>
                    <a:blip r:embed="rId10" r:link="rId11" cstate="print"/>
                    <a:srcRect/>
                    <a:stretch>
                      <a:fillRect/>
                    </a:stretch>
                  </pic:blipFill>
                  <pic:spPr bwMode="auto">
                    <a:xfrm>
                      <a:off x="0" y="0"/>
                      <a:ext cx="848259" cy="282633"/>
                    </a:xfrm>
                    <a:prstGeom prst="rect">
                      <a:avLst/>
                    </a:prstGeom>
                    <a:noFill/>
                    <a:ln w="9525">
                      <a:noFill/>
                      <a:miter lim="800000"/>
                      <a:headEnd/>
                      <a:tailEnd/>
                    </a:ln>
                  </pic:spPr>
                </pic:pic>
              </a:graphicData>
            </a:graphic>
          </wp:inline>
        </w:drawing>
      </w:r>
    </w:p>
    <w:p w:rsidR="00C0382E" w:rsidRPr="00730434" w:rsidRDefault="00C0382E" w:rsidP="00C0382E">
      <w:pPr>
        <w:pStyle w:val="NoSpacing"/>
        <w:rPr>
          <w:sz w:val="24"/>
          <w:szCs w:val="24"/>
        </w:rPr>
      </w:pPr>
    </w:p>
    <w:p w:rsidR="00C0382E" w:rsidRPr="00730434" w:rsidRDefault="00C0382E" w:rsidP="00C0382E">
      <w:pPr>
        <w:pStyle w:val="NoSpacing"/>
        <w:rPr>
          <w:sz w:val="24"/>
          <w:szCs w:val="24"/>
        </w:rPr>
      </w:pPr>
      <w:r w:rsidRPr="00730434">
        <w:rPr>
          <w:sz w:val="24"/>
          <w:szCs w:val="24"/>
        </w:rPr>
        <w:t>Michael Janigan</w:t>
      </w:r>
    </w:p>
    <w:p w:rsidR="00C0382E" w:rsidRPr="00730434" w:rsidRDefault="00C0382E" w:rsidP="00C0382E">
      <w:pPr>
        <w:pStyle w:val="NoSpacing"/>
        <w:rPr>
          <w:sz w:val="24"/>
          <w:szCs w:val="24"/>
        </w:rPr>
      </w:pPr>
      <w:r w:rsidRPr="00730434">
        <w:rPr>
          <w:sz w:val="24"/>
          <w:szCs w:val="24"/>
        </w:rPr>
        <w:t>Counsel for VECC</w:t>
      </w:r>
    </w:p>
    <w:p w:rsidR="00C0382E" w:rsidRPr="00730434" w:rsidRDefault="00C0382E" w:rsidP="00C0382E">
      <w:pPr>
        <w:pStyle w:val="NoSpacing"/>
        <w:rPr>
          <w:sz w:val="24"/>
          <w:szCs w:val="24"/>
        </w:rPr>
      </w:pPr>
    </w:p>
    <w:p w:rsidR="00323310" w:rsidRDefault="00C0382E" w:rsidP="00C0382E">
      <w:pPr>
        <w:pStyle w:val="NoSpacing"/>
        <w:rPr>
          <w:color w:val="0000FF"/>
        </w:rPr>
        <w:sectPr w:rsidR="00323310" w:rsidSect="002C38BB">
          <w:footerReference w:type="default" r:id="rId12"/>
          <w:footerReference w:type="first" r:id="rId13"/>
          <w:pgSz w:w="12240" w:h="15840"/>
          <w:pgMar w:top="1440" w:right="1440" w:bottom="1440" w:left="1440" w:header="1440" w:footer="1440" w:gutter="0"/>
          <w:pgNumType w:start="1"/>
          <w:cols w:space="720"/>
          <w:noEndnote/>
        </w:sectPr>
      </w:pPr>
      <w:r w:rsidRPr="00730434">
        <w:rPr>
          <w:sz w:val="24"/>
          <w:szCs w:val="24"/>
        </w:rPr>
        <w:t xml:space="preserve">Cc: </w:t>
      </w:r>
      <w:r w:rsidRPr="00730434">
        <w:rPr>
          <w:sz w:val="24"/>
          <w:szCs w:val="24"/>
        </w:rPr>
        <w:tab/>
      </w:r>
      <w:r w:rsidR="00290EE6" w:rsidRPr="00730434">
        <w:rPr>
          <w:sz w:val="24"/>
          <w:szCs w:val="24"/>
        </w:rPr>
        <w:t>Enersouce Hydro Mississauga Inc.</w:t>
      </w:r>
      <w:r w:rsidR="00E52EE2" w:rsidRPr="00730434">
        <w:rPr>
          <w:sz w:val="24"/>
          <w:szCs w:val="24"/>
        </w:rPr>
        <w:t xml:space="preserve"> </w:t>
      </w:r>
    </w:p>
    <w:p w:rsidR="002C38BB" w:rsidRPr="00323310" w:rsidRDefault="002C38BB" w:rsidP="002C38BB">
      <w:pPr>
        <w:jc w:val="right"/>
        <w:rPr>
          <w:rFonts w:ascii="Arial" w:hAnsi="Arial" w:cs="Arial"/>
          <w:color w:val="000000"/>
        </w:rPr>
      </w:pPr>
      <w:r w:rsidRPr="00323310">
        <w:rPr>
          <w:rFonts w:ascii="Arial" w:hAnsi="Arial" w:cs="Arial"/>
          <w:b/>
          <w:bCs/>
          <w:color w:val="000000"/>
        </w:rPr>
        <w:lastRenderedPageBreak/>
        <w:t>EB-201</w:t>
      </w:r>
      <w:r w:rsidR="00167746">
        <w:rPr>
          <w:rFonts w:ascii="Arial" w:hAnsi="Arial" w:cs="Arial"/>
          <w:b/>
          <w:bCs/>
          <w:color w:val="000000"/>
        </w:rPr>
        <w:t>5-0</w:t>
      </w:r>
      <w:r w:rsidR="00290EE6">
        <w:rPr>
          <w:rFonts w:ascii="Arial" w:hAnsi="Arial" w:cs="Arial"/>
          <w:b/>
          <w:bCs/>
          <w:color w:val="000000"/>
        </w:rPr>
        <w:t>06</w:t>
      </w:r>
      <w:r w:rsidR="005046FB">
        <w:rPr>
          <w:rFonts w:ascii="Arial" w:hAnsi="Arial" w:cs="Arial"/>
          <w:b/>
          <w:bCs/>
          <w:color w:val="000000"/>
        </w:rPr>
        <w:t>5</w:t>
      </w:r>
    </w:p>
    <w:p w:rsidR="002C38BB" w:rsidRDefault="002C38BB" w:rsidP="002C38BB">
      <w:pPr>
        <w:jc w:val="both"/>
        <w:rPr>
          <w:rFonts w:ascii="Arial" w:hAnsi="Arial" w:cs="Arial"/>
          <w:b/>
          <w:bCs/>
          <w:lang w:val="en-GB"/>
        </w:rPr>
      </w:pPr>
    </w:p>
    <w:p w:rsidR="00730434" w:rsidRPr="00184C14" w:rsidRDefault="00730434" w:rsidP="00730434">
      <w:pPr>
        <w:ind w:left="720" w:hanging="720"/>
        <w:jc w:val="center"/>
        <w:rPr>
          <w:b/>
          <w:sz w:val="28"/>
          <w:szCs w:val="28"/>
        </w:rPr>
      </w:pPr>
      <w:r w:rsidRPr="00184C14">
        <w:rPr>
          <w:b/>
          <w:sz w:val="28"/>
          <w:szCs w:val="28"/>
        </w:rPr>
        <w:t>Enersource Hydro Mississauga Inc.</w:t>
      </w:r>
    </w:p>
    <w:p w:rsidR="00730434" w:rsidRDefault="00730434" w:rsidP="00730434">
      <w:pPr>
        <w:ind w:left="720" w:hanging="720"/>
        <w:jc w:val="center"/>
        <w:rPr>
          <w:b/>
          <w:sz w:val="28"/>
          <w:szCs w:val="28"/>
        </w:rPr>
      </w:pPr>
      <w:r w:rsidRPr="00184C14">
        <w:rPr>
          <w:b/>
          <w:sz w:val="28"/>
          <w:szCs w:val="28"/>
        </w:rPr>
        <w:t>Application for electricity distribution rates and other charges</w:t>
      </w:r>
    </w:p>
    <w:p w:rsidR="00730434" w:rsidRPr="00184C14" w:rsidRDefault="00730434" w:rsidP="00730434">
      <w:pPr>
        <w:ind w:left="720" w:hanging="720"/>
        <w:jc w:val="center"/>
        <w:rPr>
          <w:b/>
          <w:sz w:val="28"/>
          <w:szCs w:val="28"/>
        </w:rPr>
      </w:pPr>
      <w:r w:rsidRPr="00184C14">
        <w:rPr>
          <w:b/>
          <w:sz w:val="28"/>
          <w:szCs w:val="28"/>
        </w:rPr>
        <w:t>effective January 1, 2016</w:t>
      </w:r>
    </w:p>
    <w:p w:rsidR="00730434" w:rsidRDefault="00730434" w:rsidP="00730434">
      <w:pPr>
        <w:ind w:left="720" w:hanging="720"/>
        <w:jc w:val="center"/>
        <w:rPr>
          <w:b/>
          <w:sz w:val="28"/>
          <w:szCs w:val="28"/>
        </w:rPr>
      </w:pPr>
      <w:r w:rsidRPr="00184C14">
        <w:rPr>
          <w:b/>
          <w:sz w:val="28"/>
          <w:szCs w:val="28"/>
        </w:rPr>
        <w:t>Submissions of the Vulnerable Energy Consumers Coalition (VECC)</w:t>
      </w:r>
    </w:p>
    <w:p w:rsidR="00730434" w:rsidRPr="00730434" w:rsidRDefault="00730434" w:rsidP="00730434">
      <w:pPr>
        <w:ind w:left="720" w:hanging="720"/>
        <w:jc w:val="center"/>
        <w:rPr>
          <w:b/>
          <w:sz w:val="24"/>
          <w:szCs w:val="24"/>
        </w:rPr>
      </w:pPr>
    </w:p>
    <w:p w:rsidR="00730434" w:rsidRPr="00730434" w:rsidRDefault="005F19A2" w:rsidP="00730434">
      <w:pPr>
        <w:ind w:left="720" w:hanging="720"/>
        <w:rPr>
          <w:sz w:val="24"/>
          <w:szCs w:val="24"/>
        </w:rPr>
      </w:pPr>
      <w:r w:rsidRPr="00730434">
        <w:rPr>
          <w:sz w:val="24"/>
          <w:szCs w:val="24"/>
        </w:rPr>
        <w:t>1.</w:t>
      </w:r>
      <w:r w:rsidRPr="00730434">
        <w:rPr>
          <w:sz w:val="24"/>
          <w:szCs w:val="24"/>
        </w:rPr>
        <w:tab/>
        <w:t>By its 2016 Price Cap IR Application</w:t>
      </w:r>
      <w:r>
        <w:rPr>
          <w:sz w:val="24"/>
          <w:szCs w:val="24"/>
        </w:rPr>
        <w:t>,</w:t>
      </w:r>
      <w:r w:rsidRPr="00730434">
        <w:rPr>
          <w:sz w:val="24"/>
          <w:szCs w:val="24"/>
        </w:rPr>
        <w:t xml:space="preserve"> filed August 17, 2015, the Applicant, Enersource Hydro Mississauga Inc. (“Enersource”) sought relief in the form of Board approval for the following:</w:t>
      </w:r>
    </w:p>
    <w:p w:rsidR="00730434" w:rsidRPr="00730434" w:rsidRDefault="00730434" w:rsidP="00730434">
      <w:pPr>
        <w:pStyle w:val="ListParagraph"/>
        <w:numPr>
          <w:ilvl w:val="0"/>
          <w:numId w:val="4"/>
        </w:numPr>
        <w:rPr>
          <w:sz w:val="24"/>
          <w:szCs w:val="24"/>
        </w:rPr>
      </w:pPr>
      <w:r w:rsidRPr="00730434">
        <w:rPr>
          <w:sz w:val="24"/>
          <w:szCs w:val="24"/>
        </w:rPr>
        <w:t>2016 distribution rates effective January 1, 2016, based on 2015 rates adjusted for  a price cap adjustment;</w:t>
      </w:r>
    </w:p>
    <w:p w:rsidR="00730434" w:rsidRPr="00730434" w:rsidRDefault="00730434" w:rsidP="00730434">
      <w:pPr>
        <w:pStyle w:val="ListParagraph"/>
        <w:numPr>
          <w:ilvl w:val="0"/>
          <w:numId w:val="4"/>
        </w:numPr>
        <w:jc w:val="both"/>
        <w:rPr>
          <w:sz w:val="24"/>
          <w:szCs w:val="24"/>
        </w:rPr>
      </w:pPr>
      <w:r w:rsidRPr="00730434">
        <w:rPr>
          <w:sz w:val="24"/>
          <w:szCs w:val="24"/>
        </w:rPr>
        <w:t xml:space="preserve"> rate riders to clear Group 1 deferral and variance account balances effective  January 1, 2016 to December 31, 2016; </w:t>
      </w:r>
    </w:p>
    <w:p w:rsidR="00730434" w:rsidRPr="00730434" w:rsidRDefault="00730434" w:rsidP="00730434">
      <w:pPr>
        <w:pStyle w:val="ListParagraph"/>
        <w:numPr>
          <w:ilvl w:val="0"/>
          <w:numId w:val="4"/>
        </w:numPr>
        <w:rPr>
          <w:sz w:val="24"/>
          <w:szCs w:val="24"/>
        </w:rPr>
      </w:pPr>
      <w:r w:rsidRPr="00730434">
        <w:rPr>
          <w:sz w:val="24"/>
          <w:szCs w:val="24"/>
        </w:rPr>
        <w:t>shared tax rate riders effective January 1, 2016 to December 31, 2016;</w:t>
      </w:r>
    </w:p>
    <w:p w:rsidR="00730434" w:rsidRPr="00730434" w:rsidRDefault="00730434" w:rsidP="00730434">
      <w:pPr>
        <w:pStyle w:val="ListParagraph"/>
        <w:numPr>
          <w:ilvl w:val="0"/>
          <w:numId w:val="4"/>
        </w:numPr>
        <w:rPr>
          <w:sz w:val="24"/>
          <w:szCs w:val="24"/>
        </w:rPr>
      </w:pPr>
      <w:r w:rsidRPr="00730434">
        <w:rPr>
          <w:sz w:val="24"/>
          <w:szCs w:val="24"/>
        </w:rPr>
        <w:t>incremental capital rate riders effective January 1, 2016 until the next cost of  service rate application;</w:t>
      </w:r>
    </w:p>
    <w:p w:rsidR="00730434" w:rsidRPr="00730434" w:rsidRDefault="00730434" w:rsidP="00730434">
      <w:pPr>
        <w:pStyle w:val="ListParagraph"/>
        <w:numPr>
          <w:ilvl w:val="0"/>
          <w:numId w:val="4"/>
        </w:numPr>
        <w:rPr>
          <w:sz w:val="24"/>
          <w:szCs w:val="24"/>
        </w:rPr>
      </w:pPr>
      <w:r w:rsidRPr="00730434">
        <w:rPr>
          <w:sz w:val="24"/>
          <w:szCs w:val="24"/>
        </w:rPr>
        <w:t>adjusted Retail Transmission Service Rates (“RTSRs”); and</w:t>
      </w:r>
    </w:p>
    <w:p w:rsidR="00730434" w:rsidRPr="00730434" w:rsidRDefault="00730434" w:rsidP="00730434">
      <w:pPr>
        <w:pStyle w:val="ListParagraph"/>
        <w:numPr>
          <w:ilvl w:val="0"/>
          <w:numId w:val="4"/>
        </w:numPr>
        <w:rPr>
          <w:sz w:val="24"/>
          <w:szCs w:val="24"/>
        </w:rPr>
      </w:pPr>
      <w:r w:rsidRPr="00730434">
        <w:rPr>
          <w:sz w:val="24"/>
          <w:szCs w:val="24"/>
        </w:rPr>
        <w:t>2016 Renewable Generation Funding from provincial ratepayers</w:t>
      </w:r>
    </w:p>
    <w:p w:rsidR="00730434" w:rsidRPr="00730434" w:rsidRDefault="00730434" w:rsidP="00730434">
      <w:pPr>
        <w:pStyle w:val="ListParagraph"/>
        <w:ind w:left="2220"/>
        <w:rPr>
          <w:sz w:val="24"/>
          <w:szCs w:val="24"/>
        </w:rPr>
      </w:pPr>
    </w:p>
    <w:p w:rsidR="00730434" w:rsidRPr="00730434" w:rsidRDefault="00730434" w:rsidP="00730434">
      <w:pPr>
        <w:pStyle w:val="ListParagraph"/>
        <w:numPr>
          <w:ilvl w:val="0"/>
          <w:numId w:val="5"/>
        </w:numPr>
        <w:rPr>
          <w:sz w:val="24"/>
          <w:szCs w:val="24"/>
        </w:rPr>
      </w:pPr>
      <w:r w:rsidRPr="00730434">
        <w:rPr>
          <w:sz w:val="24"/>
          <w:szCs w:val="24"/>
        </w:rPr>
        <w:t xml:space="preserve">In this submission the Vulnerable Energy Consumers Coalition will </w:t>
      </w:r>
      <w:r w:rsidR="005F19A2" w:rsidRPr="00730434">
        <w:rPr>
          <w:sz w:val="24"/>
          <w:szCs w:val="24"/>
        </w:rPr>
        <w:t>direct its</w:t>
      </w:r>
      <w:r w:rsidRPr="00730434">
        <w:rPr>
          <w:sz w:val="24"/>
          <w:szCs w:val="24"/>
        </w:rPr>
        <w:t xml:space="preserve"> submissions solely to Enersource’s request for an incremental capital rate rider pursuant to 1(4) above. </w:t>
      </w:r>
    </w:p>
    <w:p w:rsidR="00730434" w:rsidRPr="00730434" w:rsidRDefault="00730434" w:rsidP="00730434">
      <w:pPr>
        <w:pStyle w:val="ListParagraph"/>
        <w:ind w:left="1080"/>
        <w:rPr>
          <w:sz w:val="24"/>
          <w:szCs w:val="24"/>
        </w:rPr>
      </w:pPr>
    </w:p>
    <w:p w:rsidR="00730434" w:rsidRPr="00730434" w:rsidRDefault="00730434" w:rsidP="00730434">
      <w:pPr>
        <w:pStyle w:val="ListParagraph"/>
        <w:numPr>
          <w:ilvl w:val="0"/>
          <w:numId w:val="5"/>
        </w:numPr>
        <w:rPr>
          <w:sz w:val="24"/>
          <w:szCs w:val="24"/>
        </w:rPr>
      </w:pPr>
      <w:r w:rsidRPr="00730434">
        <w:rPr>
          <w:sz w:val="24"/>
          <w:szCs w:val="24"/>
        </w:rPr>
        <w:t>Enersource’s updated application now requests $74</w:t>
      </w:r>
      <w:r w:rsidR="000734E0">
        <w:rPr>
          <w:sz w:val="24"/>
          <w:szCs w:val="24"/>
        </w:rPr>
        <w:t>.</w:t>
      </w:r>
      <w:r w:rsidRPr="00730434">
        <w:rPr>
          <w:sz w:val="24"/>
          <w:szCs w:val="24"/>
        </w:rPr>
        <w:t>947M in distribution capital expenditures and the amount of $</w:t>
      </w:r>
      <w:r w:rsidR="005F19A2" w:rsidRPr="00730434">
        <w:rPr>
          <w:sz w:val="24"/>
          <w:szCs w:val="24"/>
        </w:rPr>
        <w:t>40.479M for</w:t>
      </w:r>
      <w:r w:rsidRPr="00730434">
        <w:rPr>
          <w:sz w:val="24"/>
          <w:szCs w:val="24"/>
        </w:rPr>
        <w:t xml:space="preserve"> the Churchill Meadows TS as the components of its proposed 2016 ICM projects expenditure of $115.426 M in accordance with Undertaking JT1.17.</w:t>
      </w:r>
    </w:p>
    <w:p w:rsidR="00730434" w:rsidRPr="00730434" w:rsidRDefault="00730434" w:rsidP="00730434">
      <w:pPr>
        <w:pStyle w:val="ListParagraph"/>
        <w:rPr>
          <w:sz w:val="24"/>
          <w:szCs w:val="24"/>
        </w:rPr>
      </w:pPr>
    </w:p>
    <w:p w:rsidR="00730434" w:rsidRPr="00730434" w:rsidRDefault="00730434" w:rsidP="00730434">
      <w:pPr>
        <w:pStyle w:val="ListParagraph"/>
        <w:numPr>
          <w:ilvl w:val="0"/>
          <w:numId w:val="5"/>
        </w:numPr>
        <w:rPr>
          <w:sz w:val="24"/>
          <w:szCs w:val="24"/>
        </w:rPr>
      </w:pPr>
      <w:r w:rsidRPr="00730434">
        <w:rPr>
          <w:sz w:val="24"/>
          <w:szCs w:val="24"/>
        </w:rPr>
        <w:lastRenderedPageBreak/>
        <w:t xml:space="preserve">VECC submits that the relevant principles </w:t>
      </w:r>
      <w:r w:rsidR="004570CE">
        <w:rPr>
          <w:sz w:val="24"/>
          <w:szCs w:val="24"/>
        </w:rPr>
        <w:t>derived from the Board’s ACM report</w:t>
      </w:r>
      <w:r w:rsidR="004570CE">
        <w:rPr>
          <w:rStyle w:val="FootnoteReference"/>
          <w:sz w:val="24"/>
          <w:szCs w:val="24"/>
        </w:rPr>
        <w:footnoteReference w:id="1"/>
      </w:r>
      <w:r w:rsidR="004570CE">
        <w:rPr>
          <w:sz w:val="24"/>
          <w:szCs w:val="24"/>
        </w:rPr>
        <w:t xml:space="preserve"> and previous decisions </w:t>
      </w:r>
      <w:r w:rsidRPr="00730434">
        <w:rPr>
          <w:sz w:val="24"/>
          <w:szCs w:val="24"/>
        </w:rPr>
        <w:t>that should be applied to the assessment of Enersource’s application for ICM treatment of the capital expenditures are the following:</w:t>
      </w:r>
    </w:p>
    <w:p w:rsidR="00730434" w:rsidRPr="00730434" w:rsidRDefault="00730434" w:rsidP="00730434">
      <w:pPr>
        <w:pStyle w:val="ListParagraph"/>
        <w:rPr>
          <w:sz w:val="24"/>
          <w:szCs w:val="24"/>
        </w:rPr>
      </w:pPr>
    </w:p>
    <w:p w:rsidR="000734E0" w:rsidRPr="000734E0" w:rsidRDefault="00730434" w:rsidP="000734E0">
      <w:pPr>
        <w:pStyle w:val="ListParagraph"/>
        <w:numPr>
          <w:ilvl w:val="0"/>
          <w:numId w:val="6"/>
        </w:numPr>
        <w:rPr>
          <w:sz w:val="24"/>
          <w:szCs w:val="24"/>
        </w:rPr>
      </w:pPr>
      <w:r w:rsidRPr="000734E0">
        <w:rPr>
          <w:sz w:val="24"/>
          <w:szCs w:val="24"/>
        </w:rPr>
        <w:t>Distributors must provide a preliminary estimate of the materiality threshold value and the resulting total eligible capital amount for the year in which the proposed project is planned to enter service.</w:t>
      </w:r>
      <w:r w:rsidRPr="00730434">
        <w:rPr>
          <w:rStyle w:val="FootnoteReference"/>
          <w:sz w:val="24"/>
          <w:szCs w:val="24"/>
        </w:rPr>
        <w:footnoteReference w:id="2"/>
      </w:r>
      <w:r w:rsidRPr="000734E0">
        <w:rPr>
          <w:sz w:val="24"/>
          <w:szCs w:val="24"/>
        </w:rPr>
        <w:t xml:space="preserve"> As well there must be a project-specific materiality threshold.</w:t>
      </w:r>
      <w:r w:rsidRPr="00730434">
        <w:rPr>
          <w:rStyle w:val="FootnoteReference"/>
          <w:sz w:val="24"/>
          <w:szCs w:val="24"/>
        </w:rPr>
        <w:footnoteReference w:id="3"/>
      </w:r>
      <w:r w:rsidRPr="000734E0">
        <w:rPr>
          <w:sz w:val="24"/>
          <w:szCs w:val="24"/>
        </w:rPr>
        <w:t>However the mere fact that there is a difference between the capital spending plan and the materiality threshold does not green light an ICM.</w:t>
      </w:r>
    </w:p>
    <w:p w:rsidR="00730434" w:rsidRPr="00730434" w:rsidRDefault="00730434" w:rsidP="00730434">
      <w:pPr>
        <w:pStyle w:val="ListParagraph"/>
        <w:numPr>
          <w:ilvl w:val="0"/>
          <w:numId w:val="6"/>
        </w:numPr>
        <w:rPr>
          <w:sz w:val="24"/>
          <w:szCs w:val="24"/>
        </w:rPr>
      </w:pPr>
      <w:r w:rsidRPr="00730434">
        <w:rPr>
          <w:sz w:val="24"/>
          <w:szCs w:val="24"/>
        </w:rPr>
        <w:t>Projects must be discrete projects and not part of annual capital programs.</w:t>
      </w:r>
    </w:p>
    <w:p w:rsidR="000734E0" w:rsidRPr="000734E0" w:rsidRDefault="00730434" w:rsidP="000734E0">
      <w:pPr>
        <w:pStyle w:val="ListParagraph"/>
        <w:numPr>
          <w:ilvl w:val="0"/>
          <w:numId w:val="6"/>
        </w:numPr>
        <w:rPr>
          <w:sz w:val="24"/>
          <w:szCs w:val="24"/>
        </w:rPr>
      </w:pPr>
      <w:r w:rsidRPr="000734E0">
        <w:rPr>
          <w:sz w:val="24"/>
          <w:szCs w:val="24"/>
        </w:rPr>
        <w:t>The amounts incurred must be prudent. Being prudent means the project must constitute the most cost-effective option.</w:t>
      </w:r>
    </w:p>
    <w:p w:rsidR="00730434" w:rsidRPr="00730434" w:rsidRDefault="00730434" w:rsidP="00730434">
      <w:pPr>
        <w:pStyle w:val="ListParagraph"/>
        <w:numPr>
          <w:ilvl w:val="0"/>
          <w:numId w:val="6"/>
        </w:numPr>
        <w:rPr>
          <w:sz w:val="24"/>
          <w:szCs w:val="24"/>
        </w:rPr>
      </w:pPr>
      <w:r w:rsidRPr="00730434">
        <w:rPr>
          <w:sz w:val="24"/>
          <w:szCs w:val="24"/>
        </w:rPr>
        <w:t xml:space="preserve">Projects must be either </w:t>
      </w:r>
      <w:r w:rsidR="005F19A2" w:rsidRPr="00730434">
        <w:rPr>
          <w:sz w:val="24"/>
          <w:szCs w:val="24"/>
        </w:rPr>
        <w:t>is</w:t>
      </w:r>
      <w:r w:rsidRPr="00730434">
        <w:rPr>
          <w:sz w:val="24"/>
          <w:szCs w:val="24"/>
        </w:rPr>
        <w:t xml:space="preserve"> unanticipated at the time of the development of the Distribution System Plan and outside</w:t>
      </w:r>
      <w:r w:rsidR="00D03A15">
        <w:rPr>
          <w:sz w:val="24"/>
          <w:szCs w:val="24"/>
        </w:rPr>
        <w:t xml:space="preserve"> </w:t>
      </w:r>
      <w:r w:rsidRPr="00730434">
        <w:rPr>
          <w:sz w:val="24"/>
          <w:szCs w:val="24"/>
        </w:rPr>
        <w:t>the base upon which rates were derived for projects anticipated but for which sufficient rationale was not available at the time of the DSP to establish need and prudence.</w:t>
      </w:r>
    </w:p>
    <w:p w:rsidR="00730434" w:rsidRPr="00730434" w:rsidRDefault="00730434" w:rsidP="00730434">
      <w:pPr>
        <w:pStyle w:val="ListParagraph"/>
        <w:numPr>
          <w:ilvl w:val="0"/>
          <w:numId w:val="6"/>
        </w:numPr>
        <w:rPr>
          <w:sz w:val="24"/>
          <w:szCs w:val="24"/>
        </w:rPr>
      </w:pPr>
      <w:r w:rsidRPr="00730434">
        <w:rPr>
          <w:sz w:val="24"/>
          <w:szCs w:val="24"/>
        </w:rPr>
        <w:t>Projects must have a significant influence on the operation of the distributor and minor expenditures in comparison to the overall capital budget should be considered ineligible.</w:t>
      </w:r>
    </w:p>
    <w:p w:rsidR="00730434" w:rsidRPr="00730434" w:rsidRDefault="00730434" w:rsidP="00730434">
      <w:pPr>
        <w:pStyle w:val="ListParagraph"/>
        <w:numPr>
          <w:ilvl w:val="0"/>
          <w:numId w:val="6"/>
        </w:numPr>
        <w:rPr>
          <w:sz w:val="24"/>
          <w:szCs w:val="24"/>
        </w:rPr>
      </w:pPr>
      <w:r w:rsidRPr="00730434">
        <w:rPr>
          <w:sz w:val="24"/>
          <w:szCs w:val="24"/>
        </w:rPr>
        <w:t>ICM applications are approved for the year they would go into service.</w:t>
      </w:r>
    </w:p>
    <w:p w:rsidR="00730434" w:rsidRPr="00730434" w:rsidRDefault="00730434" w:rsidP="00730434">
      <w:pPr>
        <w:pStyle w:val="ListParagraph"/>
        <w:ind w:left="2520"/>
        <w:rPr>
          <w:sz w:val="24"/>
          <w:szCs w:val="24"/>
        </w:rPr>
      </w:pPr>
    </w:p>
    <w:p w:rsidR="00730434" w:rsidRPr="00730434" w:rsidRDefault="00730434" w:rsidP="00730434">
      <w:pPr>
        <w:pStyle w:val="ListParagraph"/>
        <w:ind w:left="2520"/>
        <w:rPr>
          <w:sz w:val="24"/>
          <w:szCs w:val="24"/>
        </w:rPr>
      </w:pPr>
    </w:p>
    <w:p w:rsidR="00730434" w:rsidRPr="00730434" w:rsidRDefault="00730434" w:rsidP="00730434">
      <w:pPr>
        <w:pStyle w:val="ListParagraph"/>
        <w:numPr>
          <w:ilvl w:val="0"/>
          <w:numId w:val="5"/>
        </w:numPr>
        <w:rPr>
          <w:sz w:val="24"/>
          <w:szCs w:val="24"/>
        </w:rPr>
      </w:pPr>
      <w:r w:rsidRPr="00730434">
        <w:rPr>
          <w:sz w:val="24"/>
          <w:szCs w:val="24"/>
        </w:rPr>
        <w:t xml:space="preserve">Enersource has provided its calculation of the materiality </w:t>
      </w:r>
      <w:r w:rsidR="005F19A2" w:rsidRPr="00730434">
        <w:rPr>
          <w:sz w:val="24"/>
          <w:szCs w:val="24"/>
        </w:rPr>
        <w:t>threshold in</w:t>
      </w:r>
      <w:r w:rsidRPr="00730434">
        <w:rPr>
          <w:sz w:val="24"/>
          <w:szCs w:val="24"/>
        </w:rPr>
        <w:t xml:space="preserve"> Undertaking JT1.17 for the 2106 test year. In the result, the materiality threshold that is applicable for the assessment of the Enersource application is $47.161 M. The same Undertaking response puts the total proposed I</w:t>
      </w:r>
      <w:r w:rsidR="004570CE">
        <w:rPr>
          <w:sz w:val="24"/>
          <w:szCs w:val="24"/>
        </w:rPr>
        <w:t>CM projects expenditure at $115.</w:t>
      </w:r>
      <w:r w:rsidRPr="00730434">
        <w:rPr>
          <w:sz w:val="24"/>
          <w:szCs w:val="24"/>
        </w:rPr>
        <w:t>426M. This gives rise to a claim of $68.265M and a revenue requirement impact of $5.252M.</w:t>
      </w:r>
    </w:p>
    <w:p w:rsidR="00730434" w:rsidRPr="00730434" w:rsidRDefault="00730434" w:rsidP="00730434">
      <w:pPr>
        <w:pStyle w:val="ListParagraph"/>
        <w:ind w:left="1080"/>
        <w:rPr>
          <w:sz w:val="24"/>
          <w:szCs w:val="24"/>
        </w:rPr>
      </w:pPr>
    </w:p>
    <w:p w:rsidR="00730434" w:rsidRPr="00730434" w:rsidRDefault="00730434" w:rsidP="00730434">
      <w:pPr>
        <w:pStyle w:val="ListParagraph"/>
        <w:numPr>
          <w:ilvl w:val="0"/>
          <w:numId w:val="5"/>
        </w:numPr>
        <w:rPr>
          <w:sz w:val="24"/>
          <w:szCs w:val="24"/>
        </w:rPr>
      </w:pPr>
      <w:r w:rsidRPr="00730434">
        <w:rPr>
          <w:sz w:val="24"/>
          <w:szCs w:val="24"/>
        </w:rPr>
        <w:lastRenderedPageBreak/>
        <w:t xml:space="preserve">Enersource has provided in Undertaking JT1.2 a list of ICM projects which differ from those projects that are in the total capital budget that give rise to its claim. VECC wishes to highlight a number of the projects set out </w:t>
      </w:r>
      <w:r w:rsidR="005F19A2" w:rsidRPr="00730434">
        <w:rPr>
          <w:sz w:val="24"/>
          <w:szCs w:val="24"/>
        </w:rPr>
        <w:t>therein</w:t>
      </w:r>
      <w:r w:rsidRPr="00730434">
        <w:rPr>
          <w:sz w:val="24"/>
          <w:szCs w:val="24"/>
        </w:rPr>
        <w:t xml:space="preserve"> with a view to determining their eligibility for inclusion.</w:t>
      </w:r>
    </w:p>
    <w:p w:rsidR="00730434" w:rsidRPr="00730434" w:rsidRDefault="00730434" w:rsidP="00730434">
      <w:pPr>
        <w:pStyle w:val="ListParagraph"/>
        <w:rPr>
          <w:sz w:val="24"/>
          <w:szCs w:val="24"/>
        </w:rPr>
      </w:pPr>
    </w:p>
    <w:p w:rsidR="00730434" w:rsidRPr="00730434" w:rsidRDefault="00730434" w:rsidP="00730434">
      <w:pPr>
        <w:pStyle w:val="ListParagraph"/>
        <w:numPr>
          <w:ilvl w:val="0"/>
          <w:numId w:val="5"/>
        </w:numPr>
        <w:rPr>
          <w:sz w:val="24"/>
          <w:szCs w:val="24"/>
        </w:rPr>
      </w:pPr>
      <w:r w:rsidRPr="00730434">
        <w:rPr>
          <w:sz w:val="24"/>
          <w:szCs w:val="24"/>
        </w:rPr>
        <w:t>VECC notes that the amount of $ 40.479M is claimed by Enersource with respect to a Connection and Cost Recovery Agreement (“CCRA”) associated with a payment to Hydro One Networks for the Churchill Meadows Transformer Station. This agreement was entered into in 2010 and the station went into service in that year. The invoice from HONI for that amount was paid by Enersource on December 15, 2015 according to the evidence at the Technical Conference. (TC Tr. p.5)</w:t>
      </w:r>
    </w:p>
    <w:p w:rsidR="00730434" w:rsidRPr="00730434" w:rsidRDefault="00730434" w:rsidP="00730434">
      <w:pPr>
        <w:pStyle w:val="ListParagraph"/>
        <w:rPr>
          <w:sz w:val="24"/>
          <w:szCs w:val="24"/>
        </w:rPr>
      </w:pPr>
    </w:p>
    <w:p w:rsidR="00730434" w:rsidRDefault="00730434" w:rsidP="00730434">
      <w:pPr>
        <w:pStyle w:val="ListParagraph"/>
        <w:numPr>
          <w:ilvl w:val="0"/>
          <w:numId w:val="5"/>
        </w:numPr>
        <w:rPr>
          <w:sz w:val="24"/>
          <w:szCs w:val="24"/>
        </w:rPr>
      </w:pPr>
      <w:r w:rsidRPr="00730434">
        <w:rPr>
          <w:sz w:val="24"/>
          <w:szCs w:val="24"/>
        </w:rPr>
        <w:t xml:space="preserve">VECC is of the view that this 2015 expense cannot be included in the 2016 ICM year application. In addition to being an expense that is not in the subject year, its appearance as an unusual </w:t>
      </w:r>
      <w:r w:rsidR="00F122E1">
        <w:rPr>
          <w:sz w:val="24"/>
          <w:szCs w:val="24"/>
        </w:rPr>
        <w:t xml:space="preserve">or unanticipated </w:t>
      </w:r>
      <w:r w:rsidRPr="00730434">
        <w:rPr>
          <w:sz w:val="24"/>
          <w:szCs w:val="24"/>
        </w:rPr>
        <w:t>expense meriting ICM</w:t>
      </w:r>
      <w:r w:rsidR="00CF26F9">
        <w:rPr>
          <w:sz w:val="24"/>
          <w:szCs w:val="24"/>
        </w:rPr>
        <w:t xml:space="preserve"> treatment</w:t>
      </w:r>
      <w:r w:rsidRPr="00730434">
        <w:rPr>
          <w:sz w:val="24"/>
          <w:szCs w:val="24"/>
        </w:rPr>
        <w:t xml:space="preserve"> is somewhat puzzling given the</w:t>
      </w:r>
      <w:r w:rsidR="005F19A2">
        <w:rPr>
          <w:sz w:val="24"/>
          <w:szCs w:val="24"/>
        </w:rPr>
        <w:t xml:space="preserve"> origin and </w:t>
      </w:r>
      <w:r w:rsidR="005F19A2" w:rsidRPr="00730434">
        <w:rPr>
          <w:sz w:val="24"/>
          <w:szCs w:val="24"/>
        </w:rPr>
        <w:t>history</w:t>
      </w:r>
      <w:r w:rsidRPr="00730434">
        <w:rPr>
          <w:sz w:val="24"/>
          <w:szCs w:val="24"/>
        </w:rPr>
        <w:t xml:space="preserve"> of the expense. It is difficult to believe that the expense was unexpected</w:t>
      </w:r>
      <w:r w:rsidR="00CF26F9">
        <w:rPr>
          <w:sz w:val="24"/>
          <w:szCs w:val="24"/>
        </w:rPr>
        <w:t xml:space="preserve"> at the time of the</w:t>
      </w:r>
      <w:r w:rsidR="00F122E1">
        <w:rPr>
          <w:sz w:val="24"/>
          <w:szCs w:val="24"/>
        </w:rPr>
        <w:t xml:space="preserve"> demand for payment,</w:t>
      </w:r>
      <w:r w:rsidR="008179E5">
        <w:rPr>
          <w:rStyle w:val="FootnoteReference"/>
          <w:sz w:val="24"/>
          <w:szCs w:val="24"/>
        </w:rPr>
        <w:footnoteReference w:id="4"/>
      </w:r>
      <w:r w:rsidRPr="00730434">
        <w:rPr>
          <w:sz w:val="24"/>
          <w:szCs w:val="24"/>
        </w:rPr>
        <w:t xml:space="preserve"> and VECC suggest</w:t>
      </w:r>
      <w:r w:rsidR="00F122E1">
        <w:rPr>
          <w:sz w:val="24"/>
          <w:szCs w:val="24"/>
        </w:rPr>
        <w:t>s</w:t>
      </w:r>
      <w:r w:rsidRPr="00730434">
        <w:rPr>
          <w:sz w:val="24"/>
          <w:szCs w:val="24"/>
        </w:rPr>
        <w:t xml:space="preserve"> that the more likely explanation</w:t>
      </w:r>
      <w:r w:rsidR="004570CE">
        <w:rPr>
          <w:sz w:val="24"/>
          <w:szCs w:val="24"/>
        </w:rPr>
        <w:t xml:space="preserve"> for its surfacing at this juncture</w:t>
      </w:r>
      <w:r w:rsidRPr="00730434">
        <w:rPr>
          <w:sz w:val="24"/>
          <w:szCs w:val="24"/>
        </w:rPr>
        <w:t xml:space="preserve"> is that the expected revenues from the station </w:t>
      </w:r>
      <w:r w:rsidR="004570CE">
        <w:rPr>
          <w:sz w:val="24"/>
          <w:szCs w:val="24"/>
        </w:rPr>
        <w:t>have</w:t>
      </w:r>
      <w:r w:rsidRPr="00730434">
        <w:rPr>
          <w:sz w:val="24"/>
          <w:szCs w:val="24"/>
        </w:rPr>
        <w:t xml:space="preserve"> not materialize</w:t>
      </w:r>
      <w:r w:rsidR="004570CE">
        <w:rPr>
          <w:sz w:val="24"/>
          <w:szCs w:val="24"/>
        </w:rPr>
        <w:t>d</w:t>
      </w:r>
      <w:r w:rsidRPr="00730434">
        <w:rPr>
          <w:sz w:val="24"/>
          <w:szCs w:val="24"/>
        </w:rPr>
        <w:t xml:space="preserve"> for the reasons set out in the evidence.</w:t>
      </w:r>
      <w:r w:rsidR="00CF26F9">
        <w:rPr>
          <w:sz w:val="24"/>
          <w:szCs w:val="24"/>
        </w:rPr>
        <w:t xml:space="preserve"> (Tab2/P.38)</w:t>
      </w:r>
      <w:r w:rsidR="005F19A2">
        <w:rPr>
          <w:sz w:val="24"/>
          <w:szCs w:val="24"/>
        </w:rPr>
        <w:t>In any event, it is not a qualified ICM eligible expenditure and should be brought into rate base only upon rebasing.</w:t>
      </w:r>
    </w:p>
    <w:p w:rsidR="00F122E1" w:rsidRPr="00F122E1" w:rsidRDefault="00F122E1" w:rsidP="00F122E1">
      <w:pPr>
        <w:pStyle w:val="ListParagraph"/>
        <w:rPr>
          <w:sz w:val="24"/>
          <w:szCs w:val="24"/>
        </w:rPr>
      </w:pPr>
    </w:p>
    <w:p w:rsidR="00F122E1" w:rsidRDefault="00F122E1" w:rsidP="00730434">
      <w:pPr>
        <w:pStyle w:val="ListParagraph"/>
        <w:numPr>
          <w:ilvl w:val="0"/>
          <w:numId w:val="5"/>
        </w:numPr>
        <w:rPr>
          <w:sz w:val="24"/>
          <w:szCs w:val="24"/>
        </w:rPr>
      </w:pPr>
      <w:r>
        <w:rPr>
          <w:sz w:val="24"/>
          <w:szCs w:val="24"/>
        </w:rPr>
        <w:t>Enersource projects a significant component of its proposed ICM project budget in system renewal expense.</w:t>
      </w:r>
      <w:r w:rsidR="008179E5">
        <w:rPr>
          <w:sz w:val="24"/>
          <w:szCs w:val="24"/>
        </w:rPr>
        <w:t xml:space="preserve"> In its response JT1.2, Enersource earmarks $18.465 M for system renewal </w:t>
      </w:r>
      <w:r>
        <w:rPr>
          <w:sz w:val="24"/>
          <w:szCs w:val="24"/>
        </w:rPr>
        <w:t xml:space="preserve"> In its evidence in its application</w:t>
      </w:r>
      <w:r w:rsidR="00097F61">
        <w:rPr>
          <w:sz w:val="24"/>
          <w:szCs w:val="24"/>
        </w:rPr>
        <w:t xml:space="preserve"> (Tab2/p.28)</w:t>
      </w:r>
      <w:r>
        <w:rPr>
          <w:sz w:val="24"/>
          <w:szCs w:val="24"/>
        </w:rPr>
        <w:t xml:space="preserve"> Enersource notes the following:</w:t>
      </w:r>
    </w:p>
    <w:p w:rsidR="00F122E1" w:rsidRPr="00F122E1" w:rsidRDefault="00F122E1" w:rsidP="00F122E1">
      <w:pPr>
        <w:pStyle w:val="ListParagraph"/>
        <w:rPr>
          <w:sz w:val="24"/>
          <w:szCs w:val="24"/>
        </w:rPr>
      </w:pPr>
    </w:p>
    <w:p w:rsidR="008179E5" w:rsidRPr="008179E5" w:rsidRDefault="008179E5" w:rsidP="008179E5">
      <w:pPr>
        <w:pStyle w:val="ListParagraph"/>
        <w:ind w:left="2160"/>
        <w:rPr>
          <w:sz w:val="24"/>
          <w:szCs w:val="24"/>
        </w:rPr>
      </w:pPr>
      <w:r w:rsidRPr="008179E5">
        <w:rPr>
          <w:sz w:val="24"/>
          <w:szCs w:val="24"/>
        </w:rPr>
        <w:t>Expenditures for System Renewal are expected to increase by approximately 20</w:t>
      </w:r>
      <w:r w:rsidR="005F19A2" w:rsidRPr="008179E5">
        <w:rPr>
          <w:sz w:val="24"/>
          <w:szCs w:val="24"/>
        </w:rPr>
        <w:t>%</w:t>
      </w:r>
      <w:r w:rsidR="005F19A2">
        <w:rPr>
          <w:sz w:val="24"/>
          <w:szCs w:val="24"/>
        </w:rPr>
        <w:t xml:space="preserve"> </w:t>
      </w:r>
      <w:r w:rsidR="005F19A2" w:rsidRPr="008179E5">
        <w:rPr>
          <w:sz w:val="24"/>
          <w:szCs w:val="24"/>
        </w:rPr>
        <w:t>over</w:t>
      </w:r>
      <w:r w:rsidRPr="008179E5">
        <w:rPr>
          <w:sz w:val="24"/>
          <w:szCs w:val="24"/>
        </w:rPr>
        <w:t xml:space="preserve"> the next five years. The main reason for increasing costs in this area is due to a</w:t>
      </w:r>
      <w:r w:rsidR="00097F61">
        <w:rPr>
          <w:sz w:val="24"/>
          <w:szCs w:val="24"/>
        </w:rPr>
        <w:t xml:space="preserve"> </w:t>
      </w:r>
      <w:r w:rsidRPr="008179E5">
        <w:rPr>
          <w:sz w:val="24"/>
          <w:szCs w:val="24"/>
        </w:rPr>
        <w:t>significant portion of the distribution equipment that was installed in the 1970’s, 1980’s,</w:t>
      </w:r>
    </w:p>
    <w:p w:rsidR="008179E5" w:rsidRPr="008179E5" w:rsidRDefault="005F19A2" w:rsidP="008179E5">
      <w:pPr>
        <w:pStyle w:val="ListParagraph"/>
        <w:ind w:left="2160"/>
        <w:rPr>
          <w:sz w:val="24"/>
          <w:szCs w:val="24"/>
        </w:rPr>
      </w:pPr>
      <w:r w:rsidRPr="008179E5">
        <w:rPr>
          <w:sz w:val="24"/>
          <w:szCs w:val="24"/>
        </w:rPr>
        <w:t>And</w:t>
      </w:r>
      <w:r w:rsidR="008179E5" w:rsidRPr="008179E5">
        <w:rPr>
          <w:sz w:val="24"/>
          <w:szCs w:val="24"/>
        </w:rPr>
        <w:t xml:space="preserve"> early 1990’s having aged and reached the end of its expected useful life. The</w:t>
      </w:r>
      <w:r w:rsidR="00097F61">
        <w:rPr>
          <w:sz w:val="24"/>
          <w:szCs w:val="24"/>
        </w:rPr>
        <w:t xml:space="preserve"> </w:t>
      </w:r>
      <w:r w:rsidR="008179E5" w:rsidRPr="008179E5">
        <w:rPr>
          <w:sz w:val="24"/>
          <w:szCs w:val="24"/>
        </w:rPr>
        <w:t xml:space="preserve">2015 forecast is $35.2 million which is $3.9 million higher than 2014 due to </w:t>
      </w:r>
      <w:r w:rsidRPr="008179E5">
        <w:rPr>
          <w:sz w:val="24"/>
          <w:szCs w:val="24"/>
        </w:rPr>
        <w:t>additional</w:t>
      </w:r>
      <w:r>
        <w:rPr>
          <w:sz w:val="24"/>
          <w:szCs w:val="24"/>
        </w:rPr>
        <w:t xml:space="preserve"> </w:t>
      </w:r>
      <w:r w:rsidRPr="008179E5">
        <w:rPr>
          <w:sz w:val="24"/>
          <w:szCs w:val="24"/>
        </w:rPr>
        <w:t>planned</w:t>
      </w:r>
      <w:r w:rsidR="008179E5" w:rsidRPr="008179E5">
        <w:rPr>
          <w:sz w:val="24"/>
          <w:szCs w:val="24"/>
        </w:rPr>
        <w:t xml:space="preserve"> subdivision renewals and overhead </w:t>
      </w:r>
      <w:r w:rsidR="008179E5" w:rsidRPr="008179E5">
        <w:rPr>
          <w:sz w:val="24"/>
          <w:szCs w:val="24"/>
        </w:rPr>
        <w:lastRenderedPageBreak/>
        <w:t>rebuilds. The 2016 forecast is $</w:t>
      </w:r>
      <w:r w:rsidRPr="008179E5">
        <w:rPr>
          <w:sz w:val="24"/>
          <w:szCs w:val="24"/>
        </w:rPr>
        <w:t>34.7</w:t>
      </w:r>
      <w:r>
        <w:rPr>
          <w:sz w:val="24"/>
          <w:szCs w:val="24"/>
        </w:rPr>
        <w:t xml:space="preserve"> </w:t>
      </w:r>
      <w:r w:rsidRPr="008179E5">
        <w:rPr>
          <w:sz w:val="24"/>
          <w:szCs w:val="24"/>
        </w:rPr>
        <w:t>million;</w:t>
      </w:r>
      <w:r w:rsidR="008179E5" w:rsidRPr="008179E5">
        <w:rPr>
          <w:sz w:val="24"/>
          <w:szCs w:val="24"/>
        </w:rPr>
        <w:t xml:space="preserve"> $469 thousand lower than 2015 due to lower transformer </w:t>
      </w:r>
      <w:r w:rsidRPr="008179E5">
        <w:rPr>
          <w:sz w:val="24"/>
          <w:szCs w:val="24"/>
        </w:rPr>
        <w:t>replacement</w:t>
      </w:r>
      <w:r>
        <w:rPr>
          <w:sz w:val="24"/>
          <w:szCs w:val="24"/>
        </w:rPr>
        <w:t xml:space="preserve"> </w:t>
      </w:r>
      <w:r w:rsidRPr="008179E5">
        <w:rPr>
          <w:sz w:val="24"/>
          <w:szCs w:val="24"/>
        </w:rPr>
        <w:t>investments</w:t>
      </w:r>
      <w:r w:rsidR="008179E5" w:rsidRPr="008179E5">
        <w:rPr>
          <w:sz w:val="24"/>
          <w:szCs w:val="24"/>
        </w:rPr>
        <w:t xml:space="preserve"> offset by higher sub</w:t>
      </w:r>
      <w:r w:rsidR="00097F61">
        <w:rPr>
          <w:sz w:val="24"/>
          <w:szCs w:val="24"/>
        </w:rPr>
        <w:t>-</w:t>
      </w:r>
      <w:r w:rsidR="008179E5" w:rsidRPr="008179E5">
        <w:rPr>
          <w:sz w:val="24"/>
          <w:szCs w:val="24"/>
        </w:rPr>
        <w:t>transmission renewal projects.</w:t>
      </w:r>
    </w:p>
    <w:p w:rsidR="008179E5" w:rsidRPr="008179E5" w:rsidRDefault="008179E5" w:rsidP="008179E5">
      <w:pPr>
        <w:pStyle w:val="ListParagraph"/>
        <w:ind w:left="2160"/>
        <w:rPr>
          <w:sz w:val="24"/>
          <w:szCs w:val="24"/>
        </w:rPr>
      </w:pPr>
    </w:p>
    <w:p w:rsidR="00F122E1" w:rsidRDefault="008179E5" w:rsidP="008179E5">
      <w:pPr>
        <w:pStyle w:val="ListParagraph"/>
        <w:ind w:left="2160"/>
        <w:rPr>
          <w:sz w:val="24"/>
          <w:szCs w:val="24"/>
        </w:rPr>
      </w:pPr>
      <w:r w:rsidRPr="008179E5">
        <w:rPr>
          <w:sz w:val="24"/>
          <w:szCs w:val="24"/>
        </w:rPr>
        <w:t>Table 7 provides a detailed breakdown of equipment failure statistics for the period</w:t>
      </w:r>
      <w:r w:rsidR="00097F61">
        <w:rPr>
          <w:sz w:val="24"/>
          <w:szCs w:val="24"/>
        </w:rPr>
        <w:t xml:space="preserve"> </w:t>
      </w:r>
      <w:r w:rsidRPr="008179E5">
        <w:rPr>
          <w:sz w:val="24"/>
          <w:szCs w:val="24"/>
        </w:rPr>
        <w:t>2010-2014. Underground cable faults represent the vast majority of total failures.</w:t>
      </w:r>
    </w:p>
    <w:p w:rsidR="00FC338A" w:rsidRDefault="00FC338A" w:rsidP="008179E5">
      <w:pPr>
        <w:pStyle w:val="ListParagraph"/>
        <w:ind w:left="2160"/>
        <w:rPr>
          <w:sz w:val="24"/>
          <w:szCs w:val="24"/>
        </w:rPr>
      </w:pPr>
    </w:p>
    <w:p w:rsidR="00FC338A" w:rsidRDefault="00097F61" w:rsidP="00FC338A">
      <w:pPr>
        <w:pStyle w:val="ListParagraph"/>
        <w:numPr>
          <w:ilvl w:val="0"/>
          <w:numId w:val="5"/>
        </w:numPr>
        <w:rPr>
          <w:sz w:val="24"/>
          <w:szCs w:val="24"/>
        </w:rPr>
      </w:pPr>
      <w:r w:rsidRPr="00FC338A">
        <w:rPr>
          <w:sz w:val="24"/>
          <w:szCs w:val="24"/>
        </w:rPr>
        <w:t>However,</w:t>
      </w:r>
      <w:r w:rsidR="00FC338A" w:rsidRPr="00FC338A">
        <w:rPr>
          <w:sz w:val="24"/>
          <w:szCs w:val="24"/>
        </w:rPr>
        <w:t xml:space="preserve"> Table 7  at Tab2 p. 28 actually shows the incidence of underground cable faults which provide the vast majority of total failures to be greatest in 2010, 2011, and 2012 a fact that could have easily informed its capital budget program</w:t>
      </w:r>
      <w:r w:rsidR="004570CE">
        <w:rPr>
          <w:sz w:val="24"/>
          <w:szCs w:val="24"/>
        </w:rPr>
        <w:t xml:space="preserve"> at the time of the last rebasing</w:t>
      </w:r>
      <w:r w:rsidR="00FC338A" w:rsidRPr="00FC338A">
        <w:rPr>
          <w:sz w:val="24"/>
          <w:szCs w:val="24"/>
        </w:rPr>
        <w:t>.</w:t>
      </w:r>
    </w:p>
    <w:p w:rsidR="005F19A2" w:rsidRPr="00FC338A" w:rsidRDefault="005F19A2" w:rsidP="005F19A2">
      <w:pPr>
        <w:pStyle w:val="ListParagraph"/>
        <w:ind w:left="1080"/>
        <w:rPr>
          <w:sz w:val="24"/>
          <w:szCs w:val="24"/>
        </w:rPr>
      </w:pPr>
    </w:p>
    <w:p w:rsidR="00097F61" w:rsidRPr="00FC338A" w:rsidRDefault="00FC338A" w:rsidP="00FC338A">
      <w:pPr>
        <w:pStyle w:val="ListParagraph"/>
        <w:numPr>
          <w:ilvl w:val="0"/>
          <w:numId w:val="5"/>
        </w:numPr>
        <w:rPr>
          <w:sz w:val="24"/>
          <w:szCs w:val="24"/>
        </w:rPr>
      </w:pPr>
      <w:r>
        <w:rPr>
          <w:sz w:val="24"/>
          <w:szCs w:val="24"/>
        </w:rPr>
        <w:t xml:space="preserve"> I</w:t>
      </w:r>
      <w:r w:rsidRPr="00FC338A">
        <w:rPr>
          <w:sz w:val="24"/>
          <w:szCs w:val="24"/>
        </w:rPr>
        <w:t>n its 2013 appl</w:t>
      </w:r>
      <w:r>
        <w:rPr>
          <w:sz w:val="24"/>
          <w:szCs w:val="24"/>
        </w:rPr>
        <w:t>ication,</w:t>
      </w:r>
      <w:r w:rsidRPr="00FC338A">
        <w:rPr>
          <w:sz w:val="24"/>
          <w:szCs w:val="24"/>
        </w:rPr>
        <w:t xml:space="preserve"> </w:t>
      </w:r>
      <w:r w:rsidR="00097F61" w:rsidRPr="00FC338A">
        <w:rPr>
          <w:sz w:val="24"/>
          <w:szCs w:val="24"/>
        </w:rPr>
        <w:t>Enersource’s evidence was much the same</w:t>
      </w:r>
      <w:r>
        <w:rPr>
          <w:sz w:val="24"/>
          <w:szCs w:val="24"/>
        </w:rPr>
        <w:t xml:space="preserve"> as its current </w:t>
      </w:r>
      <w:r w:rsidR="00432723">
        <w:rPr>
          <w:sz w:val="24"/>
          <w:szCs w:val="24"/>
        </w:rPr>
        <w:t>2016 application</w:t>
      </w:r>
      <w:r w:rsidR="003161D2">
        <w:rPr>
          <w:sz w:val="24"/>
          <w:szCs w:val="24"/>
        </w:rPr>
        <w:t xml:space="preserve"> (EB-2012-0033,Ex1,Tab2,Sch.1, page 5)</w:t>
      </w:r>
      <w:r w:rsidR="00097F61" w:rsidRPr="00FC338A">
        <w:rPr>
          <w:sz w:val="24"/>
          <w:szCs w:val="24"/>
        </w:rPr>
        <w:t>:</w:t>
      </w:r>
    </w:p>
    <w:p w:rsidR="00FC338A" w:rsidRPr="00FC338A" w:rsidRDefault="00FC338A" w:rsidP="00FC338A">
      <w:pPr>
        <w:pStyle w:val="ListParagraph"/>
        <w:ind w:left="2160"/>
        <w:rPr>
          <w:sz w:val="24"/>
          <w:szCs w:val="24"/>
        </w:rPr>
      </w:pPr>
      <w:r>
        <w:rPr>
          <w:sz w:val="24"/>
          <w:szCs w:val="24"/>
        </w:rPr>
        <w:t>“</w:t>
      </w:r>
      <w:r w:rsidRPr="00FC338A">
        <w:rPr>
          <w:sz w:val="24"/>
          <w:szCs w:val="24"/>
        </w:rPr>
        <w:t>The need for a modified approach is particularly timely for Enersource’s</w:t>
      </w:r>
    </w:p>
    <w:p w:rsidR="00FC338A" w:rsidRPr="00FC338A" w:rsidRDefault="005F19A2" w:rsidP="00FC338A">
      <w:pPr>
        <w:pStyle w:val="ListParagraph"/>
        <w:ind w:left="2160"/>
        <w:rPr>
          <w:sz w:val="24"/>
          <w:szCs w:val="24"/>
        </w:rPr>
      </w:pPr>
      <w:r>
        <w:rPr>
          <w:sz w:val="24"/>
          <w:szCs w:val="24"/>
        </w:rPr>
        <w:t>customers.</w:t>
      </w:r>
      <w:r w:rsidRPr="00FC338A">
        <w:rPr>
          <w:sz w:val="24"/>
          <w:szCs w:val="24"/>
        </w:rPr>
        <w:t xml:space="preserve"> </w:t>
      </w:r>
      <w:r w:rsidR="00FC338A" w:rsidRPr="00FC338A">
        <w:rPr>
          <w:sz w:val="24"/>
          <w:szCs w:val="24"/>
        </w:rPr>
        <w:t xml:space="preserve">As fully detailed in Exhibit 2 Tab 2 Schedule 2 and Exhibit 2 Tab </w:t>
      </w:r>
      <w:r w:rsidRPr="00FC338A">
        <w:rPr>
          <w:sz w:val="24"/>
          <w:szCs w:val="24"/>
        </w:rPr>
        <w:t>2</w:t>
      </w:r>
      <w:r>
        <w:rPr>
          <w:sz w:val="24"/>
          <w:szCs w:val="24"/>
        </w:rPr>
        <w:t xml:space="preserve"> </w:t>
      </w:r>
      <w:r w:rsidRPr="00FC338A">
        <w:rPr>
          <w:sz w:val="24"/>
          <w:szCs w:val="24"/>
        </w:rPr>
        <w:t>Schedule</w:t>
      </w:r>
      <w:r w:rsidR="00FC338A" w:rsidRPr="00FC338A">
        <w:rPr>
          <w:sz w:val="24"/>
          <w:szCs w:val="24"/>
        </w:rPr>
        <w:t xml:space="preserve"> 2 Appendix 1, i.e., the Asset Management Plan, there is a need for</w:t>
      </w:r>
      <w:r w:rsidR="00FC338A">
        <w:rPr>
          <w:sz w:val="24"/>
          <w:szCs w:val="24"/>
        </w:rPr>
        <w:t xml:space="preserve"> </w:t>
      </w:r>
      <w:r w:rsidR="00FC338A" w:rsidRPr="00FC338A">
        <w:rPr>
          <w:sz w:val="24"/>
          <w:szCs w:val="24"/>
        </w:rPr>
        <w:t xml:space="preserve">significant capital investment in Enersource’s system starting within the next </w:t>
      </w:r>
      <w:r w:rsidRPr="00FC338A">
        <w:rPr>
          <w:sz w:val="24"/>
          <w:szCs w:val="24"/>
        </w:rPr>
        <w:t>four</w:t>
      </w:r>
      <w:r>
        <w:rPr>
          <w:sz w:val="24"/>
          <w:szCs w:val="24"/>
        </w:rPr>
        <w:t xml:space="preserve"> </w:t>
      </w:r>
      <w:r w:rsidRPr="00FC338A">
        <w:rPr>
          <w:sz w:val="24"/>
          <w:szCs w:val="24"/>
        </w:rPr>
        <w:t>to</w:t>
      </w:r>
      <w:r w:rsidR="00FC338A" w:rsidRPr="00FC338A">
        <w:rPr>
          <w:sz w:val="24"/>
          <w:szCs w:val="24"/>
        </w:rPr>
        <w:t xml:space="preserve"> five years, continuing over the next decade and beyond. It reflects the need to</w:t>
      </w:r>
      <w:r w:rsidR="00FC338A">
        <w:rPr>
          <w:sz w:val="24"/>
          <w:szCs w:val="24"/>
        </w:rPr>
        <w:t xml:space="preserve"> </w:t>
      </w:r>
      <w:r w:rsidR="00FC338A" w:rsidRPr="00FC338A">
        <w:rPr>
          <w:sz w:val="24"/>
          <w:szCs w:val="24"/>
        </w:rPr>
        <w:t>replace or substantially refurbish many of Enersource’s electricity system assets that were installed during the City of Mississauga’s boom development years of</w:t>
      </w:r>
      <w:r w:rsidR="00FC338A">
        <w:rPr>
          <w:sz w:val="24"/>
          <w:szCs w:val="24"/>
        </w:rPr>
        <w:t xml:space="preserve"> </w:t>
      </w:r>
      <w:r w:rsidR="00FC338A" w:rsidRPr="00FC338A">
        <w:rPr>
          <w:sz w:val="24"/>
          <w:szCs w:val="24"/>
        </w:rPr>
        <w:t>the 1970’s, 1980’s, and 1990’s. A significant portion of this vintage of assets was</w:t>
      </w:r>
      <w:r w:rsidR="00FC338A">
        <w:rPr>
          <w:sz w:val="24"/>
          <w:szCs w:val="24"/>
        </w:rPr>
        <w:t xml:space="preserve"> </w:t>
      </w:r>
      <w:r w:rsidR="00FC338A" w:rsidRPr="00FC338A">
        <w:rPr>
          <w:sz w:val="24"/>
          <w:szCs w:val="24"/>
        </w:rPr>
        <w:t>paid for by developers and therefore is not included in the current rate base and</w:t>
      </w:r>
    </w:p>
    <w:p w:rsidR="00FC338A" w:rsidRDefault="00FC338A" w:rsidP="00FC338A">
      <w:pPr>
        <w:pStyle w:val="ListParagraph"/>
        <w:ind w:left="2160"/>
        <w:rPr>
          <w:sz w:val="24"/>
          <w:szCs w:val="24"/>
        </w:rPr>
      </w:pPr>
      <w:r w:rsidRPr="00FC338A">
        <w:rPr>
          <w:sz w:val="24"/>
          <w:szCs w:val="24"/>
        </w:rPr>
        <w:t>does not impact current distribution rates.</w:t>
      </w:r>
    </w:p>
    <w:p w:rsidR="00FC338A" w:rsidRPr="00FC338A" w:rsidRDefault="00FC338A" w:rsidP="00FC338A">
      <w:pPr>
        <w:pStyle w:val="ListParagraph"/>
        <w:ind w:left="2160"/>
        <w:rPr>
          <w:sz w:val="24"/>
          <w:szCs w:val="24"/>
        </w:rPr>
      </w:pPr>
    </w:p>
    <w:p w:rsidR="00FC338A" w:rsidRPr="00FC338A" w:rsidRDefault="00FC338A" w:rsidP="00FC338A">
      <w:pPr>
        <w:pStyle w:val="ListParagraph"/>
        <w:ind w:left="2160"/>
        <w:rPr>
          <w:sz w:val="24"/>
          <w:szCs w:val="24"/>
        </w:rPr>
      </w:pPr>
      <w:r w:rsidRPr="00FC338A">
        <w:rPr>
          <w:sz w:val="24"/>
          <w:szCs w:val="24"/>
        </w:rPr>
        <w:t xml:space="preserve"> Enersource’s direct capital investments during that same period of boom</w:t>
      </w:r>
    </w:p>
    <w:p w:rsidR="00FC338A" w:rsidRPr="00FC338A" w:rsidRDefault="00FC338A" w:rsidP="00FC338A">
      <w:pPr>
        <w:pStyle w:val="ListParagraph"/>
        <w:ind w:left="2160"/>
        <w:rPr>
          <w:sz w:val="24"/>
          <w:szCs w:val="24"/>
        </w:rPr>
      </w:pPr>
      <w:r w:rsidRPr="00FC338A">
        <w:rPr>
          <w:sz w:val="24"/>
          <w:szCs w:val="24"/>
        </w:rPr>
        <w:t xml:space="preserve"> development will also require a similar degree of replacement and/or</w:t>
      </w:r>
    </w:p>
    <w:p w:rsidR="00097F61" w:rsidRDefault="00FC338A" w:rsidP="00FC338A">
      <w:pPr>
        <w:pStyle w:val="ListParagraph"/>
        <w:ind w:left="2160"/>
        <w:rPr>
          <w:sz w:val="24"/>
          <w:szCs w:val="24"/>
        </w:rPr>
      </w:pPr>
      <w:r w:rsidRPr="00FC338A">
        <w:rPr>
          <w:sz w:val="24"/>
          <w:szCs w:val="24"/>
        </w:rPr>
        <w:t xml:space="preserve"> rehabilitation and financial returns from this investment will, in effect, replace </w:t>
      </w:r>
      <w:r w:rsidR="005F19A2" w:rsidRPr="00FC338A">
        <w:rPr>
          <w:sz w:val="24"/>
          <w:szCs w:val="24"/>
        </w:rPr>
        <w:t>the</w:t>
      </w:r>
      <w:r w:rsidR="005F19A2">
        <w:rPr>
          <w:sz w:val="24"/>
          <w:szCs w:val="24"/>
        </w:rPr>
        <w:t xml:space="preserve"> </w:t>
      </w:r>
      <w:r w:rsidR="005F19A2" w:rsidRPr="00FC338A">
        <w:rPr>
          <w:sz w:val="24"/>
          <w:szCs w:val="24"/>
        </w:rPr>
        <w:t>returns</w:t>
      </w:r>
      <w:r w:rsidRPr="00FC338A">
        <w:rPr>
          <w:sz w:val="24"/>
          <w:szCs w:val="24"/>
        </w:rPr>
        <w:t xml:space="preserve"> generated from the retired plant</w:t>
      </w:r>
      <w:r w:rsidR="00432723">
        <w:rPr>
          <w:sz w:val="24"/>
          <w:szCs w:val="24"/>
        </w:rPr>
        <w:t>.</w:t>
      </w:r>
      <w:r w:rsidR="00D03A15">
        <w:rPr>
          <w:rStyle w:val="FootnoteReference"/>
          <w:sz w:val="24"/>
          <w:szCs w:val="24"/>
        </w:rPr>
        <w:footnoteReference w:id="5"/>
      </w:r>
    </w:p>
    <w:p w:rsidR="00CB7DE5" w:rsidRDefault="00CB7DE5" w:rsidP="00FC338A">
      <w:pPr>
        <w:pStyle w:val="ListParagraph"/>
        <w:ind w:left="2160"/>
        <w:rPr>
          <w:sz w:val="24"/>
          <w:szCs w:val="24"/>
        </w:rPr>
      </w:pPr>
    </w:p>
    <w:p w:rsidR="00432723" w:rsidRDefault="00432723" w:rsidP="00432723">
      <w:pPr>
        <w:pStyle w:val="ListParagraph"/>
        <w:numPr>
          <w:ilvl w:val="0"/>
          <w:numId w:val="5"/>
        </w:numPr>
        <w:rPr>
          <w:sz w:val="24"/>
          <w:szCs w:val="24"/>
        </w:rPr>
      </w:pPr>
      <w:r>
        <w:rPr>
          <w:sz w:val="24"/>
          <w:szCs w:val="24"/>
        </w:rPr>
        <w:t xml:space="preserve">While Enersource’s projections for system service expansion may have been affected </w:t>
      </w:r>
      <w:r w:rsidR="004570CE">
        <w:rPr>
          <w:sz w:val="24"/>
          <w:szCs w:val="24"/>
        </w:rPr>
        <w:t>by</w:t>
      </w:r>
      <w:r>
        <w:rPr>
          <w:sz w:val="24"/>
          <w:szCs w:val="24"/>
        </w:rPr>
        <w:t xml:space="preserve"> its ongoing discussion with City officials concerning plans for growth,</w:t>
      </w:r>
      <w:r w:rsidR="00D03A15">
        <w:rPr>
          <w:sz w:val="24"/>
          <w:szCs w:val="24"/>
        </w:rPr>
        <w:t xml:space="preserve"> (TC </w:t>
      </w:r>
      <w:r w:rsidR="00D03A15">
        <w:rPr>
          <w:sz w:val="24"/>
          <w:szCs w:val="24"/>
        </w:rPr>
        <w:lastRenderedPageBreak/>
        <w:t xml:space="preserve">Tr. </w:t>
      </w:r>
      <w:r w:rsidR="00655179">
        <w:rPr>
          <w:sz w:val="24"/>
          <w:szCs w:val="24"/>
        </w:rPr>
        <w:t>pp 35</w:t>
      </w:r>
      <w:r w:rsidR="005F19A2">
        <w:rPr>
          <w:sz w:val="24"/>
          <w:szCs w:val="24"/>
        </w:rPr>
        <w:t>, 36</w:t>
      </w:r>
      <w:r w:rsidR="00655179">
        <w:rPr>
          <w:sz w:val="24"/>
          <w:szCs w:val="24"/>
        </w:rPr>
        <w:t>)</w:t>
      </w:r>
      <w:r w:rsidR="00D03A15">
        <w:rPr>
          <w:sz w:val="24"/>
          <w:szCs w:val="24"/>
        </w:rPr>
        <w:t>,</w:t>
      </w:r>
      <w:r>
        <w:rPr>
          <w:sz w:val="24"/>
          <w:szCs w:val="24"/>
        </w:rPr>
        <w:t xml:space="preserve"> i</w:t>
      </w:r>
      <w:r w:rsidR="00D03A15">
        <w:rPr>
          <w:sz w:val="24"/>
          <w:szCs w:val="24"/>
        </w:rPr>
        <w:t>t is difficult to reconcile Enersource’s ICM request in this category with the requirement to show there was no ability to plan for these system renewal expenses in the rate base request as the</w:t>
      </w:r>
      <w:r w:rsidR="004570CE">
        <w:rPr>
          <w:sz w:val="24"/>
          <w:szCs w:val="24"/>
        </w:rPr>
        <w:t xml:space="preserve"> Enersource</w:t>
      </w:r>
      <w:r w:rsidR="00D03A15">
        <w:rPr>
          <w:sz w:val="24"/>
          <w:szCs w:val="24"/>
        </w:rPr>
        <w:t xml:space="preserve"> state of knowledge concerning need appears the same</w:t>
      </w:r>
      <w:r w:rsidR="003161D2">
        <w:rPr>
          <w:sz w:val="24"/>
          <w:szCs w:val="24"/>
        </w:rPr>
        <w:t xml:space="preserve"> as evidenced </w:t>
      </w:r>
      <w:r w:rsidR="004570CE">
        <w:rPr>
          <w:sz w:val="24"/>
          <w:szCs w:val="24"/>
        </w:rPr>
        <w:t>by the comparison of</w:t>
      </w:r>
      <w:r w:rsidR="003161D2">
        <w:rPr>
          <w:sz w:val="24"/>
          <w:szCs w:val="24"/>
        </w:rPr>
        <w:t xml:space="preserve"> application</w:t>
      </w:r>
      <w:r w:rsidR="004570CE">
        <w:rPr>
          <w:sz w:val="24"/>
          <w:szCs w:val="24"/>
        </w:rPr>
        <w:t>s</w:t>
      </w:r>
      <w:r w:rsidR="00D03A15">
        <w:rPr>
          <w:sz w:val="24"/>
          <w:szCs w:val="24"/>
        </w:rPr>
        <w:t>.</w:t>
      </w:r>
    </w:p>
    <w:p w:rsidR="005F19A2" w:rsidRDefault="005F19A2" w:rsidP="005F19A2">
      <w:pPr>
        <w:pStyle w:val="ListParagraph"/>
        <w:ind w:left="1080"/>
        <w:rPr>
          <w:sz w:val="24"/>
          <w:szCs w:val="24"/>
        </w:rPr>
      </w:pPr>
    </w:p>
    <w:p w:rsidR="005F19A2" w:rsidRPr="003161D2" w:rsidRDefault="00D03A15" w:rsidP="005F19A2">
      <w:pPr>
        <w:pStyle w:val="ListParagraph"/>
        <w:numPr>
          <w:ilvl w:val="0"/>
          <w:numId w:val="5"/>
        </w:numPr>
        <w:rPr>
          <w:sz w:val="24"/>
          <w:szCs w:val="24"/>
        </w:rPr>
      </w:pPr>
      <w:r w:rsidRPr="003161D2">
        <w:rPr>
          <w:sz w:val="24"/>
          <w:szCs w:val="24"/>
        </w:rPr>
        <w:t xml:space="preserve">The system renewal ICM </w:t>
      </w:r>
      <w:r w:rsidR="00D07DA8" w:rsidRPr="003161D2">
        <w:rPr>
          <w:sz w:val="24"/>
          <w:szCs w:val="24"/>
        </w:rPr>
        <w:t>request</w:t>
      </w:r>
      <w:r w:rsidRPr="003161D2">
        <w:rPr>
          <w:sz w:val="24"/>
          <w:szCs w:val="24"/>
        </w:rPr>
        <w:t xml:space="preserve"> may reflect </w:t>
      </w:r>
      <w:r w:rsidR="003161D2" w:rsidRPr="003161D2">
        <w:rPr>
          <w:sz w:val="24"/>
          <w:szCs w:val="24"/>
        </w:rPr>
        <w:t xml:space="preserve">a </w:t>
      </w:r>
      <w:r w:rsidR="00D07DA8" w:rsidRPr="003161D2">
        <w:rPr>
          <w:sz w:val="24"/>
          <w:szCs w:val="24"/>
        </w:rPr>
        <w:t xml:space="preserve">ramping up of system renewal expenditures that </w:t>
      </w:r>
      <w:r w:rsidR="005F19A2" w:rsidRPr="003161D2">
        <w:rPr>
          <w:sz w:val="24"/>
          <w:szCs w:val="24"/>
        </w:rPr>
        <w:t>exceed</w:t>
      </w:r>
      <w:r w:rsidR="00D07DA8" w:rsidRPr="003161D2">
        <w:rPr>
          <w:sz w:val="24"/>
          <w:szCs w:val="24"/>
        </w:rPr>
        <w:t xml:space="preserve"> the pacing that would normally flow from its own AMP. We have had the advantage of reviewing the draft submissions of AMPCO in this proceeding and would note</w:t>
      </w:r>
      <w:r w:rsidR="004570CE">
        <w:rPr>
          <w:sz w:val="24"/>
          <w:szCs w:val="24"/>
        </w:rPr>
        <w:t xml:space="preserve"> </w:t>
      </w:r>
      <w:proofErr w:type="gramStart"/>
      <w:r w:rsidR="004570CE">
        <w:rPr>
          <w:sz w:val="24"/>
          <w:szCs w:val="24"/>
        </w:rPr>
        <w:t xml:space="preserve">that </w:t>
      </w:r>
      <w:r w:rsidR="00D07DA8" w:rsidRPr="003161D2">
        <w:rPr>
          <w:sz w:val="24"/>
          <w:szCs w:val="24"/>
        </w:rPr>
        <w:t xml:space="preserve"> its</w:t>
      </w:r>
      <w:proofErr w:type="gramEnd"/>
      <w:r w:rsidR="00D07DA8" w:rsidRPr="003161D2">
        <w:rPr>
          <w:sz w:val="24"/>
          <w:szCs w:val="24"/>
        </w:rPr>
        <w:t xml:space="preserve"> review of </w:t>
      </w:r>
      <w:r w:rsidR="005F19A2" w:rsidRPr="003161D2">
        <w:rPr>
          <w:sz w:val="24"/>
          <w:szCs w:val="24"/>
        </w:rPr>
        <w:t>Enersource’s Asset</w:t>
      </w:r>
      <w:r w:rsidR="00D07DA8" w:rsidRPr="003161D2">
        <w:rPr>
          <w:sz w:val="24"/>
          <w:szCs w:val="24"/>
        </w:rPr>
        <w:t xml:space="preserve"> Condition Assessment leads to the conclusion that the accelerated pace is not congruent with the ACA. This seems to provide an explanation for the overshoot of capital expenditures in this area without a substantial change in outlook.</w:t>
      </w:r>
    </w:p>
    <w:p w:rsidR="005F19A2" w:rsidRDefault="005F19A2" w:rsidP="005F19A2">
      <w:pPr>
        <w:pStyle w:val="ListParagraph"/>
        <w:ind w:left="1080"/>
        <w:rPr>
          <w:sz w:val="24"/>
          <w:szCs w:val="24"/>
        </w:rPr>
      </w:pPr>
    </w:p>
    <w:p w:rsidR="00D07DA8" w:rsidRDefault="00D07DA8" w:rsidP="00432723">
      <w:pPr>
        <w:pStyle w:val="ListParagraph"/>
        <w:numPr>
          <w:ilvl w:val="0"/>
          <w:numId w:val="5"/>
        </w:numPr>
        <w:rPr>
          <w:sz w:val="24"/>
          <w:szCs w:val="24"/>
        </w:rPr>
      </w:pPr>
      <w:r>
        <w:rPr>
          <w:sz w:val="24"/>
          <w:szCs w:val="24"/>
        </w:rPr>
        <w:t xml:space="preserve">VECC has also </w:t>
      </w:r>
      <w:r w:rsidR="00CB7DE5">
        <w:rPr>
          <w:sz w:val="24"/>
          <w:szCs w:val="24"/>
        </w:rPr>
        <w:t>been favoured with a draft of Energy Probe’s submissions and concurs with its conclusions with respect to the</w:t>
      </w:r>
      <w:r w:rsidR="004570CE">
        <w:rPr>
          <w:sz w:val="24"/>
          <w:szCs w:val="24"/>
        </w:rPr>
        <w:t xml:space="preserve"> disposition of the </w:t>
      </w:r>
      <w:r w:rsidR="00CB7DE5">
        <w:rPr>
          <w:sz w:val="24"/>
          <w:szCs w:val="24"/>
        </w:rPr>
        <w:t xml:space="preserve"> following projects:</w:t>
      </w:r>
    </w:p>
    <w:p w:rsidR="00CB7DE5" w:rsidRDefault="00CB7DE5" w:rsidP="00CB7DE5">
      <w:pPr>
        <w:pStyle w:val="ListParagraph"/>
        <w:numPr>
          <w:ilvl w:val="0"/>
          <w:numId w:val="7"/>
        </w:numPr>
        <w:rPr>
          <w:sz w:val="24"/>
          <w:szCs w:val="24"/>
        </w:rPr>
      </w:pPr>
      <w:r>
        <w:rPr>
          <w:sz w:val="24"/>
          <w:szCs w:val="24"/>
        </w:rPr>
        <w:t xml:space="preserve">The land purchases for the Webb MS, Mini Britannia and Duke MS should be excluded from the ICM </w:t>
      </w:r>
      <w:r w:rsidR="005F19A2">
        <w:rPr>
          <w:sz w:val="24"/>
          <w:szCs w:val="24"/>
        </w:rPr>
        <w:t>eligible</w:t>
      </w:r>
      <w:r>
        <w:rPr>
          <w:sz w:val="24"/>
          <w:szCs w:val="24"/>
        </w:rPr>
        <w:t xml:space="preserve"> capital for 2016 as the </w:t>
      </w:r>
      <w:r w:rsidR="00AF0A30">
        <w:rPr>
          <w:sz w:val="24"/>
          <w:szCs w:val="24"/>
        </w:rPr>
        <w:t>substations are not in service in 2016, and in fact will not be in service until 2018-2019.</w:t>
      </w:r>
    </w:p>
    <w:p w:rsidR="00AF0A30" w:rsidRPr="000734E0" w:rsidRDefault="005F19A2" w:rsidP="00AF0A30">
      <w:pPr>
        <w:pStyle w:val="ListParagraph"/>
        <w:numPr>
          <w:ilvl w:val="0"/>
          <w:numId w:val="7"/>
        </w:numPr>
        <w:rPr>
          <w:sz w:val="24"/>
          <w:szCs w:val="24"/>
        </w:rPr>
      </w:pPr>
      <w:r w:rsidRPr="000734E0">
        <w:rPr>
          <w:sz w:val="24"/>
          <w:szCs w:val="24"/>
        </w:rPr>
        <w:t xml:space="preserve">13 projects totaling $4,663,530 should be removed from the ICM capital proposal because of materiality concerns. </w:t>
      </w:r>
      <w:r w:rsidR="00AF0A30" w:rsidRPr="000734E0">
        <w:rPr>
          <w:sz w:val="24"/>
          <w:szCs w:val="24"/>
        </w:rPr>
        <w:t>The last rebasing application (EB-2012-0033) had a materiality threshold of $645,000.</w:t>
      </w:r>
      <w:r w:rsidR="000734E0" w:rsidRPr="000734E0">
        <w:rPr>
          <w:sz w:val="24"/>
          <w:szCs w:val="24"/>
        </w:rPr>
        <w:t>That amount provides a reasonable criterion for classifying these projects. In the result</w:t>
      </w:r>
      <w:r w:rsidR="000734E0">
        <w:rPr>
          <w:sz w:val="24"/>
          <w:szCs w:val="24"/>
        </w:rPr>
        <w:t>, t</w:t>
      </w:r>
      <w:r w:rsidR="00AF0A30" w:rsidRPr="000734E0">
        <w:rPr>
          <w:sz w:val="24"/>
          <w:szCs w:val="24"/>
        </w:rPr>
        <w:t>hey are minor expenditures and have no significant influence on Enersource’s operations.</w:t>
      </w:r>
    </w:p>
    <w:p w:rsidR="00220144" w:rsidRDefault="00AF0A30" w:rsidP="00FD2FF1">
      <w:pPr>
        <w:pStyle w:val="ListParagraph"/>
        <w:numPr>
          <w:ilvl w:val="0"/>
          <w:numId w:val="7"/>
        </w:numPr>
        <w:rPr>
          <w:sz w:val="24"/>
          <w:szCs w:val="24"/>
        </w:rPr>
      </w:pPr>
      <w:r w:rsidRPr="00FD2FF1">
        <w:rPr>
          <w:sz w:val="24"/>
          <w:szCs w:val="24"/>
        </w:rPr>
        <w:t xml:space="preserve">VECC agrees that Section 3.3.2.1 of the Filing Requirements mandates </w:t>
      </w:r>
      <w:r w:rsidR="00FD2FF1">
        <w:rPr>
          <w:sz w:val="24"/>
          <w:szCs w:val="24"/>
        </w:rPr>
        <w:t xml:space="preserve">the </w:t>
      </w:r>
      <w:r w:rsidR="000734E0">
        <w:rPr>
          <w:sz w:val="24"/>
          <w:szCs w:val="24"/>
        </w:rPr>
        <w:t xml:space="preserve">distributor </w:t>
      </w:r>
      <w:r w:rsidRPr="00FD2FF1">
        <w:rPr>
          <w:sz w:val="24"/>
          <w:szCs w:val="24"/>
        </w:rPr>
        <w:t>exercise</w:t>
      </w:r>
      <w:r w:rsidR="00FD2FF1">
        <w:rPr>
          <w:sz w:val="24"/>
          <w:szCs w:val="24"/>
        </w:rPr>
        <w:t xml:space="preserve"> of providing evidence that incremental revenue will not be funded by other means such as expansion of </w:t>
      </w:r>
      <w:r w:rsidR="005F19A2">
        <w:rPr>
          <w:sz w:val="24"/>
          <w:szCs w:val="24"/>
        </w:rPr>
        <w:t>service</w:t>
      </w:r>
      <w:r w:rsidR="005F19A2" w:rsidRPr="00FD2FF1">
        <w:rPr>
          <w:sz w:val="24"/>
          <w:szCs w:val="24"/>
        </w:rPr>
        <w:t xml:space="preserve">. </w:t>
      </w:r>
      <w:r w:rsidR="00FD2FF1">
        <w:rPr>
          <w:sz w:val="24"/>
          <w:szCs w:val="24"/>
        </w:rPr>
        <w:t xml:space="preserve">The Mini Orlando </w:t>
      </w:r>
      <w:r w:rsidR="00220144">
        <w:rPr>
          <w:sz w:val="24"/>
          <w:szCs w:val="24"/>
        </w:rPr>
        <w:t xml:space="preserve">MS station project is to respond to growth and as this load is becoming a </w:t>
      </w:r>
      <w:r w:rsidR="005F19A2">
        <w:rPr>
          <w:sz w:val="24"/>
          <w:szCs w:val="24"/>
        </w:rPr>
        <w:t>reality in</w:t>
      </w:r>
      <w:r w:rsidR="00220144">
        <w:rPr>
          <w:sz w:val="24"/>
          <w:szCs w:val="24"/>
        </w:rPr>
        <w:t xml:space="preserve"> 2016, the revenues associated for that growth must be accounted for</w:t>
      </w:r>
      <w:r w:rsidR="000734E0">
        <w:rPr>
          <w:sz w:val="24"/>
          <w:szCs w:val="24"/>
        </w:rPr>
        <w:t xml:space="preserve"> before any ICM eligibility can be determined</w:t>
      </w:r>
      <w:r w:rsidR="009D5EBB">
        <w:rPr>
          <w:sz w:val="24"/>
          <w:szCs w:val="24"/>
        </w:rPr>
        <w:t>.</w:t>
      </w:r>
    </w:p>
    <w:p w:rsidR="005F19A2" w:rsidRDefault="005F19A2" w:rsidP="005F19A2">
      <w:pPr>
        <w:pStyle w:val="ListParagraph"/>
        <w:ind w:left="2520"/>
        <w:rPr>
          <w:sz w:val="24"/>
          <w:szCs w:val="24"/>
        </w:rPr>
      </w:pPr>
    </w:p>
    <w:p w:rsidR="00AF0A30" w:rsidRDefault="00220144" w:rsidP="00220144">
      <w:pPr>
        <w:pStyle w:val="ListParagraph"/>
        <w:numPr>
          <w:ilvl w:val="0"/>
          <w:numId w:val="5"/>
        </w:numPr>
        <w:rPr>
          <w:sz w:val="24"/>
          <w:szCs w:val="24"/>
        </w:rPr>
      </w:pPr>
      <w:r>
        <w:rPr>
          <w:sz w:val="24"/>
          <w:szCs w:val="24"/>
        </w:rPr>
        <w:t>There is no benefit accruing to ratepayers or the public interest as a whole to ignore the potential effect of a merger upon the need to initiate projects that may be</w:t>
      </w:r>
      <w:r w:rsidR="004570CE">
        <w:rPr>
          <w:sz w:val="24"/>
          <w:szCs w:val="24"/>
        </w:rPr>
        <w:t>come</w:t>
      </w:r>
      <w:r>
        <w:rPr>
          <w:sz w:val="24"/>
          <w:szCs w:val="24"/>
        </w:rPr>
        <w:t xml:space="preserve"> redundant when the merger is operational. The</w:t>
      </w:r>
      <w:r w:rsidR="007078A5">
        <w:rPr>
          <w:sz w:val="24"/>
          <w:szCs w:val="24"/>
        </w:rPr>
        <w:t xml:space="preserve">re appear to be obvious areas </w:t>
      </w:r>
      <w:r w:rsidR="005F19A2">
        <w:rPr>
          <w:sz w:val="24"/>
          <w:szCs w:val="24"/>
        </w:rPr>
        <w:t>in IT</w:t>
      </w:r>
      <w:r w:rsidR="003161D2">
        <w:rPr>
          <w:sz w:val="24"/>
          <w:szCs w:val="24"/>
        </w:rPr>
        <w:t>, billing systems,</w:t>
      </w:r>
      <w:r>
        <w:rPr>
          <w:sz w:val="24"/>
          <w:szCs w:val="24"/>
        </w:rPr>
        <w:t xml:space="preserve"> </w:t>
      </w:r>
      <w:r w:rsidR="007078A5">
        <w:rPr>
          <w:sz w:val="24"/>
          <w:szCs w:val="24"/>
        </w:rPr>
        <w:t>and general plant expenditures</w:t>
      </w:r>
      <w:r w:rsidR="004570CE">
        <w:rPr>
          <w:sz w:val="24"/>
          <w:szCs w:val="24"/>
        </w:rPr>
        <w:t xml:space="preserve"> to be</w:t>
      </w:r>
      <w:r w:rsidR="007078A5">
        <w:rPr>
          <w:sz w:val="24"/>
          <w:szCs w:val="24"/>
        </w:rPr>
        <w:t xml:space="preserve"> </w:t>
      </w:r>
      <w:r w:rsidR="00655179">
        <w:rPr>
          <w:sz w:val="24"/>
          <w:szCs w:val="24"/>
        </w:rPr>
        <w:t xml:space="preserve">made by Enersource </w:t>
      </w:r>
      <w:r w:rsidR="007078A5">
        <w:rPr>
          <w:sz w:val="24"/>
          <w:szCs w:val="24"/>
        </w:rPr>
        <w:t xml:space="preserve">where </w:t>
      </w:r>
      <w:r w:rsidR="007078A5">
        <w:rPr>
          <w:sz w:val="24"/>
          <w:szCs w:val="24"/>
        </w:rPr>
        <w:lastRenderedPageBreak/>
        <w:t>common sense might dictate</w:t>
      </w:r>
      <w:r w:rsidR="004570CE">
        <w:rPr>
          <w:sz w:val="24"/>
          <w:szCs w:val="24"/>
        </w:rPr>
        <w:t xml:space="preserve"> another course of action. R</w:t>
      </w:r>
      <w:r w:rsidR="007078A5">
        <w:rPr>
          <w:sz w:val="24"/>
          <w:szCs w:val="24"/>
        </w:rPr>
        <w:t>ather than invest in a capital expense</w:t>
      </w:r>
      <w:r w:rsidR="00655179">
        <w:rPr>
          <w:sz w:val="24"/>
          <w:szCs w:val="24"/>
        </w:rPr>
        <w:t xml:space="preserve"> </w:t>
      </w:r>
      <w:r w:rsidR="003161D2">
        <w:rPr>
          <w:sz w:val="24"/>
          <w:szCs w:val="24"/>
        </w:rPr>
        <w:t>for a project</w:t>
      </w:r>
      <w:r w:rsidR="004570CE">
        <w:rPr>
          <w:sz w:val="24"/>
          <w:szCs w:val="24"/>
        </w:rPr>
        <w:t>, perhaps</w:t>
      </w:r>
      <w:r w:rsidR="003161D2">
        <w:rPr>
          <w:sz w:val="24"/>
          <w:szCs w:val="24"/>
        </w:rPr>
        <w:t xml:space="preserve"> </w:t>
      </w:r>
      <w:r w:rsidR="00655179">
        <w:rPr>
          <w:sz w:val="24"/>
          <w:szCs w:val="24"/>
        </w:rPr>
        <w:t xml:space="preserve">the prudent choice would entail </w:t>
      </w:r>
      <w:r w:rsidR="004570CE">
        <w:rPr>
          <w:sz w:val="24"/>
          <w:szCs w:val="24"/>
        </w:rPr>
        <w:t xml:space="preserve">at least </w:t>
      </w:r>
      <w:r w:rsidR="00655179">
        <w:rPr>
          <w:sz w:val="24"/>
          <w:szCs w:val="24"/>
        </w:rPr>
        <w:t xml:space="preserve">an </w:t>
      </w:r>
      <w:r w:rsidR="005F19A2">
        <w:rPr>
          <w:sz w:val="24"/>
          <w:szCs w:val="24"/>
        </w:rPr>
        <w:t>inquiry</w:t>
      </w:r>
      <w:r w:rsidR="003161D2">
        <w:rPr>
          <w:sz w:val="24"/>
          <w:szCs w:val="24"/>
        </w:rPr>
        <w:t xml:space="preserve"> whether</w:t>
      </w:r>
      <w:r w:rsidR="005F19A2">
        <w:rPr>
          <w:sz w:val="24"/>
          <w:szCs w:val="24"/>
        </w:rPr>
        <w:t xml:space="preserve"> that</w:t>
      </w:r>
      <w:r w:rsidR="007078A5">
        <w:rPr>
          <w:sz w:val="24"/>
          <w:szCs w:val="24"/>
        </w:rPr>
        <w:t xml:space="preserve"> </w:t>
      </w:r>
      <w:r w:rsidR="004570CE">
        <w:rPr>
          <w:sz w:val="24"/>
          <w:szCs w:val="24"/>
        </w:rPr>
        <w:t xml:space="preserve">capability </w:t>
      </w:r>
      <w:r w:rsidR="007078A5">
        <w:rPr>
          <w:sz w:val="24"/>
          <w:szCs w:val="24"/>
        </w:rPr>
        <w:t xml:space="preserve">may be easily </w:t>
      </w:r>
      <w:r w:rsidR="003161D2">
        <w:rPr>
          <w:sz w:val="24"/>
          <w:szCs w:val="24"/>
        </w:rPr>
        <w:t>obtainable elsewhere in the</w:t>
      </w:r>
      <w:r w:rsidR="007078A5">
        <w:rPr>
          <w:sz w:val="24"/>
          <w:szCs w:val="24"/>
        </w:rPr>
        <w:t xml:space="preserve"> merged company</w:t>
      </w:r>
      <w:r w:rsidR="00655179">
        <w:rPr>
          <w:sz w:val="24"/>
          <w:szCs w:val="24"/>
        </w:rPr>
        <w:t>. It is difficult to support the commitment of ratepayer dollars to ICM projects when capital expenses could be avoided with</w:t>
      </w:r>
      <w:r w:rsidR="003161D2">
        <w:rPr>
          <w:sz w:val="24"/>
          <w:szCs w:val="24"/>
        </w:rPr>
        <w:t xml:space="preserve"> </w:t>
      </w:r>
      <w:r w:rsidR="009D5EBB">
        <w:rPr>
          <w:sz w:val="24"/>
          <w:szCs w:val="24"/>
        </w:rPr>
        <w:t>such due</w:t>
      </w:r>
      <w:r w:rsidR="00655179">
        <w:rPr>
          <w:sz w:val="24"/>
          <w:szCs w:val="24"/>
        </w:rPr>
        <w:t xml:space="preserve"> diligence.</w:t>
      </w:r>
    </w:p>
    <w:p w:rsidR="00655179" w:rsidRDefault="00655179" w:rsidP="00655179">
      <w:pPr>
        <w:pStyle w:val="ListParagraph"/>
        <w:ind w:left="1080"/>
        <w:rPr>
          <w:sz w:val="24"/>
          <w:szCs w:val="24"/>
        </w:rPr>
      </w:pPr>
    </w:p>
    <w:p w:rsidR="00AF0A30" w:rsidRDefault="00655179" w:rsidP="00AF0A30">
      <w:pPr>
        <w:pStyle w:val="ListParagraph"/>
        <w:numPr>
          <w:ilvl w:val="0"/>
          <w:numId w:val="5"/>
        </w:numPr>
        <w:rPr>
          <w:sz w:val="24"/>
          <w:szCs w:val="24"/>
        </w:rPr>
      </w:pPr>
      <w:r w:rsidRPr="00655179">
        <w:rPr>
          <w:sz w:val="24"/>
          <w:szCs w:val="24"/>
        </w:rPr>
        <w:t xml:space="preserve">VECC notes the importance of a true up of any </w:t>
      </w:r>
      <w:r w:rsidR="005F19A2" w:rsidRPr="00655179">
        <w:rPr>
          <w:sz w:val="24"/>
          <w:szCs w:val="24"/>
        </w:rPr>
        <w:t>expenditure</w:t>
      </w:r>
      <w:r w:rsidRPr="00655179">
        <w:rPr>
          <w:sz w:val="24"/>
          <w:szCs w:val="24"/>
        </w:rPr>
        <w:t xml:space="preserve"> incurred as part an ICM approval process which would</w:t>
      </w:r>
      <w:r w:rsidR="000734E0">
        <w:rPr>
          <w:sz w:val="24"/>
          <w:szCs w:val="24"/>
        </w:rPr>
        <w:t xml:space="preserve"> ultimately</w:t>
      </w:r>
      <w:r w:rsidRPr="00655179">
        <w:rPr>
          <w:sz w:val="24"/>
          <w:szCs w:val="24"/>
        </w:rPr>
        <w:t xml:space="preserve"> include a prudence review of any </w:t>
      </w:r>
      <w:r>
        <w:rPr>
          <w:sz w:val="24"/>
          <w:szCs w:val="24"/>
        </w:rPr>
        <w:t xml:space="preserve">overspending on ICM projects that have so qualified. VECC also </w:t>
      </w:r>
      <w:r w:rsidR="000734E0">
        <w:rPr>
          <w:sz w:val="24"/>
          <w:szCs w:val="24"/>
        </w:rPr>
        <w:t>n</w:t>
      </w:r>
      <w:r>
        <w:rPr>
          <w:sz w:val="24"/>
          <w:szCs w:val="24"/>
        </w:rPr>
        <w:t>otes the ability of Enersource to file a rebasing application in 2017 to incorporate its capital commitments that were not incorporated into rate base</w:t>
      </w:r>
      <w:r w:rsidR="003161D2">
        <w:rPr>
          <w:sz w:val="24"/>
          <w:szCs w:val="24"/>
        </w:rPr>
        <w:t xml:space="preserve"> </w:t>
      </w:r>
      <w:r w:rsidR="009D5EBB">
        <w:rPr>
          <w:sz w:val="24"/>
          <w:szCs w:val="24"/>
        </w:rPr>
        <w:t>request in</w:t>
      </w:r>
      <w:r>
        <w:rPr>
          <w:sz w:val="24"/>
          <w:szCs w:val="24"/>
        </w:rPr>
        <w:t xml:space="preserve"> its last rebasing application.</w:t>
      </w:r>
      <w:r w:rsidR="00AF0A30" w:rsidRPr="00655179">
        <w:rPr>
          <w:sz w:val="24"/>
          <w:szCs w:val="24"/>
        </w:rPr>
        <w:t xml:space="preserve"> </w:t>
      </w:r>
    </w:p>
    <w:p w:rsidR="00655179" w:rsidRPr="00655179" w:rsidRDefault="00655179" w:rsidP="00655179">
      <w:pPr>
        <w:pStyle w:val="ListParagraph"/>
        <w:rPr>
          <w:sz w:val="24"/>
          <w:szCs w:val="24"/>
        </w:rPr>
      </w:pPr>
    </w:p>
    <w:p w:rsidR="001C0525" w:rsidRDefault="001C0525" w:rsidP="00AF0A30">
      <w:pPr>
        <w:pStyle w:val="ListParagraph"/>
        <w:numPr>
          <w:ilvl w:val="0"/>
          <w:numId w:val="5"/>
        </w:numPr>
        <w:rPr>
          <w:sz w:val="24"/>
          <w:szCs w:val="24"/>
        </w:rPr>
      </w:pPr>
      <w:r>
        <w:rPr>
          <w:sz w:val="24"/>
          <w:szCs w:val="24"/>
        </w:rPr>
        <w:t xml:space="preserve">In VECC’s view, the exclusion of proposed ICM projects </w:t>
      </w:r>
      <w:r w:rsidR="005F19A2">
        <w:rPr>
          <w:sz w:val="24"/>
          <w:szCs w:val="24"/>
        </w:rPr>
        <w:t>as failing</w:t>
      </w:r>
      <w:r>
        <w:rPr>
          <w:sz w:val="24"/>
          <w:szCs w:val="24"/>
        </w:rPr>
        <w:t xml:space="preserve"> to conform to the Board’s criteria, as well as the rather inexplicable uptick in </w:t>
      </w:r>
      <w:r w:rsidR="00606AF9">
        <w:rPr>
          <w:sz w:val="24"/>
          <w:szCs w:val="24"/>
        </w:rPr>
        <w:t xml:space="preserve">costs caused by </w:t>
      </w:r>
      <w:r>
        <w:rPr>
          <w:sz w:val="24"/>
          <w:szCs w:val="24"/>
        </w:rPr>
        <w:t xml:space="preserve">the </w:t>
      </w:r>
      <w:r w:rsidR="005F19A2">
        <w:rPr>
          <w:sz w:val="24"/>
          <w:szCs w:val="24"/>
        </w:rPr>
        <w:t>pursuit of</w:t>
      </w:r>
      <w:r>
        <w:rPr>
          <w:sz w:val="24"/>
          <w:szCs w:val="24"/>
        </w:rPr>
        <w:t xml:space="preserve"> Enersource’s capital programs make it difficult to justify th</w:t>
      </w:r>
      <w:r w:rsidR="00606AF9">
        <w:rPr>
          <w:sz w:val="24"/>
          <w:szCs w:val="24"/>
        </w:rPr>
        <w:t>is</w:t>
      </w:r>
      <w:r>
        <w:rPr>
          <w:sz w:val="24"/>
          <w:szCs w:val="24"/>
        </w:rPr>
        <w:t xml:space="preserve"> application. The headlong ramp-</w:t>
      </w:r>
      <w:r w:rsidR="005F19A2">
        <w:rPr>
          <w:sz w:val="24"/>
          <w:szCs w:val="24"/>
        </w:rPr>
        <w:t>up of</w:t>
      </w:r>
      <w:r>
        <w:rPr>
          <w:sz w:val="24"/>
          <w:szCs w:val="24"/>
        </w:rPr>
        <w:t xml:space="preserve"> expenditures together with the incorporation of </w:t>
      </w:r>
      <w:r w:rsidR="009D5EBB">
        <w:rPr>
          <w:sz w:val="24"/>
          <w:szCs w:val="24"/>
        </w:rPr>
        <w:t>the out</w:t>
      </w:r>
      <w:r w:rsidR="003161D2">
        <w:rPr>
          <w:sz w:val="24"/>
          <w:szCs w:val="24"/>
        </w:rPr>
        <w:t xml:space="preserve">-of-period </w:t>
      </w:r>
      <w:r>
        <w:rPr>
          <w:sz w:val="24"/>
          <w:szCs w:val="24"/>
        </w:rPr>
        <w:t>CCRA associated with the Churchill Meadows TS would be best accomplished within the context of the 2017 rebasing of rates and not before</w:t>
      </w:r>
      <w:r w:rsidR="005F19A2">
        <w:rPr>
          <w:sz w:val="24"/>
          <w:szCs w:val="24"/>
        </w:rPr>
        <w:t>.</w:t>
      </w:r>
    </w:p>
    <w:p w:rsidR="001C0525" w:rsidRPr="001C0525" w:rsidRDefault="001C0525" w:rsidP="001C0525">
      <w:pPr>
        <w:pStyle w:val="ListParagraph"/>
        <w:rPr>
          <w:sz w:val="24"/>
          <w:szCs w:val="24"/>
        </w:rPr>
      </w:pPr>
    </w:p>
    <w:p w:rsidR="00655179" w:rsidRPr="00655179" w:rsidRDefault="001C0525" w:rsidP="00AF0A30">
      <w:pPr>
        <w:pStyle w:val="ListParagraph"/>
        <w:numPr>
          <w:ilvl w:val="0"/>
          <w:numId w:val="5"/>
        </w:numPr>
        <w:rPr>
          <w:sz w:val="24"/>
          <w:szCs w:val="24"/>
        </w:rPr>
      </w:pPr>
      <w:r>
        <w:rPr>
          <w:sz w:val="24"/>
          <w:szCs w:val="24"/>
        </w:rPr>
        <w:t xml:space="preserve">  </w:t>
      </w:r>
      <w:r w:rsidR="00655179">
        <w:rPr>
          <w:sz w:val="24"/>
          <w:szCs w:val="24"/>
        </w:rPr>
        <w:t>VECC</w:t>
      </w:r>
      <w:r>
        <w:rPr>
          <w:sz w:val="24"/>
          <w:szCs w:val="24"/>
        </w:rPr>
        <w:t xml:space="preserve"> requests the payment of 100% of its reasonable costs of its participation in this </w:t>
      </w:r>
      <w:r w:rsidR="005F19A2">
        <w:rPr>
          <w:sz w:val="24"/>
          <w:szCs w:val="24"/>
        </w:rPr>
        <w:t>proceeding.</w:t>
      </w:r>
    </w:p>
    <w:p w:rsidR="00097F61" w:rsidRPr="00097F61" w:rsidRDefault="00097F61" w:rsidP="00097F61">
      <w:pPr>
        <w:rPr>
          <w:sz w:val="24"/>
          <w:szCs w:val="24"/>
        </w:rPr>
      </w:pPr>
      <w:r>
        <w:rPr>
          <w:sz w:val="24"/>
          <w:szCs w:val="24"/>
        </w:rPr>
        <w:tab/>
      </w:r>
      <w:r>
        <w:rPr>
          <w:sz w:val="24"/>
          <w:szCs w:val="24"/>
        </w:rPr>
        <w:tab/>
      </w:r>
      <w:r>
        <w:rPr>
          <w:sz w:val="24"/>
          <w:szCs w:val="24"/>
        </w:rPr>
        <w:tab/>
      </w:r>
    </w:p>
    <w:p w:rsidR="00730434" w:rsidRPr="00730434" w:rsidRDefault="00730434" w:rsidP="00730434">
      <w:pPr>
        <w:pStyle w:val="ListParagraph"/>
        <w:rPr>
          <w:sz w:val="24"/>
          <w:szCs w:val="24"/>
        </w:rPr>
      </w:pPr>
    </w:p>
    <w:p w:rsidR="00730434" w:rsidRPr="00730434" w:rsidRDefault="00730434" w:rsidP="00730434">
      <w:pPr>
        <w:jc w:val="center"/>
        <w:rPr>
          <w:b/>
          <w:sz w:val="24"/>
          <w:szCs w:val="24"/>
        </w:rPr>
      </w:pPr>
      <w:r w:rsidRPr="00730434">
        <w:rPr>
          <w:b/>
          <w:sz w:val="24"/>
          <w:szCs w:val="24"/>
        </w:rPr>
        <w:t>***End of Document***</w:t>
      </w:r>
    </w:p>
    <w:p w:rsidR="00730434" w:rsidRPr="00730434" w:rsidRDefault="00730434" w:rsidP="00730434">
      <w:pPr>
        <w:rPr>
          <w:sz w:val="24"/>
          <w:szCs w:val="24"/>
        </w:rPr>
      </w:pPr>
    </w:p>
    <w:p w:rsidR="00730434" w:rsidRPr="00730434" w:rsidRDefault="00730434" w:rsidP="00730434">
      <w:pPr>
        <w:pStyle w:val="ListParagraph"/>
        <w:ind w:left="1080"/>
        <w:rPr>
          <w:sz w:val="24"/>
          <w:szCs w:val="24"/>
        </w:rPr>
      </w:pPr>
    </w:p>
    <w:sectPr w:rsidR="00730434" w:rsidRPr="00730434" w:rsidSect="00730434">
      <w:footerReference w:type="default" r:id="rId14"/>
      <w:pgSz w:w="12240" w:h="15840"/>
      <w:pgMar w:top="1440" w:right="1440" w:bottom="1440" w:left="1440" w:header="1440" w:footer="144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B75" w:rsidRDefault="004E5B75" w:rsidP="003726CC">
      <w:pPr>
        <w:spacing w:after="0" w:line="240" w:lineRule="auto"/>
      </w:pPr>
      <w:r>
        <w:separator/>
      </w:r>
    </w:p>
  </w:endnote>
  <w:endnote w:type="continuationSeparator" w:id="0">
    <w:p w:rsidR="004E5B75" w:rsidRDefault="004E5B75" w:rsidP="0037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10" w:rsidRDefault="00323310" w:rsidP="00323310">
    <w:pPr>
      <w:pStyle w:val="Footer"/>
    </w:pPr>
    <w:r w:rsidRPr="003726CC">
      <w:rPr>
        <w:sz w:val="20"/>
        <w:szCs w:val="20"/>
      </w:rPr>
      <w:t xml:space="preserve">1204-ONE Nicholas Street, Ottawa, ON K1N 7B7 Tel: 613-562-4002 Fax: 613-562-0007 </w:t>
    </w:r>
    <w:hyperlink r:id="rId1" w:history="1">
      <w:r w:rsidRPr="003726CC">
        <w:rPr>
          <w:rStyle w:val="Hyperlink"/>
          <w:sz w:val="20"/>
          <w:szCs w:val="20"/>
        </w:rPr>
        <w:t>piac@piac.ca</w:t>
      </w:r>
    </w:hyperlink>
    <w:r>
      <w:rPr>
        <w:sz w:val="20"/>
        <w:szCs w:val="20"/>
      </w:rPr>
      <w:t xml:space="preserve">  </w:t>
    </w:r>
    <w:r w:rsidRPr="003726CC">
      <w:rPr>
        <w:sz w:val="20"/>
        <w:szCs w:val="20"/>
      </w:rPr>
      <w:t xml:space="preserve"> </w:t>
    </w:r>
    <w:hyperlink r:id="rId2" w:history="1">
      <w:r w:rsidRPr="003726CC">
        <w:rPr>
          <w:rStyle w:val="Hyperlink"/>
          <w:sz w:val="20"/>
          <w:szCs w:val="20"/>
        </w:rPr>
        <w:t>www.piac.ca</w:t>
      </w:r>
    </w:hyperlink>
  </w:p>
  <w:p w:rsidR="00323310" w:rsidRPr="00685C3E" w:rsidRDefault="00323310" w:rsidP="00323310">
    <w:pPr>
      <w:pStyle w:val="Footer"/>
      <w:rPr>
        <w:sz w:val="18"/>
        <w:szCs w:val="18"/>
      </w:rPr>
    </w:pPr>
    <w:r w:rsidRPr="00685C3E">
      <w:rPr>
        <w:sz w:val="18"/>
        <w:szCs w:val="18"/>
      </w:rPr>
      <w:t>Michael Janigan</w:t>
    </w:r>
    <w:r>
      <w:rPr>
        <w:sz w:val="18"/>
        <w:szCs w:val="18"/>
      </w:rPr>
      <w:t xml:space="preserve"> -</w:t>
    </w:r>
    <w:r w:rsidRPr="00685C3E">
      <w:rPr>
        <w:sz w:val="18"/>
        <w:szCs w:val="18"/>
      </w:rPr>
      <w:t xml:space="preserve"> Direct: 31 Hills</w:t>
    </w:r>
    <w:r w:rsidR="00081587">
      <w:rPr>
        <w:sz w:val="18"/>
        <w:szCs w:val="18"/>
      </w:rPr>
      <w:t>dale</w:t>
    </w:r>
    <w:r w:rsidRPr="00685C3E">
      <w:rPr>
        <w:sz w:val="18"/>
        <w:szCs w:val="18"/>
      </w:rPr>
      <w:t xml:space="preserve"> Avenue E, Toronto, ON M4S 1T4 Tel: 416-840-3907 </w:t>
    </w:r>
    <w:hyperlink r:id="rId3" w:history="1">
      <w:r w:rsidRPr="00685C3E">
        <w:rPr>
          <w:rStyle w:val="Hyperlink"/>
          <w:sz w:val="18"/>
          <w:szCs w:val="18"/>
        </w:rPr>
        <w:t>mjanigan@piac.ca</w:t>
      </w:r>
    </w:hyperlink>
  </w:p>
  <w:p w:rsidR="00323310" w:rsidRDefault="00323310" w:rsidP="002C38BB">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844"/>
      <w:docPartObj>
        <w:docPartGallery w:val="Page Numbers (Bottom of Page)"/>
        <w:docPartUnique/>
      </w:docPartObj>
    </w:sdtPr>
    <w:sdtEndPr/>
    <w:sdtContent>
      <w:p w:rsidR="00DC2AAC" w:rsidRDefault="004E5B75">
        <w:pPr>
          <w:pStyle w:val="Footer"/>
          <w:jc w:val="right"/>
        </w:pPr>
        <w:r>
          <w:fldChar w:fldCharType="begin"/>
        </w:r>
        <w:r>
          <w:instrText xml:space="preserve"> PAGE   \* MERGEFORMAT </w:instrText>
        </w:r>
        <w:r>
          <w:fldChar w:fldCharType="separate"/>
        </w:r>
        <w:r w:rsidR="0034647A">
          <w:rPr>
            <w:noProof/>
          </w:rPr>
          <w:t>1</w:t>
        </w:r>
        <w:r>
          <w:rPr>
            <w:noProof/>
          </w:rPr>
          <w:fldChar w:fldCharType="end"/>
        </w:r>
      </w:p>
    </w:sdtContent>
  </w:sdt>
  <w:p w:rsidR="00DC2AAC" w:rsidRDefault="00DC2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845"/>
      <w:docPartObj>
        <w:docPartGallery w:val="Page Numbers (Bottom of Page)"/>
        <w:docPartUnique/>
      </w:docPartObj>
    </w:sdtPr>
    <w:sdtEndPr/>
    <w:sdtContent>
      <w:p w:rsidR="00DC2AAC" w:rsidRDefault="004E5B75">
        <w:pPr>
          <w:pStyle w:val="Footer"/>
          <w:jc w:val="right"/>
        </w:pPr>
        <w:r>
          <w:fldChar w:fldCharType="begin"/>
        </w:r>
        <w:r>
          <w:instrText xml:space="preserve"> PAGE   \* MERGEFORMAT </w:instrText>
        </w:r>
        <w:r>
          <w:fldChar w:fldCharType="separate"/>
        </w:r>
        <w:r w:rsidR="0034647A">
          <w:rPr>
            <w:noProof/>
          </w:rPr>
          <w:t>6</w:t>
        </w:r>
        <w:r>
          <w:rPr>
            <w:noProof/>
          </w:rPr>
          <w:fldChar w:fldCharType="end"/>
        </w:r>
      </w:p>
    </w:sdtContent>
  </w:sdt>
  <w:p w:rsidR="00323310" w:rsidRDefault="00323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B75" w:rsidRDefault="004E5B75" w:rsidP="003726CC">
      <w:pPr>
        <w:spacing w:after="0" w:line="240" w:lineRule="auto"/>
      </w:pPr>
      <w:r>
        <w:separator/>
      </w:r>
    </w:p>
  </w:footnote>
  <w:footnote w:type="continuationSeparator" w:id="0">
    <w:p w:rsidR="004E5B75" w:rsidRDefault="004E5B75" w:rsidP="003726CC">
      <w:pPr>
        <w:spacing w:after="0" w:line="240" w:lineRule="auto"/>
      </w:pPr>
      <w:r>
        <w:continuationSeparator/>
      </w:r>
    </w:p>
  </w:footnote>
  <w:footnote w:id="1">
    <w:p w:rsidR="004570CE" w:rsidRDefault="004570CE">
      <w:pPr>
        <w:pStyle w:val="FootnoteText"/>
      </w:pPr>
      <w:r>
        <w:rPr>
          <w:rStyle w:val="FootnoteReference"/>
        </w:rPr>
        <w:footnoteRef/>
      </w:r>
      <w:r>
        <w:t xml:space="preserve"> </w:t>
      </w:r>
      <w:r w:rsidRPr="004570CE">
        <w:t>EB-2014-0219 Report of the Board,  “New Policy Options for the Funding of Capital Investments: The Advanced Capital Module”, September 18, 2014</w:t>
      </w:r>
    </w:p>
  </w:footnote>
  <w:footnote w:id="2">
    <w:p w:rsidR="00730434" w:rsidRDefault="00730434" w:rsidP="00730434">
      <w:pPr>
        <w:pStyle w:val="FootnoteText"/>
      </w:pPr>
      <w:r>
        <w:rPr>
          <w:rStyle w:val="FootnoteReference"/>
        </w:rPr>
        <w:footnoteRef/>
      </w:r>
      <w:r w:rsidR="004570CE">
        <w:t xml:space="preserve">ACM Report, </w:t>
      </w:r>
      <w:r>
        <w:t>p.14</w:t>
      </w:r>
    </w:p>
  </w:footnote>
  <w:footnote w:id="3">
    <w:p w:rsidR="00730434" w:rsidRDefault="00730434" w:rsidP="00730434">
      <w:pPr>
        <w:pStyle w:val="FootnoteText"/>
      </w:pPr>
      <w:r>
        <w:rPr>
          <w:rStyle w:val="FootnoteReference"/>
        </w:rPr>
        <w:footnoteRef/>
      </w:r>
      <w:r>
        <w:t xml:space="preserve"> Toronto Hydro EB-2012-0064 , pp18.19</w:t>
      </w:r>
    </w:p>
  </w:footnote>
  <w:footnote w:id="4">
    <w:p w:rsidR="008179E5" w:rsidRDefault="008179E5">
      <w:pPr>
        <w:pStyle w:val="FootnoteText"/>
      </w:pPr>
      <w:r>
        <w:rPr>
          <w:rStyle w:val="FootnoteReference"/>
        </w:rPr>
        <w:footnoteRef/>
      </w:r>
      <w:r>
        <w:t xml:space="preserve"> TC Tr. p.</w:t>
      </w:r>
      <w:r w:rsidR="003161D2">
        <w:t>156</w:t>
      </w:r>
      <w:r>
        <w:t xml:space="preserve">  Enersource</w:t>
      </w:r>
      <w:r w:rsidR="003161D2">
        <w:t xml:space="preserve"> asserts that they</w:t>
      </w:r>
      <w:r>
        <w:t xml:space="preserve"> had apparently not ascertained the quantum of the Hydro One invoice</w:t>
      </w:r>
      <w:r w:rsidR="000734E0">
        <w:t xml:space="preserve"> or that they</w:t>
      </w:r>
      <w:r w:rsidR="003161D2">
        <w:t xml:space="preserve"> would be making a payment</w:t>
      </w:r>
    </w:p>
  </w:footnote>
  <w:footnote w:id="5">
    <w:p w:rsidR="00D03A15" w:rsidRDefault="00D03A15" w:rsidP="00D03A15">
      <w:pPr>
        <w:pStyle w:val="FootnoteText"/>
      </w:pPr>
      <w:r>
        <w:rPr>
          <w:rStyle w:val="FootnoteReference"/>
        </w:rPr>
        <w:footnoteRef/>
      </w:r>
      <w:r>
        <w:t xml:space="preserve"> Ex2/Tab2/Sch1/p11 of EB 2012-033 notes a $2,002</w:t>
      </w:r>
      <w:r w:rsidR="00D07DA8">
        <w:t>M</w:t>
      </w:r>
      <w:r>
        <w:t xml:space="preserve"> increase in expenditures related to reliability driven investments as a result of higher forecasted replacements of distribution system assets as</w:t>
      </w:r>
    </w:p>
    <w:p w:rsidR="00D03A15" w:rsidRDefault="00D03A15" w:rsidP="00D03A15">
      <w:pPr>
        <w:pStyle w:val="FootnoteText"/>
      </w:pPr>
      <w:r>
        <w:t xml:space="preserve">recommended by the AMP;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F3045E2"/>
    <w:multiLevelType w:val="hybridMultilevel"/>
    <w:tmpl w:val="E5DE30EA"/>
    <w:lvl w:ilvl="0" w:tplc="0409000F">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BE80C54"/>
    <w:multiLevelType w:val="hybridMultilevel"/>
    <w:tmpl w:val="FCD4D8C4"/>
    <w:lvl w:ilvl="0" w:tplc="6A8CF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68CC3036"/>
    <w:multiLevelType w:val="hybridMultilevel"/>
    <w:tmpl w:val="87068458"/>
    <w:lvl w:ilvl="0" w:tplc="9802F74C">
      <w:start w:val="1"/>
      <w:numFmt w:val="decimal"/>
      <w:lvlText w:val="%1."/>
      <w:lvlJc w:val="left"/>
      <w:pPr>
        <w:ind w:left="2220" w:hanging="360"/>
      </w:pPr>
      <w:rPr>
        <w:rFonts w:ascii="Times New Roman" w:eastAsiaTheme="minorHAnsi" w:hAnsi="Times New Roman" w:cs="Times New Roman"/>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7F582A30"/>
    <w:multiLevelType w:val="hybridMultilevel"/>
    <w:tmpl w:val="0FC66AEA"/>
    <w:lvl w:ilvl="0" w:tplc="813AFD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A"/>
    <w:rsid w:val="000471D7"/>
    <w:rsid w:val="000734E0"/>
    <w:rsid w:val="0007590A"/>
    <w:rsid w:val="00081587"/>
    <w:rsid w:val="00097F61"/>
    <w:rsid w:val="000F26E8"/>
    <w:rsid w:val="00167746"/>
    <w:rsid w:val="0016789E"/>
    <w:rsid w:val="001C0525"/>
    <w:rsid w:val="00220144"/>
    <w:rsid w:val="00257CBC"/>
    <w:rsid w:val="00290EE6"/>
    <w:rsid w:val="002B7923"/>
    <w:rsid w:val="002C38BB"/>
    <w:rsid w:val="00315FAD"/>
    <w:rsid w:val="003161D2"/>
    <w:rsid w:val="00323310"/>
    <w:rsid w:val="0034647A"/>
    <w:rsid w:val="003726CC"/>
    <w:rsid w:val="003862C7"/>
    <w:rsid w:val="00432723"/>
    <w:rsid w:val="0044695A"/>
    <w:rsid w:val="004570CE"/>
    <w:rsid w:val="0048404C"/>
    <w:rsid w:val="004E18D8"/>
    <w:rsid w:val="004E5B75"/>
    <w:rsid w:val="005046FB"/>
    <w:rsid w:val="00571B3B"/>
    <w:rsid w:val="005C51CF"/>
    <w:rsid w:val="005F19A2"/>
    <w:rsid w:val="00606AF9"/>
    <w:rsid w:val="00627D54"/>
    <w:rsid w:val="00655179"/>
    <w:rsid w:val="00685C3E"/>
    <w:rsid w:val="006F3AF8"/>
    <w:rsid w:val="00704AAE"/>
    <w:rsid w:val="007078A5"/>
    <w:rsid w:val="00720641"/>
    <w:rsid w:val="00730434"/>
    <w:rsid w:val="00756149"/>
    <w:rsid w:val="0077011D"/>
    <w:rsid w:val="007E4B3A"/>
    <w:rsid w:val="008179E5"/>
    <w:rsid w:val="00825078"/>
    <w:rsid w:val="009D5EBB"/>
    <w:rsid w:val="009F5665"/>
    <w:rsid w:val="00A71EEE"/>
    <w:rsid w:val="00AC1022"/>
    <w:rsid w:val="00AF0A30"/>
    <w:rsid w:val="00B679AF"/>
    <w:rsid w:val="00BD7568"/>
    <w:rsid w:val="00C0382E"/>
    <w:rsid w:val="00CB7DE5"/>
    <w:rsid w:val="00CC29E5"/>
    <w:rsid w:val="00CE7CC8"/>
    <w:rsid w:val="00CF26F9"/>
    <w:rsid w:val="00D03A15"/>
    <w:rsid w:val="00D07DA8"/>
    <w:rsid w:val="00D77D3A"/>
    <w:rsid w:val="00DB379A"/>
    <w:rsid w:val="00DB7D52"/>
    <w:rsid w:val="00DC2AAC"/>
    <w:rsid w:val="00DC67AB"/>
    <w:rsid w:val="00E0693C"/>
    <w:rsid w:val="00E52EE2"/>
    <w:rsid w:val="00E7506D"/>
    <w:rsid w:val="00E8618B"/>
    <w:rsid w:val="00F11FD2"/>
    <w:rsid w:val="00F122E1"/>
    <w:rsid w:val="00F52762"/>
    <w:rsid w:val="00F67762"/>
    <w:rsid w:val="00FA1451"/>
    <w:rsid w:val="00FC338A"/>
    <w:rsid w:val="00FD2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semiHidden/>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paragraph" w:styleId="FootnoteText">
    <w:name w:val="footnote text"/>
    <w:basedOn w:val="Normal"/>
    <w:link w:val="FootnoteTextChar"/>
    <w:uiPriority w:val="99"/>
    <w:semiHidden/>
    <w:unhideWhenUsed/>
    <w:rsid w:val="00730434"/>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3043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304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semiHidden/>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paragraph" w:styleId="FootnoteText">
    <w:name w:val="footnote text"/>
    <w:basedOn w:val="Normal"/>
    <w:link w:val="FootnoteTextChar"/>
    <w:uiPriority w:val="99"/>
    <w:semiHidden/>
    <w:unhideWhenUsed/>
    <w:rsid w:val="00730434"/>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3043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30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CE0386.FFA46D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mailto:mjanigan@piac.ca" TargetMode="External"/><Relationship Id="rId2" Type="http://schemas.openxmlformats.org/officeDocument/2006/relationships/hyperlink" Target="http://www.piac.ca" TargetMode="External"/><Relationship Id="rId1" Type="http://schemas.openxmlformats.org/officeDocument/2006/relationships/hyperlink" Target="mailto:piac@pi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BDF96-A449-4B24-924C-E5645E2D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1740</Words>
  <Characters>9921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dbrady</dc:creator>
  <cp:lastModifiedBy>Susi Vogt</cp:lastModifiedBy>
  <cp:revision>2</cp:revision>
  <cp:lastPrinted>2015-09-17T15:34:00Z</cp:lastPrinted>
  <dcterms:created xsi:type="dcterms:W3CDTF">2016-02-05T16:29:00Z</dcterms:created>
  <dcterms:modified xsi:type="dcterms:W3CDTF">2016-02-05T16:29:00Z</dcterms:modified>
</cp:coreProperties>
</file>