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51" w:rsidRDefault="00394351" w:rsidP="00394351">
      <w:pPr>
        <w:jc w:val="center"/>
        <w:rPr>
          <w:rFonts w:ascii="Arial" w:hAnsi="Arial" w:cs="Arial"/>
          <w:b/>
          <w:sz w:val="28"/>
          <w:szCs w:val="28"/>
        </w:rPr>
      </w:pPr>
      <w:bookmarkStart w:id="0" w:name="_GoBack"/>
      <w:bookmarkEnd w:id="0"/>
      <w:r>
        <w:rPr>
          <w:rFonts w:ascii="Arial" w:hAnsi="Arial" w:cs="Arial"/>
          <w:b/>
          <w:sz w:val="28"/>
          <w:szCs w:val="28"/>
        </w:rPr>
        <w:t xml:space="preserve">2016 Price Cap IR Application </w:t>
      </w:r>
      <w:r w:rsidR="00D0773D">
        <w:rPr>
          <w:rFonts w:ascii="Arial" w:hAnsi="Arial" w:cs="Arial"/>
          <w:b/>
          <w:sz w:val="28"/>
          <w:szCs w:val="28"/>
        </w:rPr>
        <w:t>(EB-2015-0101</w:t>
      </w:r>
      <w:r w:rsidRPr="00394351">
        <w:rPr>
          <w:rFonts w:ascii="Arial" w:hAnsi="Arial" w:cs="Arial"/>
          <w:b/>
          <w:sz w:val="28"/>
          <w:szCs w:val="28"/>
        </w:rPr>
        <w:t>)</w:t>
      </w:r>
    </w:p>
    <w:p w:rsidR="00394351" w:rsidRDefault="004E3268" w:rsidP="00394351">
      <w:pPr>
        <w:jc w:val="center"/>
        <w:rPr>
          <w:rFonts w:ascii="Arial" w:hAnsi="Arial" w:cs="Arial"/>
          <w:b/>
          <w:sz w:val="28"/>
          <w:szCs w:val="28"/>
        </w:rPr>
      </w:pPr>
      <w:r>
        <w:rPr>
          <w:rFonts w:ascii="Arial" w:hAnsi="Arial" w:cs="Arial"/>
          <w:b/>
          <w:sz w:val="28"/>
          <w:szCs w:val="28"/>
        </w:rPr>
        <w:t xml:space="preserve">Response to </w:t>
      </w:r>
      <w:r w:rsidR="00394351" w:rsidRPr="00394351">
        <w:rPr>
          <w:rFonts w:ascii="Arial" w:hAnsi="Arial" w:cs="Arial"/>
          <w:b/>
          <w:sz w:val="28"/>
          <w:szCs w:val="28"/>
        </w:rPr>
        <w:t>Application Analysis</w:t>
      </w:r>
      <w:r>
        <w:rPr>
          <w:rFonts w:ascii="Arial" w:hAnsi="Arial" w:cs="Arial"/>
          <w:b/>
          <w:sz w:val="28"/>
          <w:szCs w:val="28"/>
        </w:rPr>
        <w:t xml:space="preserve"> </w:t>
      </w:r>
    </w:p>
    <w:p w:rsidR="004E3268" w:rsidRDefault="004E3268" w:rsidP="00394351">
      <w:pPr>
        <w:jc w:val="center"/>
        <w:rPr>
          <w:rFonts w:ascii="Arial" w:hAnsi="Arial" w:cs="Arial"/>
          <w:b/>
          <w:sz w:val="28"/>
          <w:szCs w:val="28"/>
        </w:rPr>
      </w:pPr>
      <w:r>
        <w:rPr>
          <w:rFonts w:ascii="Arial" w:hAnsi="Arial" w:cs="Arial"/>
          <w:b/>
          <w:sz w:val="28"/>
          <w:szCs w:val="28"/>
        </w:rPr>
        <w:t>And Interrogatories</w:t>
      </w:r>
    </w:p>
    <w:p w:rsidR="00634992" w:rsidRPr="00634992" w:rsidRDefault="00D0773D" w:rsidP="00394351">
      <w:pPr>
        <w:jc w:val="center"/>
        <w:rPr>
          <w:rFonts w:ascii="Arial" w:hAnsi="Arial" w:cs="Arial"/>
          <w:b/>
          <w:sz w:val="24"/>
          <w:szCs w:val="28"/>
        </w:rPr>
      </w:pPr>
      <w:r>
        <w:rPr>
          <w:rFonts w:ascii="Arial" w:hAnsi="Arial" w:cs="Arial"/>
          <w:b/>
          <w:sz w:val="24"/>
          <w:szCs w:val="28"/>
        </w:rPr>
        <w:t xml:space="preserve">November </w:t>
      </w:r>
      <w:r w:rsidR="007E0DF5">
        <w:rPr>
          <w:rFonts w:ascii="Arial" w:hAnsi="Arial" w:cs="Arial"/>
          <w:b/>
          <w:sz w:val="24"/>
          <w:szCs w:val="28"/>
        </w:rPr>
        <w:t>20</w:t>
      </w:r>
      <w:r w:rsidR="00634992" w:rsidRPr="00634992">
        <w:rPr>
          <w:rFonts w:ascii="Arial" w:hAnsi="Arial" w:cs="Arial"/>
          <w:b/>
          <w:sz w:val="24"/>
          <w:szCs w:val="28"/>
        </w:rPr>
        <w:t>, 2015</w:t>
      </w:r>
    </w:p>
    <w:p w:rsidR="00394351" w:rsidRDefault="00394351" w:rsidP="00394351">
      <w:pPr>
        <w:rPr>
          <w:rFonts w:ascii="Arial" w:hAnsi="Arial" w:cs="Arial"/>
          <w:b/>
          <w:sz w:val="24"/>
          <w:szCs w:val="24"/>
        </w:rPr>
      </w:pPr>
    </w:p>
    <w:p w:rsidR="00E6651E" w:rsidRPr="00E6651E" w:rsidRDefault="00E6651E" w:rsidP="0032442F">
      <w:pPr>
        <w:rPr>
          <w:rFonts w:ascii="Arial" w:hAnsi="Arial" w:cs="Arial"/>
          <w:b/>
          <w:sz w:val="28"/>
          <w:szCs w:val="24"/>
          <w:u w:val="single"/>
        </w:rPr>
      </w:pPr>
      <w:r w:rsidRPr="00E6651E">
        <w:rPr>
          <w:rFonts w:ascii="Arial" w:hAnsi="Arial" w:cs="Arial"/>
          <w:b/>
          <w:sz w:val="28"/>
          <w:szCs w:val="24"/>
          <w:u w:val="single"/>
        </w:rPr>
        <w:t>Interrogatories</w:t>
      </w:r>
    </w:p>
    <w:p w:rsidR="00464D00" w:rsidRDefault="00464D00" w:rsidP="0032442F">
      <w:pPr>
        <w:rPr>
          <w:rFonts w:ascii="Arial" w:hAnsi="Arial" w:cs="Arial"/>
          <w:b/>
          <w:sz w:val="24"/>
          <w:szCs w:val="24"/>
        </w:rPr>
      </w:pPr>
      <w:r>
        <w:rPr>
          <w:rFonts w:ascii="Arial" w:hAnsi="Arial" w:cs="Arial"/>
          <w:b/>
          <w:sz w:val="24"/>
          <w:szCs w:val="24"/>
        </w:rPr>
        <w:t xml:space="preserve">Interrogatory #1 </w:t>
      </w:r>
    </w:p>
    <w:p w:rsidR="00F72F89" w:rsidRDefault="00DD09DC" w:rsidP="0001354E">
      <w:pPr>
        <w:rPr>
          <w:rFonts w:ascii="Arial" w:hAnsi="Arial" w:cs="Arial"/>
          <w:b/>
          <w:sz w:val="24"/>
          <w:szCs w:val="24"/>
        </w:rPr>
      </w:pPr>
      <w:r>
        <w:rPr>
          <w:rFonts w:ascii="Arial" w:hAnsi="Arial" w:cs="Arial"/>
          <w:b/>
          <w:sz w:val="24"/>
          <w:szCs w:val="24"/>
        </w:rPr>
        <w:t>IRM Model – Ta</w:t>
      </w:r>
      <w:r w:rsidR="00EC26AE">
        <w:rPr>
          <w:rFonts w:ascii="Arial" w:hAnsi="Arial" w:cs="Arial"/>
          <w:b/>
          <w:sz w:val="24"/>
          <w:szCs w:val="24"/>
        </w:rPr>
        <w:t>b 3: 2015 Continuity Schedule – 2012 Closing Principal</w:t>
      </w:r>
    </w:p>
    <w:p w:rsidR="00EC26AE" w:rsidRDefault="00EC26AE" w:rsidP="0001354E">
      <w:pPr>
        <w:rPr>
          <w:rFonts w:ascii="Arial" w:hAnsi="Arial" w:cs="Arial"/>
          <w:sz w:val="24"/>
          <w:szCs w:val="24"/>
        </w:rPr>
      </w:pPr>
      <w:r>
        <w:rPr>
          <w:rFonts w:ascii="Arial" w:hAnsi="Arial" w:cs="Arial"/>
          <w:sz w:val="24"/>
          <w:szCs w:val="24"/>
        </w:rPr>
        <w:t>The Closing Principal in 2012 in Account 1595 (2011) has a credit balance of $136,254 in the 2016 IRM model Sioux Lookout Hydro filed. However, the same account had a credit balance of $138,243 on the final rate model in Sioux Lookout Hydro’s 2015 rate application (EB-2014-0112). The variance between the two balances is $1,989.</w:t>
      </w:r>
    </w:p>
    <w:p w:rsidR="00EC26AE" w:rsidRDefault="003A7960" w:rsidP="003A7960">
      <w:pPr>
        <w:pStyle w:val="ListParagraph"/>
        <w:numPr>
          <w:ilvl w:val="0"/>
          <w:numId w:val="10"/>
        </w:numPr>
        <w:rPr>
          <w:rFonts w:ascii="Arial" w:hAnsi="Arial" w:cs="Arial"/>
          <w:sz w:val="24"/>
          <w:szCs w:val="24"/>
        </w:rPr>
      </w:pPr>
      <w:r>
        <w:rPr>
          <w:rFonts w:ascii="Arial" w:hAnsi="Arial" w:cs="Arial"/>
          <w:sz w:val="24"/>
          <w:szCs w:val="24"/>
        </w:rPr>
        <w:t xml:space="preserve">Please review the </w:t>
      </w:r>
      <w:r w:rsidR="00EC0C97">
        <w:rPr>
          <w:rFonts w:ascii="Arial" w:hAnsi="Arial" w:cs="Arial"/>
          <w:sz w:val="24"/>
          <w:szCs w:val="24"/>
        </w:rPr>
        <w:t>balance of account 1595 (2011) – 2012 closing principal,</w:t>
      </w:r>
      <w:r>
        <w:rPr>
          <w:rFonts w:ascii="Arial" w:hAnsi="Arial" w:cs="Arial"/>
          <w:sz w:val="24"/>
          <w:szCs w:val="24"/>
        </w:rPr>
        <w:t xml:space="preserve"> and </w:t>
      </w:r>
      <w:r w:rsidR="00EC0C97">
        <w:rPr>
          <w:rFonts w:ascii="Arial" w:hAnsi="Arial" w:cs="Arial"/>
          <w:sz w:val="24"/>
          <w:szCs w:val="24"/>
        </w:rPr>
        <w:t>confirm the correct balance of this account</w:t>
      </w:r>
      <w:r>
        <w:rPr>
          <w:rFonts w:ascii="Arial" w:hAnsi="Arial" w:cs="Arial"/>
          <w:sz w:val="24"/>
          <w:szCs w:val="24"/>
        </w:rPr>
        <w:t>.</w:t>
      </w:r>
      <w:r w:rsidR="00EC0C97">
        <w:rPr>
          <w:rFonts w:ascii="Arial" w:hAnsi="Arial" w:cs="Arial"/>
          <w:sz w:val="24"/>
          <w:szCs w:val="24"/>
        </w:rPr>
        <w:t xml:space="preserve"> OEB staff will update the model.</w:t>
      </w:r>
    </w:p>
    <w:p w:rsidR="001E069B" w:rsidRDefault="001E069B" w:rsidP="001E069B">
      <w:pPr>
        <w:pStyle w:val="ListParagraph"/>
        <w:ind w:left="780"/>
        <w:rPr>
          <w:rFonts w:ascii="Arial" w:hAnsi="Arial" w:cs="Arial"/>
          <w:sz w:val="24"/>
          <w:szCs w:val="24"/>
        </w:rPr>
      </w:pPr>
    </w:p>
    <w:p w:rsidR="003A7960" w:rsidRDefault="005216D6" w:rsidP="003A7960">
      <w:pPr>
        <w:pStyle w:val="ListParagraph"/>
        <w:numPr>
          <w:ilvl w:val="0"/>
          <w:numId w:val="10"/>
        </w:numPr>
        <w:rPr>
          <w:rFonts w:ascii="Arial" w:hAnsi="Arial" w:cs="Arial"/>
          <w:sz w:val="24"/>
          <w:szCs w:val="24"/>
        </w:rPr>
      </w:pPr>
      <w:r>
        <w:rPr>
          <w:rFonts w:ascii="Arial" w:hAnsi="Arial" w:cs="Arial"/>
          <w:sz w:val="24"/>
          <w:szCs w:val="24"/>
        </w:rPr>
        <w:t>If the correct account balance is different than the credit balance of $138,243 shown on 2015 final rate model, please explain why there is a discrepancy.</w:t>
      </w:r>
    </w:p>
    <w:p w:rsidR="001E069B" w:rsidRPr="001E069B" w:rsidRDefault="001E069B" w:rsidP="001E069B">
      <w:pPr>
        <w:pStyle w:val="ListParagraph"/>
        <w:rPr>
          <w:rFonts w:ascii="Arial" w:hAnsi="Arial" w:cs="Arial"/>
          <w:sz w:val="24"/>
          <w:szCs w:val="24"/>
        </w:rPr>
      </w:pPr>
    </w:p>
    <w:p w:rsidR="001E069B" w:rsidRPr="003A7960" w:rsidRDefault="005216D6" w:rsidP="003A7960">
      <w:pPr>
        <w:pStyle w:val="ListParagraph"/>
        <w:numPr>
          <w:ilvl w:val="0"/>
          <w:numId w:val="10"/>
        </w:numPr>
        <w:rPr>
          <w:rFonts w:ascii="Arial" w:hAnsi="Arial" w:cs="Arial"/>
          <w:sz w:val="24"/>
          <w:szCs w:val="24"/>
        </w:rPr>
      </w:pPr>
      <w:r>
        <w:rPr>
          <w:rFonts w:ascii="Arial" w:hAnsi="Arial" w:cs="Arial"/>
          <w:sz w:val="24"/>
          <w:szCs w:val="24"/>
        </w:rPr>
        <w:t>After the correction in part a), if there is a variance between RRR data and 2014 year-end balance (column BA on Tab 3) in account 1595 (2011), please provide explanation for the variance.</w:t>
      </w:r>
    </w:p>
    <w:p w:rsidR="00DD09DC" w:rsidRDefault="00DD09DC" w:rsidP="0001354E">
      <w:pPr>
        <w:rPr>
          <w:rFonts w:ascii="Arial" w:hAnsi="Arial" w:cs="Arial"/>
          <w:b/>
          <w:sz w:val="24"/>
          <w:szCs w:val="24"/>
        </w:rPr>
      </w:pPr>
    </w:p>
    <w:p w:rsidR="00DD09DC" w:rsidRDefault="00DD09DC" w:rsidP="0001354E">
      <w:pPr>
        <w:rPr>
          <w:rFonts w:ascii="Arial" w:hAnsi="Arial" w:cs="Arial"/>
          <w:b/>
          <w:sz w:val="24"/>
          <w:szCs w:val="24"/>
        </w:rPr>
      </w:pPr>
      <w:r>
        <w:rPr>
          <w:noProof/>
          <w:lang w:eastAsia="en-CA"/>
        </w:rPr>
        <w:lastRenderedPageBreak/>
        <w:drawing>
          <wp:inline distT="0" distB="0" distL="0" distR="0">
            <wp:extent cx="5810250" cy="4334003"/>
            <wp:effectExtent l="0" t="0" r="0" b="9525"/>
            <wp:docPr id="2" name="Picture 2" descr="C:\Users\wangka\AppData\Local\Temp\SNAGHTML29fe5c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ngka\AppData\Local\Temp\SNAGHTML29fe5ce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663" cy="4342516"/>
                    </a:xfrm>
                    <a:prstGeom prst="rect">
                      <a:avLst/>
                    </a:prstGeom>
                    <a:noFill/>
                    <a:ln>
                      <a:noFill/>
                    </a:ln>
                  </pic:spPr>
                </pic:pic>
              </a:graphicData>
            </a:graphic>
          </wp:inline>
        </w:drawing>
      </w:r>
    </w:p>
    <w:p w:rsidR="00B314F3" w:rsidRDefault="00B314F3" w:rsidP="0001354E">
      <w:pPr>
        <w:rPr>
          <w:rFonts w:ascii="Arial" w:hAnsi="Arial" w:cs="Arial"/>
          <w:b/>
          <w:sz w:val="24"/>
          <w:szCs w:val="24"/>
        </w:rPr>
      </w:pPr>
    </w:p>
    <w:p w:rsidR="004E3268" w:rsidRPr="007E0DF5" w:rsidRDefault="004E3268" w:rsidP="0001354E">
      <w:pPr>
        <w:rPr>
          <w:rFonts w:ascii="Arial" w:hAnsi="Arial" w:cs="Arial"/>
          <w:b/>
          <w:i/>
          <w:sz w:val="24"/>
          <w:szCs w:val="24"/>
        </w:rPr>
      </w:pPr>
      <w:r w:rsidRPr="007E0DF5">
        <w:rPr>
          <w:rFonts w:ascii="Arial" w:hAnsi="Arial" w:cs="Arial"/>
          <w:b/>
          <w:i/>
          <w:sz w:val="24"/>
          <w:szCs w:val="24"/>
        </w:rPr>
        <w:t>Response</w:t>
      </w:r>
    </w:p>
    <w:p w:rsidR="004A2AA2" w:rsidRPr="007E0DF5" w:rsidRDefault="004A2AA2" w:rsidP="004A2AA2">
      <w:pPr>
        <w:rPr>
          <w:rFonts w:ascii="Arial" w:hAnsi="Arial" w:cs="Arial"/>
          <w:i/>
          <w:sz w:val="24"/>
          <w:szCs w:val="24"/>
        </w:rPr>
      </w:pPr>
      <w:r w:rsidRPr="007E0DF5">
        <w:rPr>
          <w:rFonts w:ascii="Arial" w:hAnsi="Arial" w:cs="Arial"/>
          <w:i/>
          <w:sz w:val="24"/>
          <w:szCs w:val="24"/>
        </w:rPr>
        <w:t xml:space="preserve">a), b) and c) </w:t>
      </w:r>
    </w:p>
    <w:p w:rsidR="004D5177" w:rsidRPr="00196AFC" w:rsidRDefault="004E3268" w:rsidP="004A2AA2">
      <w:pPr>
        <w:rPr>
          <w:rFonts w:ascii="Arial" w:hAnsi="Arial" w:cs="Arial"/>
          <w:i/>
          <w:sz w:val="24"/>
          <w:szCs w:val="24"/>
          <w:u w:val="single"/>
        </w:rPr>
      </w:pPr>
      <w:r w:rsidRPr="007E0DF5">
        <w:rPr>
          <w:rFonts w:ascii="Arial" w:hAnsi="Arial" w:cs="Arial"/>
          <w:i/>
          <w:sz w:val="24"/>
          <w:szCs w:val="24"/>
        </w:rPr>
        <w:t>Upon reviewing the</w:t>
      </w:r>
      <w:r w:rsidR="00BA4DBB" w:rsidRPr="007E0DF5">
        <w:rPr>
          <w:rFonts w:ascii="Arial" w:hAnsi="Arial" w:cs="Arial"/>
          <w:i/>
          <w:sz w:val="24"/>
          <w:szCs w:val="24"/>
        </w:rPr>
        <w:t xml:space="preserve"> 2012 closing</w:t>
      </w:r>
      <w:r w:rsidRPr="007E0DF5">
        <w:rPr>
          <w:rFonts w:ascii="Arial" w:hAnsi="Arial" w:cs="Arial"/>
          <w:i/>
          <w:sz w:val="24"/>
          <w:szCs w:val="24"/>
        </w:rPr>
        <w:t xml:space="preserve"> ba</w:t>
      </w:r>
      <w:r w:rsidR="00BA4DBB" w:rsidRPr="007E0DF5">
        <w:rPr>
          <w:rFonts w:ascii="Arial" w:hAnsi="Arial" w:cs="Arial"/>
          <w:i/>
          <w:sz w:val="24"/>
          <w:szCs w:val="24"/>
        </w:rPr>
        <w:t xml:space="preserve">lance of account 1595(2011) it was found that the variance of $1,989 was the amount of the shared tax savings from decision EB-2010-0114. This amount was </w:t>
      </w:r>
      <w:r w:rsidR="004A2AA2" w:rsidRPr="007E0DF5">
        <w:rPr>
          <w:rFonts w:ascii="Arial" w:hAnsi="Arial" w:cs="Arial"/>
          <w:i/>
          <w:sz w:val="24"/>
          <w:szCs w:val="24"/>
        </w:rPr>
        <w:t xml:space="preserve">correctly </w:t>
      </w:r>
      <w:r w:rsidR="00BA4DBB" w:rsidRPr="007E0DF5">
        <w:rPr>
          <w:rFonts w:ascii="Arial" w:hAnsi="Arial" w:cs="Arial"/>
          <w:i/>
          <w:sz w:val="24"/>
          <w:szCs w:val="24"/>
        </w:rPr>
        <w:t xml:space="preserve">reported in account 1595(2011) in 2011 and 2012. It was </w:t>
      </w:r>
      <w:r w:rsidR="00BA4DBB" w:rsidRPr="007E0DF5">
        <w:rPr>
          <w:rFonts w:ascii="Arial" w:hAnsi="Arial" w:cs="Arial"/>
          <w:i/>
          <w:sz w:val="24"/>
          <w:szCs w:val="24"/>
          <w:u w:val="single"/>
        </w:rPr>
        <w:t>incorrectly reported</w:t>
      </w:r>
      <w:r w:rsidR="00BA4DBB" w:rsidRPr="007E0DF5">
        <w:rPr>
          <w:rFonts w:ascii="Arial" w:hAnsi="Arial" w:cs="Arial"/>
          <w:i/>
          <w:sz w:val="24"/>
          <w:szCs w:val="24"/>
        </w:rPr>
        <w:t xml:space="preserve"> for the </w:t>
      </w:r>
      <w:r w:rsidR="00CC73B6" w:rsidRPr="007E0DF5">
        <w:rPr>
          <w:rFonts w:ascii="Arial" w:hAnsi="Arial" w:cs="Arial"/>
          <w:i/>
          <w:sz w:val="24"/>
          <w:szCs w:val="24"/>
          <w:u w:val="single"/>
        </w:rPr>
        <w:t xml:space="preserve">2.1.1 </w:t>
      </w:r>
      <w:r w:rsidR="00BA4DBB" w:rsidRPr="007E0DF5">
        <w:rPr>
          <w:rFonts w:ascii="Arial" w:hAnsi="Arial" w:cs="Arial"/>
          <w:i/>
          <w:sz w:val="24"/>
          <w:szCs w:val="24"/>
          <w:u w:val="single"/>
        </w:rPr>
        <w:t xml:space="preserve">RRR filings in account 1595(2012) </w:t>
      </w:r>
      <w:r w:rsidR="00BA4DBB" w:rsidRPr="00196AFC">
        <w:rPr>
          <w:rFonts w:ascii="Arial" w:hAnsi="Arial" w:cs="Arial"/>
          <w:i/>
          <w:sz w:val="24"/>
          <w:szCs w:val="24"/>
          <w:u w:val="single"/>
        </w:rPr>
        <w:t>in 2013 and 2014</w:t>
      </w:r>
      <w:r w:rsidR="00CC73B6" w:rsidRPr="00196AFC">
        <w:rPr>
          <w:rFonts w:ascii="Arial" w:hAnsi="Arial" w:cs="Arial"/>
          <w:i/>
          <w:sz w:val="24"/>
          <w:szCs w:val="24"/>
          <w:u w:val="single"/>
        </w:rPr>
        <w:t xml:space="preserve">. </w:t>
      </w:r>
    </w:p>
    <w:p w:rsidR="004D5177" w:rsidRPr="007E0DF5" w:rsidRDefault="00CC73B6" w:rsidP="004A2AA2">
      <w:pPr>
        <w:rPr>
          <w:rFonts w:ascii="Arial" w:hAnsi="Arial" w:cs="Arial"/>
          <w:i/>
          <w:sz w:val="24"/>
          <w:szCs w:val="24"/>
        </w:rPr>
      </w:pPr>
      <w:r w:rsidRPr="007E0DF5">
        <w:rPr>
          <w:rFonts w:ascii="Arial" w:hAnsi="Arial" w:cs="Arial"/>
          <w:i/>
          <w:sz w:val="24"/>
          <w:szCs w:val="24"/>
        </w:rPr>
        <w:t xml:space="preserve">The 2015 IRM Model has the value reported under the 2.1.7 December 31, 2013 column for account 1595(2011) as </w:t>
      </w:r>
      <w:r w:rsidR="004D5177" w:rsidRPr="007E0DF5">
        <w:rPr>
          <w:rFonts w:ascii="Arial" w:hAnsi="Arial" w:cs="Arial"/>
          <w:i/>
          <w:sz w:val="24"/>
          <w:szCs w:val="24"/>
        </w:rPr>
        <w:t>$</w:t>
      </w:r>
      <w:r w:rsidRPr="007E0DF5">
        <w:rPr>
          <w:rFonts w:ascii="Arial" w:hAnsi="Arial" w:cs="Arial"/>
          <w:i/>
          <w:sz w:val="24"/>
          <w:szCs w:val="24"/>
        </w:rPr>
        <w:t xml:space="preserve">(148,361). The value reported for December 31, 2013 in the 2.1.1 reporting is </w:t>
      </w:r>
      <w:r w:rsidR="004D5177" w:rsidRPr="007E0DF5">
        <w:rPr>
          <w:rFonts w:ascii="Arial" w:hAnsi="Arial" w:cs="Arial"/>
          <w:i/>
          <w:sz w:val="24"/>
          <w:szCs w:val="24"/>
        </w:rPr>
        <w:t>$</w:t>
      </w:r>
      <w:r w:rsidRPr="007E0DF5">
        <w:rPr>
          <w:rFonts w:ascii="Arial" w:hAnsi="Arial" w:cs="Arial"/>
          <w:i/>
          <w:sz w:val="24"/>
          <w:szCs w:val="24"/>
        </w:rPr>
        <w:t>(146,371) which includes the adjustment where the $</w:t>
      </w:r>
      <w:r w:rsidR="004D5177" w:rsidRPr="007E0DF5">
        <w:rPr>
          <w:rFonts w:ascii="Arial" w:hAnsi="Arial" w:cs="Arial"/>
          <w:i/>
          <w:sz w:val="24"/>
          <w:szCs w:val="24"/>
        </w:rPr>
        <w:t>(</w:t>
      </w:r>
      <w:r w:rsidRPr="007E0DF5">
        <w:rPr>
          <w:rFonts w:ascii="Arial" w:hAnsi="Arial" w:cs="Arial"/>
          <w:i/>
          <w:sz w:val="24"/>
          <w:szCs w:val="24"/>
        </w:rPr>
        <w:t>1,989</w:t>
      </w:r>
      <w:r w:rsidR="004D5177" w:rsidRPr="007E0DF5">
        <w:rPr>
          <w:rFonts w:ascii="Arial" w:hAnsi="Arial" w:cs="Arial"/>
          <w:i/>
          <w:sz w:val="24"/>
          <w:szCs w:val="24"/>
        </w:rPr>
        <w:t>)</w:t>
      </w:r>
      <w:r w:rsidRPr="007E0DF5">
        <w:rPr>
          <w:rFonts w:ascii="Arial" w:hAnsi="Arial" w:cs="Arial"/>
          <w:i/>
          <w:sz w:val="24"/>
          <w:szCs w:val="24"/>
        </w:rPr>
        <w:t xml:space="preserve"> was erroneously transferred from account 1595(2011) to account 1595(2012). Since </w:t>
      </w:r>
      <w:r w:rsidR="004A2AA2" w:rsidRPr="007E0DF5">
        <w:rPr>
          <w:rFonts w:ascii="Arial" w:hAnsi="Arial" w:cs="Arial"/>
          <w:i/>
          <w:sz w:val="24"/>
          <w:szCs w:val="24"/>
        </w:rPr>
        <w:t xml:space="preserve">the </w:t>
      </w:r>
      <w:r w:rsidRPr="007E0DF5">
        <w:rPr>
          <w:rFonts w:ascii="Arial" w:hAnsi="Arial" w:cs="Arial"/>
          <w:i/>
          <w:sz w:val="24"/>
          <w:szCs w:val="24"/>
        </w:rPr>
        <w:t xml:space="preserve">2.1.7 </w:t>
      </w:r>
      <w:r w:rsidR="004A2AA2" w:rsidRPr="007E0DF5">
        <w:rPr>
          <w:rFonts w:ascii="Arial" w:hAnsi="Arial" w:cs="Arial"/>
          <w:i/>
          <w:sz w:val="24"/>
          <w:szCs w:val="24"/>
        </w:rPr>
        <w:t xml:space="preserve">filing for 2013 </w:t>
      </w:r>
      <w:r w:rsidRPr="007E0DF5">
        <w:rPr>
          <w:rFonts w:ascii="Arial" w:hAnsi="Arial" w:cs="Arial"/>
          <w:i/>
          <w:sz w:val="24"/>
          <w:szCs w:val="24"/>
        </w:rPr>
        <w:t xml:space="preserve">did not include the </w:t>
      </w:r>
      <w:r w:rsidR="004D5177" w:rsidRPr="007E0DF5">
        <w:rPr>
          <w:rFonts w:ascii="Arial" w:hAnsi="Arial" w:cs="Arial"/>
          <w:i/>
          <w:sz w:val="24"/>
          <w:szCs w:val="24"/>
        </w:rPr>
        <w:t xml:space="preserve">1595 </w:t>
      </w:r>
      <w:r w:rsidRPr="007E0DF5">
        <w:rPr>
          <w:rFonts w:ascii="Arial" w:hAnsi="Arial" w:cs="Arial"/>
          <w:i/>
          <w:sz w:val="24"/>
          <w:szCs w:val="24"/>
        </w:rPr>
        <w:t>sub accounts</w:t>
      </w:r>
      <w:r w:rsidR="00196AFC">
        <w:rPr>
          <w:rFonts w:ascii="Arial" w:hAnsi="Arial" w:cs="Arial"/>
          <w:i/>
          <w:sz w:val="24"/>
          <w:szCs w:val="24"/>
        </w:rPr>
        <w:t>,</w:t>
      </w:r>
      <w:r w:rsidRPr="007E0DF5">
        <w:rPr>
          <w:rFonts w:ascii="Arial" w:hAnsi="Arial" w:cs="Arial"/>
          <w:i/>
          <w:sz w:val="24"/>
          <w:szCs w:val="24"/>
        </w:rPr>
        <w:t xml:space="preserve"> the amount </w:t>
      </w:r>
      <w:r w:rsidR="004D5177" w:rsidRPr="007E0DF5">
        <w:rPr>
          <w:rFonts w:ascii="Arial" w:hAnsi="Arial" w:cs="Arial"/>
          <w:i/>
          <w:sz w:val="24"/>
          <w:szCs w:val="24"/>
        </w:rPr>
        <w:t xml:space="preserve">for control account 1595 </w:t>
      </w:r>
      <w:r w:rsidRPr="007E0DF5">
        <w:rPr>
          <w:rFonts w:ascii="Arial" w:hAnsi="Arial" w:cs="Arial"/>
          <w:i/>
          <w:sz w:val="24"/>
          <w:szCs w:val="24"/>
        </w:rPr>
        <w:t>was in balance.</w:t>
      </w:r>
    </w:p>
    <w:p w:rsidR="004E3268" w:rsidRPr="007E0DF5" w:rsidRDefault="00CC73B6" w:rsidP="004A2AA2">
      <w:pPr>
        <w:rPr>
          <w:rFonts w:ascii="Arial" w:hAnsi="Arial" w:cs="Arial"/>
          <w:i/>
          <w:sz w:val="24"/>
          <w:szCs w:val="24"/>
        </w:rPr>
      </w:pPr>
      <w:r w:rsidRPr="007E0DF5">
        <w:rPr>
          <w:rFonts w:ascii="Arial" w:hAnsi="Arial" w:cs="Arial"/>
          <w:i/>
          <w:sz w:val="24"/>
          <w:szCs w:val="24"/>
        </w:rPr>
        <w:lastRenderedPageBreak/>
        <w:t xml:space="preserve"> In order to correct this</w:t>
      </w:r>
      <w:r w:rsidR="004A2AA2" w:rsidRPr="007E0DF5">
        <w:rPr>
          <w:rFonts w:ascii="Arial" w:hAnsi="Arial" w:cs="Arial"/>
          <w:i/>
          <w:sz w:val="24"/>
          <w:szCs w:val="24"/>
        </w:rPr>
        <w:t>,</w:t>
      </w:r>
      <w:r w:rsidRPr="007E0DF5">
        <w:rPr>
          <w:rFonts w:ascii="Arial" w:hAnsi="Arial" w:cs="Arial"/>
          <w:i/>
          <w:sz w:val="24"/>
          <w:szCs w:val="24"/>
        </w:rPr>
        <w:t xml:space="preserve"> the amount of $(1,989) should be </w:t>
      </w:r>
      <w:r w:rsidR="004A2AA2" w:rsidRPr="007E0DF5">
        <w:rPr>
          <w:rFonts w:ascii="Arial" w:hAnsi="Arial" w:cs="Arial"/>
          <w:i/>
          <w:sz w:val="24"/>
          <w:szCs w:val="24"/>
        </w:rPr>
        <w:t>included in the 2012 ending balance for 1595(2011)</w:t>
      </w:r>
      <w:r w:rsidR="00196AFC">
        <w:rPr>
          <w:rFonts w:ascii="Arial" w:hAnsi="Arial" w:cs="Arial"/>
          <w:i/>
          <w:sz w:val="24"/>
          <w:szCs w:val="24"/>
        </w:rPr>
        <w:t xml:space="preserve"> and the balance corrected to $(138,243),</w:t>
      </w:r>
      <w:r w:rsidR="004A2AA2" w:rsidRPr="007E0DF5">
        <w:rPr>
          <w:rFonts w:ascii="Arial" w:hAnsi="Arial" w:cs="Arial"/>
          <w:i/>
          <w:sz w:val="24"/>
          <w:szCs w:val="24"/>
        </w:rPr>
        <w:t xml:space="preserve"> and under column Z for account 1595(2012</w:t>
      </w:r>
      <w:r w:rsidR="004D5177" w:rsidRPr="007E0DF5">
        <w:rPr>
          <w:rFonts w:ascii="Arial" w:hAnsi="Arial" w:cs="Arial"/>
          <w:i/>
          <w:sz w:val="24"/>
          <w:szCs w:val="24"/>
        </w:rPr>
        <w:t>)</w:t>
      </w:r>
      <w:r w:rsidR="004A2AA2" w:rsidRPr="007E0DF5">
        <w:rPr>
          <w:rFonts w:ascii="Arial" w:hAnsi="Arial" w:cs="Arial"/>
          <w:i/>
          <w:sz w:val="24"/>
          <w:szCs w:val="24"/>
        </w:rPr>
        <w:t xml:space="preserve"> an adjustment of $1,989 added to </w:t>
      </w:r>
      <w:r w:rsidRPr="007E0DF5">
        <w:rPr>
          <w:rFonts w:ascii="Arial" w:hAnsi="Arial" w:cs="Arial"/>
          <w:i/>
          <w:sz w:val="24"/>
          <w:szCs w:val="24"/>
        </w:rPr>
        <w:t xml:space="preserve">transfer </w:t>
      </w:r>
      <w:r w:rsidR="004D5177" w:rsidRPr="007E0DF5">
        <w:rPr>
          <w:rFonts w:ascii="Arial" w:hAnsi="Arial" w:cs="Arial"/>
          <w:i/>
          <w:sz w:val="24"/>
          <w:szCs w:val="24"/>
        </w:rPr>
        <w:t>the amount back to</w:t>
      </w:r>
      <w:r w:rsidRPr="007E0DF5">
        <w:rPr>
          <w:rFonts w:ascii="Arial" w:hAnsi="Arial" w:cs="Arial"/>
          <w:i/>
          <w:sz w:val="24"/>
          <w:szCs w:val="24"/>
        </w:rPr>
        <w:t xml:space="preserve"> account 1595(2011). This will result in a variance between the RRR data and the 2014 year</w:t>
      </w:r>
      <w:r w:rsidR="004A2AA2" w:rsidRPr="007E0DF5">
        <w:rPr>
          <w:rFonts w:ascii="Arial" w:hAnsi="Arial" w:cs="Arial"/>
          <w:i/>
          <w:sz w:val="24"/>
          <w:szCs w:val="24"/>
        </w:rPr>
        <w:t>-</w:t>
      </w:r>
      <w:r w:rsidRPr="007E0DF5">
        <w:rPr>
          <w:rFonts w:ascii="Arial" w:hAnsi="Arial" w:cs="Arial"/>
          <w:i/>
          <w:sz w:val="24"/>
          <w:szCs w:val="24"/>
        </w:rPr>
        <w:t xml:space="preserve">end balance </w:t>
      </w:r>
      <w:r w:rsidR="004A2AA2" w:rsidRPr="007E0DF5">
        <w:rPr>
          <w:rFonts w:ascii="Arial" w:hAnsi="Arial" w:cs="Arial"/>
          <w:i/>
          <w:sz w:val="24"/>
          <w:szCs w:val="24"/>
        </w:rPr>
        <w:t xml:space="preserve">in account 1595(2011) </w:t>
      </w:r>
      <w:r w:rsidRPr="007E0DF5">
        <w:rPr>
          <w:rFonts w:ascii="Arial" w:hAnsi="Arial" w:cs="Arial"/>
          <w:i/>
          <w:sz w:val="24"/>
          <w:szCs w:val="24"/>
        </w:rPr>
        <w:t xml:space="preserve">of a debit </w:t>
      </w:r>
      <w:r w:rsidR="004A2AA2" w:rsidRPr="007E0DF5">
        <w:rPr>
          <w:rFonts w:ascii="Arial" w:hAnsi="Arial" w:cs="Arial"/>
          <w:i/>
          <w:sz w:val="24"/>
          <w:szCs w:val="24"/>
        </w:rPr>
        <w:t>of $1,989 and a credit of $1,989 in account 1595(2012).</w:t>
      </w:r>
    </w:p>
    <w:p w:rsidR="00B314F3" w:rsidRDefault="00B314F3" w:rsidP="0001354E">
      <w:pPr>
        <w:rPr>
          <w:rFonts w:ascii="Arial" w:hAnsi="Arial" w:cs="Arial"/>
          <w:b/>
          <w:sz w:val="24"/>
          <w:szCs w:val="24"/>
        </w:rPr>
      </w:pPr>
      <w:r>
        <w:rPr>
          <w:rFonts w:ascii="Arial" w:hAnsi="Arial" w:cs="Arial"/>
          <w:b/>
          <w:sz w:val="24"/>
          <w:szCs w:val="24"/>
        </w:rPr>
        <w:t>Interrogatory #2</w:t>
      </w:r>
    </w:p>
    <w:p w:rsidR="00B314F3" w:rsidRDefault="00B314F3" w:rsidP="0001354E">
      <w:pPr>
        <w:rPr>
          <w:rFonts w:ascii="Arial" w:hAnsi="Arial" w:cs="Arial"/>
          <w:b/>
          <w:sz w:val="24"/>
          <w:szCs w:val="24"/>
        </w:rPr>
      </w:pPr>
      <w:r>
        <w:rPr>
          <w:rFonts w:ascii="Arial" w:hAnsi="Arial" w:cs="Arial"/>
          <w:b/>
          <w:sz w:val="24"/>
          <w:szCs w:val="24"/>
        </w:rPr>
        <w:t>IRM Model – Tab 3: 2015 Continuity Schedule –</w:t>
      </w:r>
      <w:r w:rsidR="00FB3A11">
        <w:rPr>
          <w:rFonts w:ascii="Arial" w:hAnsi="Arial" w:cs="Arial"/>
          <w:b/>
          <w:sz w:val="24"/>
          <w:szCs w:val="24"/>
        </w:rPr>
        <w:t xml:space="preserve"> 2015 Interest Disposition</w:t>
      </w:r>
    </w:p>
    <w:p w:rsidR="00FB3A11" w:rsidRDefault="00FB3A11" w:rsidP="00FB3A11">
      <w:pPr>
        <w:rPr>
          <w:rFonts w:ascii="Arial" w:hAnsi="Arial" w:cs="Arial"/>
          <w:sz w:val="24"/>
          <w:szCs w:val="24"/>
        </w:rPr>
      </w:pPr>
      <w:r>
        <w:rPr>
          <w:rFonts w:ascii="Arial" w:hAnsi="Arial" w:cs="Arial"/>
          <w:sz w:val="24"/>
          <w:szCs w:val="24"/>
        </w:rPr>
        <w:t xml:space="preserve">The Interest Disposition during 2015 in Account 1595 (2008) has a balance of $0 in the 2016 IRM model Sioux Lookout Hydro filed. However, the same account had a credit balance of $436 in the OEB-approved Group 1 accounts disposition table in Sioux Lookout Hydro’s 2015 rate application (EB-2014-0112). </w:t>
      </w:r>
    </w:p>
    <w:p w:rsidR="00EC0C97" w:rsidRDefault="001E069B" w:rsidP="00EC0C97">
      <w:pPr>
        <w:pStyle w:val="ListParagraph"/>
        <w:numPr>
          <w:ilvl w:val="0"/>
          <w:numId w:val="11"/>
        </w:numPr>
        <w:rPr>
          <w:rFonts w:ascii="Arial" w:hAnsi="Arial" w:cs="Arial"/>
          <w:sz w:val="24"/>
          <w:szCs w:val="24"/>
        </w:rPr>
      </w:pPr>
      <w:r>
        <w:rPr>
          <w:rFonts w:ascii="Arial" w:hAnsi="Arial" w:cs="Arial"/>
          <w:sz w:val="24"/>
          <w:szCs w:val="24"/>
        </w:rPr>
        <w:t>Please review the balance of the above account, and confirm if the credit balance of $436 should be entered in the continuity schedule. If yes, OEB staff will update the model.</w:t>
      </w:r>
    </w:p>
    <w:p w:rsidR="00EC0C97" w:rsidRPr="00EC0C97" w:rsidRDefault="00EC0C97" w:rsidP="00EC0C97">
      <w:pPr>
        <w:pStyle w:val="ListParagraph"/>
        <w:ind w:left="780"/>
        <w:rPr>
          <w:rFonts w:ascii="Arial" w:hAnsi="Arial" w:cs="Arial"/>
          <w:sz w:val="24"/>
          <w:szCs w:val="24"/>
        </w:rPr>
      </w:pPr>
    </w:p>
    <w:p w:rsidR="001E069B" w:rsidRDefault="001E069B" w:rsidP="001E069B">
      <w:pPr>
        <w:pStyle w:val="ListParagraph"/>
        <w:numPr>
          <w:ilvl w:val="0"/>
          <w:numId w:val="11"/>
        </w:numPr>
        <w:rPr>
          <w:rFonts w:ascii="Arial" w:hAnsi="Arial" w:cs="Arial"/>
          <w:sz w:val="24"/>
          <w:szCs w:val="24"/>
        </w:rPr>
      </w:pPr>
      <w:r>
        <w:rPr>
          <w:rFonts w:ascii="Arial" w:hAnsi="Arial" w:cs="Arial"/>
          <w:sz w:val="24"/>
          <w:szCs w:val="24"/>
        </w:rPr>
        <w:t xml:space="preserve"> </w:t>
      </w:r>
      <w:r w:rsidR="00EC0C97">
        <w:rPr>
          <w:rFonts w:ascii="Arial" w:hAnsi="Arial" w:cs="Arial"/>
          <w:sz w:val="24"/>
          <w:szCs w:val="24"/>
        </w:rPr>
        <w:t xml:space="preserve">Otherwise, please </w:t>
      </w:r>
      <w:r w:rsidR="005216D6">
        <w:rPr>
          <w:rFonts w:ascii="Arial" w:hAnsi="Arial" w:cs="Arial"/>
          <w:sz w:val="24"/>
          <w:szCs w:val="24"/>
        </w:rPr>
        <w:t>provide explanation for</w:t>
      </w:r>
      <w:r w:rsidR="00EC0C97">
        <w:rPr>
          <w:rFonts w:ascii="Arial" w:hAnsi="Arial" w:cs="Arial"/>
          <w:sz w:val="24"/>
          <w:szCs w:val="24"/>
        </w:rPr>
        <w:t xml:space="preserve"> the discrepancy.</w:t>
      </w:r>
    </w:p>
    <w:p w:rsidR="001E069B" w:rsidRPr="001E069B" w:rsidRDefault="001E069B" w:rsidP="001E069B">
      <w:pPr>
        <w:pStyle w:val="ListParagraph"/>
        <w:rPr>
          <w:rFonts w:ascii="Arial" w:hAnsi="Arial" w:cs="Arial"/>
          <w:sz w:val="24"/>
          <w:szCs w:val="24"/>
        </w:rPr>
      </w:pPr>
    </w:p>
    <w:p w:rsidR="001E069B" w:rsidRPr="003A7960" w:rsidRDefault="001E069B" w:rsidP="00EC0C97">
      <w:pPr>
        <w:pStyle w:val="ListParagraph"/>
        <w:ind w:left="780"/>
        <w:rPr>
          <w:rFonts w:ascii="Arial" w:hAnsi="Arial" w:cs="Arial"/>
          <w:sz w:val="24"/>
          <w:szCs w:val="24"/>
        </w:rPr>
      </w:pPr>
    </w:p>
    <w:p w:rsidR="001E069B" w:rsidRDefault="001E069B" w:rsidP="00FB3A11">
      <w:pPr>
        <w:rPr>
          <w:rFonts w:ascii="Arial" w:hAnsi="Arial" w:cs="Arial"/>
          <w:sz w:val="24"/>
          <w:szCs w:val="24"/>
        </w:rPr>
      </w:pPr>
    </w:p>
    <w:p w:rsidR="00B314F3" w:rsidRDefault="00B314F3" w:rsidP="0001354E">
      <w:pPr>
        <w:rPr>
          <w:rFonts w:ascii="Arial" w:hAnsi="Arial" w:cs="Arial"/>
          <w:b/>
          <w:sz w:val="24"/>
          <w:szCs w:val="24"/>
        </w:rPr>
      </w:pPr>
    </w:p>
    <w:p w:rsidR="00FB3A11" w:rsidRDefault="00FB3A11" w:rsidP="0001354E">
      <w:pPr>
        <w:rPr>
          <w:rFonts w:ascii="Arial" w:hAnsi="Arial" w:cs="Arial"/>
          <w:b/>
          <w:sz w:val="24"/>
          <w:szCs w:val="24"/>
        </w:rPr>
      </w:pPr>
      <w:r>
        <w:rPr>
          <w:noProof/>
          <w:lang w:eastAsia="en-CA"/>
        </w:rPr>
        <w:lastRenderedPageBreak/>
        <w:drawing>
          <wp:inline distT="0" distB="0" distL="0" distR="0" wp14:anchorId="4FD7A517" wp14:editId="5D3E03C1">
            <wp:extent cx="5733334" cy="564761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3334" cy="5647619"/>
                    </a:xfrm>
                    <a:prstGeom prst="rect">
                      <a:avLst/>
                    </a:prstGeom>
                  </pic:spPr>
                </pic:pic>
              </a:graphicData>
            </a:graphic>
          </wp:inline>
        </w:drawing>
      </w:r>
    </w:p>
    <w:p w:rsidR="00FB3A11" w:rsidRDefault="00FB3A11" w:rsidP="0001354E">
      <w:pPr>
        <w:rPr>
          <w:rFonts w:ascii="Arial" w:hAnsi="Arial" w:cs="Arial"/>
          <w:b/>
          <w:sz w:val="24"/>
          <w:szCs w:val="24"/>
        </w:rPr>
      </w:pPr>
      <w:r>
        <w:rPr>
          <w:noProof/>
          <w:lang w:eastAsia="en-CA"/>
        </w:rPr>
        <w:lastRenderedPageBreak/>
        <w:drawing>
          <wp:inline distT="0" distB="0" distL="0" distR="0" wp14:anchorId="1BBD4C22" wp14:editId="527096F4">
            <wp:extent cx="5943600" cy="400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002405"/>
                    </a:xfrm>
                    <a:prstGeom prst="rect">
                      <a:avLst/>
                    </a:prstGeom>
                  </pic:spPr>
                </pic:pic>
              </a:graphicData>
            </a:graphic>
          </wp:inline>
        </w:drawing>
      </w:r>
    </w:p>
    <w:p w:rsidR="004D5177" w:rsidRPr="007E0DF5" w:rsidRDefault="004D5177" w:rsidP="004D5177">
      <w:pPr>
        <w:rPr>
          <w:rFonts w:ascii="Arial" w:hAnsi="Arial" w:cs="Arial"/>
          <w:b/>
          <w:i/>
          <w:sz w:val="24"/>
          <w:szCs w:val="24"/>
        </w:rPr>
      </w:pPr>
      <w:r w:rsidRPr="007E0DF5">
        <w:rPr>
          <w:rFonts w:ascii="Arial" w:hAnsi="Arial" w:cs="Arial"/>
          <w:b/>
          <w:i/>
          <w:sz w:val="24"/>
          <w:szCs w:val="24"/>
        </w:rPr>
        <w:t>Response</w:t>
      </w:r>
    </w:p>
    <w:p w:rsidR="00A20A15" w:rsidRPr="007E0DF5" w:rsidRDefault="00A20A15" w:rsidP="00A20A15">
      <w:pPr>
        <w:pStyle w:val="ListParagraph"/>
        <w:numPr>
          <w:ilvl w:val="0"/>
          <w:numId w:val="20"/>
        </w:numPr>
        <w:rPr>
          <w:rFonts w:ascii="Arial" w:hAnsi="Arial" w:cs="Arial"/>
          <w:i/>
          <w:sz w:val="24"/>
          <w:szCs w:val="24"/>
        </w:rPr>
      </w:pPr>
      <w:r w:rsidRPr="007E0DF5">
        <w:rPr>
          <w:rFonts w:ascii="Arial" w:hAnsi="Arial" w:cs="Arial"/>
          <w:i/>
          <w:sz w:val="24"/>
          <w:szCs w:val="24"/>
        </w:rPr>
        <w:t xml:space="preserve">and b) </w:t>
      </w:r>
    </w:p>
    <w:p w:rsidR="004D5177" w:rsidRPr="007E0DF5" w:rsidRDefault="004D5177" w:rsidP="00A20A15">
      <w:pPr>
        <w:ind w:left="720"/>
        <w:rPr>
          <w:rFonts w:ascii="Arial" w:hAnsi="Arial" w:cs="Arial"/>
          <w:i/>
          <w:sz w:val="24"/>
          <w:szCs w:val="24"/>
        </w:rPr>
      </w:pPr>
      <w:r w:rsidRPr="007E0DF5">
        <w:rPr>
          <w:rFonts w:ascii="Arial" w:hAnsi="Arial" w:cs="Arial"/>
          <w:i/>
          <w:sz w:val="24"/>
          <w:szCs w:val="24"/>
        </w:rPr>
        <w:t xml:space="preserve">After reviewing the balance of account 1595(2008) there was an entry discovered that transferred the </w:t>
      </w:r>
      <w:r w:rsidR="00196AFC">
        <w:rPr>
          <w:rFonts w:ascii="Arial" w:hAnsi="Arial" w:cs="Arial"/>
          <w:i/>
          <w:sz w:val="24"/>
          <w:szCs w:val="24"/>
        </w:rPr>
        <w:t xml:space="preserve">interest </w:t>
      </w:r>
      <w:r w:rsidRPr="007E0DF5">
        <w:rPr>
          <w:rFonts w:ascii="Arial" w:hAnsi="Arial" w:cs="Arial"/>
          <w:i/>
          <w:sz w:val="24"/>
          <w:szCs w:val="24"/>
        </w:rPr>
        <w:t xml:space="preserve">amount of $436 to account 1595(2014) </w:t>
      </w:r>
      <w:r w:rsidR="00A20A15" w:rsidRPr="007E0DF5">
        <w:rPr>
          <w:rFonts w:ascii="Arial" w:hAnsi="Arial" w:cs="Arial"/>
          <w:i/>
          <w:sz w:val="24"/>
          <w:szCs w:val="24"/>
        </w:rPr>
        <w:t xml:space="preserve">in 2014 </w:t>
      </w:r>
      <w:r w:rsidRPr="007E0DF5">
        <w:rPr>
          <w:rFonts w:ascii="Arial" w:hAnsi="Arial" w:cs="Arial"/>
          <w:i/>
          <w:sz w:val="24"/>
          <w:szCs w:val="24"/>
        </w:rPr>
        <w:t>after decision EB-2013-</w:t>
      </w:r>
      <w:r w:rsidR="00A20A15" w:rsidRPr="007E0DF5">
        <w:rPr>
          <w:rFonts w:ascii="Arial" w:hAnsi="Arial" w:cs="Arial"/>
          <w:i/>
          <w:sz w:val="24"/>
          <w:szCs w:val="24"/>
        </w:rPr>
        <w:t xml:space="preserve">0170 </w:t>
      </w:r>
      <w:r w:rsidR="00196AFC">
        <w:rPr>
          <w:rFonts w:ascii="Arial" w:hAnsi="Arial" w:cs="Arial"/>
          <w:i/>
          <w:sz w:val="24"/>
          <w:szCs w:val="24"/>
        </w:rPr>
        <w:t xml:space="preserve">was issued </w:t>
      </w:r>
      <w:r w:rsidR="00A20A15" w:rsidRPr="007E0DF5">
        <w:rPr>
          <w:rFonts w:ascii="Arial" w:hAnsi="Arial" w:cs="Arial"/>
          <w:i/>
          <w:sz w:val="24"/>
          <w:szCs w:val="24"/>
        </w:rPr>
        <w:t xml:space="preserve">as an immaterial amount without realizing this amount was included in the 2015 IRM(EB-2014-0112) Group 1 disposition accounts. Therefore the credit of $436 should either be transferred back to account 1595(2008) from the transactions in 2014 under account 1595(2014) and the credit included in the 2015 interest </w:t>
      </w:r>
      <w:r w:rsidR="00196AFC">
        <w:rPr>
          <w:rFonts w:ascii="Arial" w:hAnsi="Arial" w:cs="Arial"/>
          <w:i/>
          <w:sz w:val="24"/>
          <w:szCs w:val="24"/>
        </w:rPr>
        <w:t>disposition column for account 1595(2008),</w:t>
      </w:r>
      <w:r w:rsidR="00A20A15" w:rsidRPr="007E0DF5">
        <w:rPr>
          <w:rFonts w:ascii="Arial" w:hAnsi="Arial" w:cs="Arial"/>
          <w:i/>
          <w:sz w:val="24"/>
          <w:szCs w:val="24"/>
        </w:rPr>
        <w:t xml:space="preserve"> or the credit should be included under account 1595(2014) in the Interest Disposition allowed in 2015 column so as not to apply for the amount for disposition twice. The first option will result in a variance of the amounts reported t</w:t>
      </w:r>
      <w:r w:rsidR="00196AFC">
        <w:rPr>
          <w:rFonts w:ascii="Arial" w:hAnsi="Arial" w:cs="Arial"/>
          <w:i/>
          <w:sz w:val="24"/>
          <w:szCs w:val="24"/>
        </w:rPr>
        <w:t>o the Board under 2.1.7 of $436 for each of those accounts, but would net out to zero.</w:t>
      </w:r>
    </w:p>
    <w:p w:rsidR="005117CF" w:rsidRDefault="005117CF" w:rsidP="005216D6">
      <w:pPr>
        <w:rPr>
          <w:rFonts w:ascii="Arial" w:hAnsi="Arial" w:cs="Arial"/>
          <w:b/>
          <w:sz w:val="24"/>
          <w:szCs w:val="24"/>
        </w:rPr>
      </w:pPr>
    </w:p>
    <w:p w:rsidR="005117CF" w:rsidRDefault="005117CF" w:rsidP="005216D6">
      <w:pPr>
        <w:rPr>
          <w:rFonts w:ascii="Arial" w:hAnsi="Arial" w:cs="Arial"/>
          <w:b/>
          <w:sz w:val="24"/>
          <w:szCs w:val="24"/>
        </w:rPr>
      </w:pPr>
    </w:p>
    <w:p w:rsidR="005117CF" w:rsidRDefault="005117CF" w:rsidP="005216D6">
      <w:pPr>
        <w:rPr>
          <w:rFonts w:ascii="Arial" w:hAnsi="Arial" w:cs="Arial"/>
          <w:b/>
          <w:sz w:val="24"/>
          <w:szCs w:val="24"/>
        </w:rPr>
      </w:pPr>
    </w:p>
    <w:p w:rsidR="005117CF" w:rsidRDefault="005117CF" w:rsidP="005216D6">
      <w:pPr>
        <w:rPr>
          <w:rFonts w:ascii="Arial" w:hAnsi="Arial" w:cs="Arial"/>
          <w:b/>
          <w:sz w:val="24"/>
          <w:szCs w:val="24"/>
        </w:rPr>
      </w:pPr>
    </w:p>
    <w:p w:rsidR="005216D6" w:rsidRDefault="005216D6" w:rsidP="005216D6">
      <w:pPr>
        <w:rPr>
          <w:rFonts w:ascii="Arial" w:hAnsi="Arial" w:cs="Arial"/>
          <w:b/>
          <w:sz w:val="24"/>
          <w:szCs w:val="24"/>
        </w:rPr>
      </w:pPr>
      <w:r>
        <w:rPr>
          <w:rFonts w:ascii="Arial" w:hAnsi="Arial" w:cs="Arial"/>
          <w:b/>
          <w:sz w:val="24"/>
          <w:szCs w:val="24"/>
        </w:rPr>
        <w:t>Interrogatory #3</w:t>
      </w:r>
    </w:p>
    <w:p w:rsidR="005216D6" w:rsidRDefault="005216D6" w:rsidP="005216D6">
      <w:pPr>
        <w:rPr>
          <w:rFonts w:ascii="Arial" w:hAnsi="Arial" w:cs="Arial"/>
          <w:b/>
          <w:sz w:val="24"/>
          <w:szCs w:val="24"/>
        </w:rPr>
      </w:pPr>
      <w:r>
        <w:rPr>
          <w:rFonts w:ascii="Arial" w:hAnsi="Arial" w:cs="Arial"/>
          <w:b/>
          <w:sz w:val="24"/>
          <w:szCs w:val="24"/>
        </w:rPr>
        <w:t>IRM Model – Tab 3: 2015 Continuity Schedule –</w:t>
      </w:r>
      <w:r w:rsidR="00C818E2">
        <w:rPr>
          <w:rFonts w:ascii="Arial" w:hAnsi="Arial" w:cs="Arial"/>
          <w:b/>
          <w:sz w:val="24"/>
          <w:szCs w:val="24"/>
        </w:rPr>
        <w:t xml:space="preserve"> </w:t>
      </w:r>
      <w:r>
        <w:rPr>
          <w:rFonts w:ascii="Arial" w:hAnsi="Arial" w:cs="Arial"/>
          <w:b/>
          <w:sz w:val="24"/>
          <w:szCs w:val="24"/>
        </w:rPr>
        <w:t xml:space="preserve">2014 Transaction – Account </w:t>
      </w:r>
      <w:r w:rsidR="00C818E2">
        <w:rPr>
          <w:rFonts w:ascii="Arial" w:hAnsi="Arial" w:cs="Arial"/>
          <w:b/>
          <w:sz w:val="24"/>
          <w:szCs w:val="24"/>
        </w:rPr>
        <w:t>1595 (2013)</w:t>
      </w:r>
    </w:p>
    <w:p w:rsidR="00C818E2" w:rsidRDefault="00C818E2" w:rsidP="005216D6">
      <w:pPr>
        <w:rPr>
          <w:rFonts w:ascii="Arial" w:hAnsi="Arial" w:cs="Arial"/>
          <w:sz w:val="24"/>
          <w:szCs w:val="24"/>
        </w:rPr>
      </w:pPr>
      <w:r>
        <w:rPr>
          <w:rFonts w:ascii="Arial" w:hAnsi="Arial" w:cs="Arial"/>
          <w:sz w:val="24"/>
          <w:szCs w:val="24"/>
        </w:rPr>
        <w:t xml:space="preserve">In the 2016 IRM model, Sioux Lookout Hydro reported a debit transaction of $270,000 in 2014 in account 1595 (2013) (with associated interest in a credit amount of $1,043). Account 1595 records the difference between the amount approved by the OEB for disposition and the amount collected form customers. The OEB-approved </w:t>
      </w:r>
      <w:r w:rsidR="00B76EA7">
        <w:rPr>
          <w:rFonts w:ascii="Arial" w:hAnsi="Arial" w:cs="Arial"/>
          <w:sz w:val="24"/>
          <w:szCs w:val="24"/>
        </w:rPr>
        <w:t xml:space="preserve">total </w:t>
      </w:r>
      <w:r>
        <w:rPr>
          <w:rFonts w:ascii="Arial" w:hAnsi="Arial" w:cs="Arial"/>
          <w:sz w:val="24"/>
          <w:szCs w:val="24"/>
        </w:rPr>
        <w:t xml:space="preserve">amount to be disposed in 2013 rates was </w:t>
      </w:r>
      <w:r w:rsidR="00B76EA7">
        <w:rPr>
          <w:rFonts w:ascii="Arial" w:hAnsi="Arial" w:cs="Arial"/>
          <w:sz w:val="24"/>
          <w:szCs w:val="24"/>
        </w:rPr>
        <w:t>a credit balance.</w:t>
      </w:r>
    </w:p>
    <w:p w:rsidR="00B76EA7" w:rsidRPr="00B76EA7" w:rsidRDefault="00B76EA7" w:rsidP="00B76EA7">
      <w:pPr>
        <w:pStyle w:val="ListParagraph"/>
        <w:numPr>
          <w:ilvl w:val="0"/>
          <w:numId w:val="12"/>
        </w:numPr>
        <w:rPr>
          <w:rFonts w:ascii="Arial" w:hAnsi="Arial" w:cs="Arial"/>
          <w:sz w:val="24"/>
          <w:szCs w:val="24"/>
        </w:rPr>
      </w:pPr>
      <w:r>
        <w:rPr>
          <w:rFonts w:ascii="Arial" w:hAnsi="Arial" w:cs="Arial"/>
          <w:sz w:val="24"/>
          <w:szCs w:val="24"/>
        </w:rPr>
        <w:t>Please provide explanation for the debit transaction of $270,000 in 2014 in account 1595 (2013) and its associated interest in a credit amount of $1,043.</w:t>
      </w:r>
    </w:p>
    <w:p w:rsidR="00C818E2" w:rsidRDefault="00C818E2" w:rsidP="005216D6">
      <w:pPr>
        <w:rPr>
          <w:rFonts w:ascii="Arial" w:hAnsi="Arial" w:cs="Arial"/>
          <w:sz w:val="24"/>
          <w:szCs w:val="24"/>
        </w:rPr>
      </w:pPr>
    </w:p>
    <w:p w:rsidR="00C818E2" w:rsidRDefault="00C818E2" w:rsidP="005216D6">
      <w:pPr>
        <w:rPr>
          <w:rFonts w:ascii="Arial" w:hAnsi="Arial" w:cs="Arial"/>
          <w:sz w:val="24"/>
          <w:szCs w:val="24"/>
        </w:rPr>
      </w:pPr>
      <w:r>
        <w:rPr>
          <w:noProof/>
          <w:lang w:eastAsia="en-CA"/>
        </w:rPr>
        <w:lastRenderedPageBreak/>
        <w:drawing>
          <wp:inline distT="0" distB="0" distL="0" distR="0" wp14:anchorId="5A3129AB" wp14:editId="15C262A6">
            <wp:extent cx="5943600" cy="44361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436110"/>
                    </a:xfrm>
                    <a:prstGeom prst="rect">
                      <a:avLst/>
                    </a:prstGeom>
                  </pic:spPr>
                </pic:pic>
              </a:graphicData>
            </a:graphic>
          </wp:inline>
        </w:drawing>
      </w:r>
    </w:p>
    <w:p w:rsidR="005117CF" w:rsidRPr="00120045" w:rsidRDefault="00606AA8" w:rsidP="0035397C">
      <w:pPr>
        <w:rPr>
          <w:rFonts w:ascii="Arial" w:hAnsi="Arial" w:cs="Arial"/>
          <w:b/>
          <w:sz w:val="24"/>
          <w:szCs w:val="24"/>
        </w:rPr>
      </w:pPr>
      <w:r w:rsidRPr="00120045">
        <w:rPr>
          <w:rFonts w:ascii="Arial" w:hAnsi="Arial" w:cs="Arial"/>
          <w:b/>
          <w:sz w:val="24"/>
          <w:szCs w:val="24"/>
        </w:rPr>
        <w:t>Response</w:t>
      </w:r>
    </w:p>
    <w:p w:rsidR="00196AFC" w:rsidRDefault="00606AA8" w:rsidP="0035397C">
      <w:pPr>
        <w:pStyle w:val="ListParagraph"/>
        <w:numPr>
          <w:ilvl w:val="0"/>
          <w:numId w:val="21"/>
        </w:numPr>
        <w:rPr>
          <w:rFonts w:ascii="Arial" w:hAnsi="Arial" w:cs="Arial"/>
          <w:i/>
          <w:sz w:val="24"/>
          <w:szCs w:val="24"/>
        </w:rPr>
      </w:pPr>
      <w:r w:rsidRPr="007E0DF5">
        <w:rPr>
          <w:rFonts w:ascii="Arial" w:hAnsi="Arial" w:cs="Arial"/>
          <w:i/>
          <w:sz w:val="24"/>
          <w:szCs w:val="24"/>
        </w:rPr>
        <w:t>The debit balance of $270,000 represents the amount refunded to customers for the OEB approved amount for 2013. Of this amount there was $70,182 refun</w:t>
      </w:r>
      <w:r w:rsidR="00120045" w:rsidRPr="007E0DF5">
        <w:rPr>
          <w:rFonts w:ascii="Arial" w:hAnsi="Arial" w:cs="Arial"/>
          <w:i/>
          <w:sz w:val="24"/>
          <w:szCs w:val="24"/>
        </w:rPr>
        <w:t xml:space="preserve">ded for </w:t>
      </w:r>
      <w:r w:rsidR="00196AFC">
        <w:rPr>
          <w:rFonts w:ascii="Arial" w:hAnsi="Arial" w:cs="Arial"/>
          <w:i/>
          <w:sz w:val="24"/>
          <w:szCs w:val="24"/>
        </w:rPr>
        <w:t xml:space="preserve">the </w:t>
      </w:r>
      <w:r w:rsidR="00120045" w:rsidRPr="007E0DF5">
        <w:rPr>
          <w:rFonts w:ascii="Arial" w:hAnsi="Arial" w:cs="Arial"/>
          <w:i/>
          <w:sz w:val="24"/>
          <w:szCs w:val="24"/>
        </w:rPr>
        <w:t xml:space="preserve">1595 Sub-account GA Principle amount and $199,818 refunded for 1595 Sub-account excluding GA. </w:t>
      </w:r>
      <w:r w:rsidRPr="007E0DF5">
        <w:rPr>
          <w:rFonts w:ascii="Arial" w:hAnsi="Arial" w:cs="Arial"/>
          <w:i/>
          <w:sz w:val="24"/>
          <w:szCs w:val="24"/>
        </w:rPr>
        <w:t xml:space="preserve"> Since the </w:t>
      </w:r>
      <w:r w:rsidR="0081328F" w:rsidRPr="007E0DF5">
        <w:rPr>
          <w:rFonts w:ascii="Arial" w:hAnsi="Arial" w:cs="Arial"/>
          <w:i/>
          <w:sz w:val="24"/>
          <w:szCs w:val="24"/>
        </w:rPr>
        <w:t>Principle balance remained a credit until July of 2014</w:t>
      </w:r>
      <w:r w:rsidR="00482AAF" w:rsidRPr="007E0DF5">
        <w:rPr>
          <w:rFonts w:ascii="Arial" w:hAnsi="Arial" w:cs="Arial"/>
          <w:i/>
          <w:sz w:val="24"/>
          <w:szCs w:val="24"/>
        </w:rPr>
        <w:t xml:space="preserve"> the interest calculated on the principle balances each month was a credit. The amount</w:t>
      </w:r>
      <w:r w:rsidR="002B144E" w:rsidRPr="007E0DF5">
        <w:rPr>
          <w:rFonts w:ascii="Arial" w:hAnsi="Arial" w:cs="Arial"/>
          <w:i/>
          <w:sz w:val="24"/>
          <w:szCs w:val="24"/>
        </w:rPr>
        <w:t xml:space="preserve"> of interest</w:t>
      </w:r>
      <w:r w:rsidR="00482AAF" w:rsidRPr="007E0DF5">
        <w:rPr>
          <w:rFonts w:ascii="Arial" w:hAnsi="Arial" w:cs="Arial"/>
          <w:i/>
          <w:sz w:val="24"/>
          <w:szCs w:val="24"/>
        </w:rPr>
        <w:t xml:space="preserve"> </w:t>
      </w:r>
      <w:r w:rsidR="002B144E" w:rsidRPr="007E0DF5">
        <w:rPr>
          <w:rFonts w:ascii="Arial" w:hAnsi="Arial" w:cs="Arial"/>
          <w:i/>
          <w:sz w:val="24"/>
          <w:szCs w:val="24"/>
        </w:rPr>
        <w:t>t</w:t>
      </w:r>
      <w:r w:rsidR="00482AAF" w:rsidRPr="007E0DF5">
        <w:rPr>
          <w:rFonts w:ascii="Arial" w:hAnsi="Arial" w:cs="Arial"/>
          <w:i/>
          <w:sz w:val="24"/>
          <w:szCs w:val="24"/>
        </w:rPr>
        <w:t>ransactions to the end of July totalled $(1,2</w:t>
      </w:r>
      <w:r w:rsidR="000B7C67" w:rsidRPr="007E0DF5">
        <w:rPr>
          <w:rFonts w:ascii="Arial" w:hAnsi="Arial" w:cs="Arial"/>
          <w:i/>
          <w:sz w:val="24"/>
          <w:szCs w:val="24"/>
        </w:rPr>
        <w:t>14</w:t>
      </w:r>
      <w:r w:rsidR="00482AAF" w:rsidRPr="007E0DF5">
        <w:rPr>
          <w:rFonts w:ascii="Arial" w:hAnsi="Arial" w:cs="Arial"/>
          <w:i/>
          <w:sz w:val="24"/>
          <w:szCs w:val="24"/>
        </w:rPr>
        <w:t>.8</w:t>
      </w:r>
      <w:r w:rsidR="000B7C67" w:rsidRPr="007E0DF5">
        <w:rPr>
          <w:rFonts w:ascii="Arial" w:hAnsi="Arial" w:cs="Arial"/>
          <w:i/>
          <w:sz w:val="24"/>
          <w:szCs w:val="24"/>
        </w:rPr>
        <w:t>2</w:t>
      </w:r>
      <w:r w:rsidR="00482AAF" w:rsidRPr="007E0DF5">
        <w:rPr>
          <w:rFonts w:ascii="Arial" w:hAnsi="Arial" w:cs="Arial"/>
          <w:i/>
          <w:sz w:val="24"/>
          <w:szCs w:val="24"/>
        </w:rPr>
        <w:t>) for 2014. From August to December 2014 the</w:t>
      </w:r>
      <w:r w:rsidR="002B144E" w:rsidRPr="007E0DF5">
        <w:rPr>
          <w:rFonts w:ascii="Arial" w:hAnsi="Arial" w:cs="Arial"/>
          <w:i/>
          <w:sz w:val="24"/>
          <w:szCs w:val="24"/>
        </w:rPr>
        <w:t xml:space="preserve"> interest</w:t>
      </w:r>
      <w:r w:rsidR="00482AAF" w:rsidRPr="007E0DF5">
        <w:rPr>
          <w:rFonts w:ascii="Arial" w:hAnsi="Arial" w:cs="Arial"/>
          <w:i/>
          <w:sz w:val="24"/>
          <w:szCs w:val="24"/>
        </w:rPr>
        <w:t xml:space="preserve"> transactions totalled $</w:t>
      </w:r>
      <w:r w:rsidR="000B7C67" w:rsidRPr="007E0DF5">
        <w:rPr>
          <w:rFonts w:ascii="Arial" w:hAnsi="Arial" w:cs="Arial"/>
          <w:i/>
          <w:sz w:val="24"/>
          <w:szCs w:val="24"/>
        </w:rPr>
        <w:t xml:space="preserve">172.17. </w:t>
      </w:r>
      <w:r w:rsidRPr="007E0DF5">
        <w:rPr>
          <w:rFonts w:ascii="Arial" w:hAnsi="Arial" w:cs="Arial"/>
          <w:i/>
          <w:sz w:val="24"/>
          <w:szCs w:val="24"/>
        </w:rPr>
        <w:t xml:space="preserve"> </w:t>
      </w:r>
      <w:r w:rsidR="002B144E" w:rsidRPr="007E0DF5">
        <w:rPr>
          <w:rFonts w:ascii="Arial" w:hAnsi="Arial" w:cs="Arial"/>
          <w:i/>
          <w:sz w:val="24"/>
          <w:szCs w:val="24"/>
        </w:rPr>
        <w:t xml:space="preserve">Since the rate riders are volumetric, </w:t>
      </w:r>
      <w:r w:rsidR="00482AAF" w:rsidRPr="007E0DF5">
        <w:rPr>
          <w:rFonts w:ascii="Arial" w:hAnsi="Arial" w:cs="Arial"/>
          <w:i/>
          <w:sz w:val="24"/>
          <w:szCs w:val="24"/>
        </w:rPr>
        <w:t>SLHI feels that the extremely cold winter experienced in 2013/2014 contributed to the over-refund for the amounts approved for d</w:t>
      </w:r>
      <w:r w:rsidR="002B144E" w:rsidRPr="007E0DF5">
        <w:rPr>
          <w:rFonts w:ascii="Arial" w:hAnsi="Arial" w:cs="Arial"/>
          <w:i/>
          <w:sz w:val="24"/>
          <w:szCs w:val="24"/>
        </w:rPr>
        <w:t>isposition.</w:t>
      </w:r>
    </w:p>
    <w:p w:rsidR="00196AFC" w:rsidRDefault="00196AFC" w:rsidP="00196AFC">
      <w:pPr>
        <w:rPr>
          <w:rFonts w:ascii="Arial" w:hAnsi="Arial" w:cs="Arial"/>
          <w:b/>
          <w:sz w:val="24"/>
          <w:szCs w:val="24"/>
        </w:rPr>
      </w:pPr>
    </w:p>
    <w:p w:rsidR="00196AFC" w:rsidRDefault="00196AFC" w:rsidP="00196AFC">
      <w:pPr>
        <w:rPr>
          <w:rFonts w:ascii="Arial" w:hAnsi="Arial" w:cs="Arial"/>
          <w:b/>
          <w:sz w:val="24"/>
          <w:szCs w:val="24"/>
        </w:rPr>
      </w:pPr>
    </w:p>
    <w:p w:rsidR="0035397C" w:rsidRPr="00196AFC" w:rsidRDefault="0035397C" w:rsidP="00196AFC">
      <w:pPr>
        <w:rPr>
          <w:rFonts w:ascii="Arial" w:hAnsi="Arial" w:cs="Arial"/>
          <w:i/>
          <w:sz w:val="24"/>
          <w:szCs w:val="24"/>
        </w:rPr>
      </w:pPr>
      <w:r w:rsidRPr="00196AFC">
        <w:rPr>
          <w:rFonts w:ascii="Arial" w:hAnsi="Arial" w:cs="Arial"/>
          <w:b/>
          <w:sz w:val="24"/>
          <w:szCs w:val="24"/>
        </w:rPr>
        <w:lastRenderedPageBreak/>
        <w:t>Interrogatory #4</w:t>
      </w:r>
    </w:p>
    <w:p w:rsidR="0035397C" w:rsidRDefault="0035397C" w:rsidP="0035397C">
      <w:pPr>
        <w:rPr>
          <w:rFonts w:ascii="Arial" w:hAnsi="Arial" w:cs="Arial"/>
          <w:b/>
          <w:sz w:val="24"/>
          <w:szCs w:val="24"/>
        </w:rPr>
      </w:pPr>
      <w:r>
        <w:rPr>
          <w:rFonts w:ascii="Arial" w:hAnsi="Arial" w:cs="Arial"/>
          <w:b/>
          <w:sz w:val="24"/>
          <w:szCs w:val="24"/>
        </w:rPr>
        <w:t>IRM Model – Tab 11: RTSR – Historical Wholesale – January 2014 Hydro One Sub-Transmission Rates</w:t>
      </w:r>
    </w:p>
    <w:p w:rsidR="0035397C" w:rsidRDefault="0035397C" w:rsidP="0035397C">
      <w:pPr>
        <w:rPr>
          <w:rFonts w:ascii="Arial" w:hAnsi="Arial" w:cs="Arial"/>
          <w:sz w:val="24"/>
          <w:szCs w:val="24"/>
        </w:rPr>
      </w:pPr>
      <w:r>
        <w:rPr>
          <w:rFonts w:ascii="Arial" w:hAnsi="Arial" w:cs="Arial"/>
          <w:sz w:val="24"/>
          <w:szCs w:val="24"/>
        </w:rPr>
        <w:t>In the Hydro One Sub-Transmission table on Tab 11 of the model, Sioux Lookout Hydro entered $3.2 and $0.68 as the network charge and line connection charge for January 2014. These two rates are different than the rates applied to all other months in 2014, which are $3.23 for network and $0.65 for line connection.</w:t>
      </w:r>
    </w:p>
    <w:p w:rsidR="0035397C" w:rsidRDefault="0035397C" w:rsidP="0035397C">
      <w:pPr>
        <w:pStyle w:val="ListParagraph"/>
        <w:numPr>
          <w:ilvl w:val="0"/>
          <w:numId w:val="14"/>
        </w:numPr>
        <w:rPr>
          <w:rFonts w:ascii="Arial" w:hAnsi="Arial" w:cs="Arial"/>
          <w:sz w:val="24"/>
          <w:szCs w:val="24"/>
        </w:rPr>
      </w:pPr>
      <w:r>
        <w:rPr>
          <w:rFonts w:ascii="Arial" w:hAnsi="Arial" w:cs="Arial"/>
          <w:sz w:val="24"/>
          <w:szCs w:val="24"/>
        </w:rPr>
        <w:t>Please provide explanation for the discrepancy described above.</w:t>
      </w:r>
    </w:p>
    <w:p w:rsidR="0035397C" w:rsidRDefault="0035397C" w:rsidP="0035397C">
      <w:pPr>
        <w:pStyle w:val="ListParagraph"/>
        <w:rPr>
          <w:rFonts w:ascii="Arial" w:hAnsi="Arial" w:cs="Arial"/>
          <w:sz w:val="24"/>
          <w:szCs w:val="24"/>
        </w:rPr>
      </w:pPr>
    </w:p>
    <w:p w:rsidR="0035397C" w:rsidRPr="0035397C" w:rsidRDefault="0035397C" w:rsidP="0035397C">
      <w:pPr>
        <w:pStyle w:val="ListParagraph"/>
        <w:numPr>
          <w:ilvl w:val="0"/>
          <w:numId w:val="14"/>
        </w:numPr>
        <w:rPr>
          <w:rFonts w:ascii="Arial" w:hAnsi="Arial" w:cs="Arial"/>
          <w:sz w:val="24"/>
          <w:szCs w:val="24"/>
        </w:rPr>
      </w:pPr>
      <w:r>
        <w:rPr>
          <w:rFonts w:ascii="Arial" w:hAnsi="Arial" w:cs="Arial"/>
          <w:sz w:val="24"/>
          <w:szCs w:val="24"/>
        </w:rPr>
        <w:t>Please confirm the correct rates that should be applied for the two entries. OEB staff will update the model if necessary.</w:t>
      </w:r>
    </w:p>
    <w:p w:rsidR="0035397C" w:rsidRDefault="0035397C" w:rsidP="0035397C">
      <w:pPr>
        <w:rPr>
          <w:rFonts w:ascii="Arial" w:hAnsi="Arial" w:cs="Arial"/>
          <w:b/>
          <w:sz w:val="24"/>
          <w:szCs w:val="24"/>
        </w:rPr>
      </w:pPr>
    </w:p>
    <w:p w:rsidR="0035397C" w:rsidRDefault="0035397C" w:rsidP="0035397C">
      <w:pPr>
        <w:rPr>
          <w:rFonts w:ascii="Arial" w:hAnsi="Arial" w:cs="Arial"/>
          <w:b/>
          <w:sz w:val="24"/>
          <w:szCs w:val="24"/>
        </w:rPr>
      </w:pPr>
    </w:p>
    <w:p w:rsidR="0035397C" w:rsidRDefault="0035397C" w:rsidP="0035397C">
      <w:pPr>
        <w:rPr>
          <w:rFonts w:ascii="Arial" w:hAnsi="Arial" w:cs="Arial"/>
          <w:b/>
          <w:sz w:val="24"/>
          <w:szCs w:val="24"/>
        </w:rPr>
      </w:pPr>
      <w:r>
        <w:rPr>
          <w:noProof/>
          <w:lang w:eastAsia="en-CA"/>
        </w:rPr>
        <w:drawing>
          <wp:inline distT="0" distB="0" distL="0" distR="0" wp14:anchorId="69E83D90" wp14:editId="3759EA84">
            <wp:extent cx="5943600" cy="2858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858770"/>
                    </a:xfrm>
                    <a:prstGeom prst="rect">
                      <a:avLst/>
                    </a:prstGeom>
                  </pic:spPr>
                </pic:pic>
              </a:graphicData>
            </a:graphic>
          </wp:inline>
        </w:drawing>
      </w:r>
    </w:p>
    <w:p w:rsidR="00C818E2" w:rsidRPr="00CC67F1" w:rsidRDefault="00120045" w:rsidP="005216D6">
      <w:pPr>
        <w:rPr>
          <w:rFonts w:ascii="Arial" w:hAnsi="Arial" w:cs="Arial"/>
          <w:b/>
          <w:i/>
          <w:sz w:val="24"/>
          <w:szCs w:val="24"/>
        </w:rPr>
      </w:pPr>
      <w:r w:rsidRPr="00CC67F1">
        <w:rPr>
          <w:rFonts w:ascii="Arial" w:hAnsi="Arial" w:cs="Arial"/>
          <w:b/>
          <w:i/>
          <w:sz w:val="24"/>
          <w:szCs w:val="24"/>
        </w:rPr>
        <w:t>Response</w:t>
      </w:r>
    </w:p>
    <w:p w:rsidR="005117CF" w:rsidRPr="00CC67F1" w:rsidRDefault="00393092" w:rsidP="005216D6">
      <w:pPr>
        <w:pStyle w:val="ListParagraph"/>
        <w:numPr>
          <w:ilvl w:val="0"/>
          <w:numId w:val="22"/>
        </w:numPr>
        <w:rPr>
          <w:rFonts w:ascii="Arial" w:hAnsi="Arial" w:cs="Arial"/>
          <w:i/>
          <w:sz w:val="24"/>
          <w:szCs w:val="24"/>
        </w:rPr>
      </w:pPr>
      <w:r w:rsidRPr="00CC67F1">
        <w:rPr>
          <w:rFonts w:ascii="Arial" w:hAnsi="Arial" w:cs="Arial"/>
          <w:i/>
          <w:sz w:val="24"/>
          <w:szCs w:val="24"/>
        </w:rPr>
        <w:t>The model calculates the rates for these charges based on the entered units bille</w:t>
      </w:r>
      <w:r w:rsidR="00CB641F" w:rsidRPr="00CC67F1">
        <w:rPr>
          <w:rFonts w:ascii="Arial" w:hAnsi="Arial" w:cs="Arial"/>
          <w:i/>
          <w:sz w:val="24"/>
          <w:szCs w:val="24"/>
        </w:rPr>
        <w:t xml:space="preserve">d and the amount charged. </w:t>
      </w:r>
      <w:r w:rsidRPr="00CC67F1">
        <w:rPr>
          <w:rFonts w:ascii="Arial" w:hAnsi="Arial" w:cs="Arial"/>
          <w:i/>
          <w:sz w:val="24"/>
          <w:szCs w:val="24"/>
        </w:rPr>
        <w:t xml:space="preserve">SLHI is billed by Hydro One </w:t>
      </w:r>
      <w:r w:rsidR="00CB641F" w:rsidRPr="00CC67F1">
        <w:rPr>
          <w:rFonts w:ascii="Arial" w:hAnsi="Arial" w:cs="Arial"/>
          <w:i/>
          <w:sz w:val="24"/>
          <w:szCs w:val="24"/>
        </w:rPr>
        <w:t>and the January 2014 bill was from December 9, 2013 to January 10, 2014 therefore there was consumption at the old ra</w:t>
      </w:r>
      <w:r w:rsidR="007E0DF5" w:rsidRPr="00CC67F1">
        <w:rPr>
          <w:rFonts w:ascii="Arial" w:hAnsi="Arial" w:cs="Arial"/>
          <w:i/>
          <w:sz w:val="24"/>
          <w:szCs w:val="24"/>
        </w:rPr>
        <w:t>te and the new rate for January 1</w:t>
      </w:r>
      <w:r w:rsidR="007E0DF5" w:rsidRPr="00CC67F1">
        <w:rPr>
          <w:rFonts w:ascii="Arial" w:hAnsi="Arial" w:cs="Arial"/>
          <w:i/>
          <w:sz w:val="24"/>
          <w:szCs w:val="24"/>
          <w:vertAlign w:val="superscript"/>
        </w:rPr>
        <w:t>st</w:t>
      </w:r>
      <w:r w:rsidR="007E0DF5" w:rsidRPr="00CC67F1">
        <w:rPr>
          <w:rFonts w:ascii="Arial" w:hAnsi="Arial" w:cs="Arial"/>
          <w:i/>
          <w:sz w:val="24"/>
          <w:szCs w:val="24"/>
        </w:rPr>
        <w:t xml:space="preserve">. </w:t>
      </w:r>
      <w:r w:rsidR="00D92263" w:rsidRPr="00CC67F1">
        <w:rPr>
          <w:rFonts w:ascii="Arial" w:hAnsi="Arial" w:cs="Arial"/>
          <w:i/>
          <w:sz w:val="24"/>
          <w:szCs w:val="24"/>
        </w:rPr>
        <w:t xml:space="preserve">The December 2013 units and charges should be removed from this table as they were included </w:t>
      </w:r>
      <w:r w:rsidR="00D92263" w:rsidRPr="00CC67F1">
        <w:rPr>
          <w:rFonts w:ascii="Arial" w:hAnsi="Arial" w:cs="Arial"/>
          <w:i/>
          <w:sz w:val="24"/>
          <w:szCs w:val="24"/>
        </w:rPr>
        <w:lastRenderedPageBreak/>
        <w:t>in the 2015 IRM rate generator model</w:t>
      </w:r>
      <w:r w:rsidR="00CB641F" w:rsidRPr="00CC67F1">
        <w:rPr>
          <w:rFonts w:ascii="Arial" w:hAnsi="Arial" w:cs="Arial"/>
          <w:i/>
          <w:sz w:val="24"/>
          <w:szCs w:val="24"/>
        </w:rPr>
        <w:t>. SLHI switched to true monthly billing with Hydro One in October of 2014 to eliminate the need for proration.</w:t>
      </w:r>
      <w:r w:rsidR="007B7964" w:rsidRPr="00CC67F1">
        <w:rPr>
          <w:rFonts w:ascii="Arial" w:hAnsi="Arial" w:cs="Arial"/>
          <w:i/>
          <w:sz w:val="24"/>
          <w:szCs w:val="24"/>
        </w:rPr>
        <w:t xml:space="preserve"> The transition period was September where you can see the Units billed are higher.</w:t>
      </w:r>
    </w:p>
    <w:p w:rsidR="00D92263" w:rsidRPr="00CC67F1" w:rsidRDefault="00D92263" w:rsidP="00D92263">
      <w:pPr>
        <w:pStyle w:val="ListParagraph"/>
        <w:rPr>
          <w:rFonts w:ascii="Arial" w:hAnsi="Arial" w:cs="Arial"/>
          <w:i/>
          <w:sz w:val="24"/>
          <w:szCs w:val="24"/>
        </w:rPr>
      </w:pPr>
    </w:p>
    <w:p w:rsidR="00D92263" w:rsidRPr="00CC67F1" w:rsidRDefault="00D92263" w:rsidP="005216D6">
      <w:pPr>
        <w:pStyle w:val="ListParagraph"/>
        <w:numPr>
          <w:ilvl w:val="0"/>
          <w:numId w:val="22"/>
        </w:numPr>
        <w:rPr>
          <w:rFonts w:ascii="Arial" w:hAnsi="Arial" w:cs="Arial"/>
          <w:i/>
          <w:sz w:val="24"/>
          <w:szCs w:val="24"/>
        </w:rPr>
      </w:pPr>
      <w:r w:rsidRPr="00CC67F1">
        <w:rPr>
          <w:rFonts w:ascii="Arial" w:hAnsi="Arial" w:cs="Arial"/>
          <w:i/>
          <w:sz w:val="24"/>
          <w:szCs w:val="24"/>
        </w:rPr>
        <w:t>The Units billed and Amount Charged should be corrected to the amounts shown in the table below for January. This change results in the correct rate being calculated and will change the total amounts.</w:t>
      </w:r>
    </w:p>
    <w:p w:rsidR="007E0DF5" w:rsidRDefault="007E0DF5" w:rsidP="007E0DF5">
      <w:pPr>
        <w:pStyle w:val="ListParagraph"/>
        <w:rPr>
          <w:rFonts w:ascii="Arial" w:hAnsi="Arial" w:cs="Arial"/>
          <w:sz w:val="24"/>
          <w:szCs w:val="24"/>
        </w:rPr>
      </w:pPr>
    </w:p>
    <w:p w:rsidR="005117CF" w:rsidRDefault="007E0DF5" w:rsidP="0001354E">
      <w:pPr>
        <w:rPr>
          <w:rFonts w:ascii="Arial" w:hAnsi="Arial" w:cs="Arial"/>
          <w:sz w:val="24"/>
          <w:szCs w:val="24"/>
        </w:rPr>
      </w:pPr>
      <w:r w:rsidRPr="007E0DF5">
        <w:rPr>
          <w:noProof/>
          <w:lang w:eastAsia="en-CA"/>
        </w:rPr>
        <w:drawing>
          <wp:inline distT="0" distB="0" distL="0" distR="0" wp14:anchorId="0D730F1F" wp14:editId="1217CE10">
            <wp:extent cx="5943600" cy="1560443"/>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560443"/>
                    </a:xfrm>
                    <a:prstGeom prst="rect">
                      <a:avLst/>
                    </a:prstGeom>
                    <a:noFill/>
                    <a:ln>
                      <a:noFill/>
                    </a:ln>
                  </pic:spPr>
                </pic:pic>
              </a:graphicData>
            </a:graphic>
          </wp:inline>
        </w:drawing>
      </w:r>
    </w:p>
    <w:p w:rsidR="0001354E" w:rsidRPr="00E6651E" w:rsidRDefault="00E6651E" w:rsidP="0001354E">
      <w:pPr>
        <w:rPr>
          <w:rFonts w:ascii="Arial" w:hAnsi="Arial" w:cs="Arial"/>
          <w:b/>
          <w:sz w:val="28"/>
          <w:szCs w:val="24"/>
          <w:u w:val="single"/>
        </w:rPr>
      </w:pPr>
      <w:r w:rsidRPr="00E6651E">
        <w:rPr>
          <w:rFonts w:ascii="Arial" w:hAnsi="Arial" w:cs="Arial"/>
          <w:b/>
          <w:sz w:val="28"/>
          <w:szCs w:val="24"/>
          <w:u w:val="single"/>
        </w:rPr>
        <w:t>Updates to IRM M</w:t>
      </w:r>
      <w:r w:rsidR="00F72F89" w:rsidRPr="00E6651E">
        <w:rPr>
          <w:rFonts w:ascii="Arial" w:hAnsi="Arial" w:cs="Arial"/>
          <w:b/>
          <w:sz w:val="28"/>
          <w:szCs w:val="24"/>
          <w:u w:val="single"/>
        </w:rPr>
        <w:t>odel</w:t>
      </w:r>
      <w:r w:rsidRPr="00E6651E">
        <w:rPr>
          <w:rFonts w:ascii="Arial" w:hAnsi="Arial" w:cs="Arial"/>
          <w:b/>
          <w:sz w:val="28"/>
          <w:szCs w:val="24"/>
          <w:u w:val="single"/>
        </w:rPr>
        <w:t xml:space="preserve"> </w:t>
      </w:r>
      <w:r>
        <w:rPr>
          <w:rFonts w:ascii="Arial" w:hAnsi="Arial" w:cs="Arial"/>
          <w:b/>
          <w:sz w:val="28"/>
          <w:szCs w:val="24"/>
          <w:u w:val="single"/>
        </w:rPr>
        <w:t>m</w:t>
      </w:r>
      <w:r w:rsidRPr="00E6651E">
        <w:rPr>
          <w:rFonts w:ascii="Arial" w:hAnsi="Arial" w:cs="Arial"/>
          <w:b/>
          <w:sz w:val="28"/>
          <w:szCs w:val="24"/>
          <w:u w:val="single"/>
        </w:rPr>
        <w:t xml:space="preserve">ade by OEB </w:t>
      </w:r>
      <w:r>
        <w:rPr>
          <w:rFonts w:ascii="Arial" w:hAnsi="Arial" w:cs="Arial"/>
          <w:b/>
          <w:sz w:val="28"/>
          <w:szCs w:val="24"/>
          <w:u w:val="single"/>
        </w:rPr>
        <w:t>s</w:t>
      </w:r>
      <w:r w:rsidR="00F72F89" w:rsidRPr="00E6651E">
        <w:rPr>
          <w:rFonts w:ascii="Arial" w:hAnsi="Arial" w:cs="Arial"/>
          <w:b/>
          <w:sz w:val="28"/>
          <w:szCs w:val="24"/>
          <w:u w:val="single"/>
        </w:rPr>
        <w:t>taff</w:t>
      </w:r>
    </w:p>
    <w:p w:rsidR="00F72F89" w:rsidRDefault="00145A2B" w:rsidP="00145A2B">
      <w:pPr>
        <w:pStyle w:val="ListParagraph"/>
        <w:numPr>
          <w:ilvl w:val="0"/>
          <w:numId w:val="6"/>
        </w:numPr>
        <w:rPr>
          <w:rFonts w:ascii="Arial" w:hAnsi="Arial" w:cs="Arial"/>
          <w:b/>
          <w:sz w:val="24"/>
          <w:szCs w:val="24"/>
        </w:rPr>
      </w:pPr>
      <w:r>
        <w:rPr>
          <w:rFonts w:ascii="Arial" w:hAnsi="Arial" w:cs="Arial"/>
          <w:b/>
          <w:sz w:val="24"/>
          <w:szCs w:val="24"/>
        </w:rPr>
        <w:t>Tab 15: Rev2Cost_GDPIP - Price Escalator</w:t>
      </w:r>
    </w:p>
    <w:p w:rsidR="00145A2B" w:rsidRDefault="00145A2B" w:rsidP="00145A2B">
      <w:pPr>
        <w:pStyle w:val="ListParagraph"/>
        <w:rPr>
          <w:rFonts w:ascii="Arial" w:hAnsi="Arial" w:cs="Arial"/>
          <w:sz w:val="24"/>
          <w:szCs w:val="24"/>
        </w:rPr>
      </w:pPr>
    </w:p>
    <w:p w:rsidR="00145A2B" w:rsidRPr="000D1C27" w:rsidRDefault="00145A2B" w:rsidP="00145A2B">
      <w:pPr>
        <w:pStyle w:val="ListParagraph"/>
        <w:rPr>
          <w:rFonts w:ascii="Arial" w:hAnsi="Arial" w:cs="Arial"/>
          <w:szCs w:val="24"/>
        </w:rPr>
      </w:pPr>
      <w:r w:rsidRPr="000D1C27">
        <w:rPr>
          <w:rFonts w:ascii="Arial" w:hAnsi="Arial" w:cs="Arial"/>
          <w:sz w:val="24"/>
          <w:szCs w:val="24"/>
        </w:rPr>
        <w:t xml:space="preserve">The OEB has calculated the value of the inflation factor for the incentive rate setting under the Price Cap IR and Annual Index plans, for rate changes effective in 2016, to be 2.1%. The </w:t>
      </w:r>
      <w:r>
        <w:rPr>
          <w:rFonts w:ascii="Arial" w:hAnsi="Arial" w:cs="Arial"/>
          <w:sz w:val="24"/>
          <w:szCs w:val="24"/>
        </w:rPr>
        <w:t xml:space="preserve">derivation of this is shown on </w:t>
      </w:r>
      <w:r w:rsidRPr="000D1C27">
        <w:rPr>
          <w:rFonts w:ascii="Arial" w:hAnsi="Arial" w:cs="Arial"/>
          <w:sz w:val="24"/>
          <w:szCs w:val="24"/>
        </w:rPr>
        <w:t xml:space="preserve">OEB’s webpage: </w:t>
      </w:r>
      <w:hyperlink r:id="rId15" w:history="1">
        <w:r w:rsidRPr="000D1C27">
          <w:rPr>
            <w:rStyle w:val="Hyperlink"/>
            <w:rFonts w:ascii="Arial" w:hAnsi="Arial" w:cs="Arial"/>
            <w:szCs w:val="24"/>
          </w:rPr>
          <w:t>http://www.ontarioenergyboard.ca/oeb/Industry/Regulatory%20Proceedings/Applications%20Before%20the%20Board/Electricity%20Distribution%20Rates/2016%20Electricity%20Distribution%20Rate%20Applications</w:t>
        </w:r>
      </w:hyperlink>
    </w:p>
    <w:p w:rsidR="00145A2B" w:rsidRDefault="00145A2B" w:rsidP="00145A2B">
      <w:pPr>
        <w:pStyle w:val="ListParagraph"/>
        <w:rPr>
          <w:rFonts w:ascii="Arial" w:hAnsi="Arial" w:cs="Arial"/>
          <w:sz w:val="24"/>
          <w:szCs w:val="24"/>
        </w:rPr>
      </w:pPr>
      <w:r>
        <w:rPr>
          <w:rFonts w:ascii="Arial" w:hAnsi="Arial" w:cs="Arial"/>
          <w:sz w:val="24"/>
          <w:szCs w:val="24"/>
        </w:rPr>
        <w:t>This new inflation factor has been applied to Tab 15 of the IRM model as the Price Escalator.</w:t>
      </w:r>
    </w:p>
    <w:p w:rsidR="00145A2B" w:rsidRDefault="00145A2B" w:rsidP="00145A2B">
      <w:pPr>
        <w:pStyle w:val="ListParagraph"/>
        <w:rPr>
          <w:rFonts w:ascii="Arial" w:hAnsi="Arial" w:cs="Arial"/>
          <w:sz w:val="24"/>
          <w:szCs w:val="24"/>
        </w:rPr>
      </w:pPr>
    </w:p>
    <w:p w:rsidR="00145A2B" w:rsidRDefault="00145A2B" w:rsidP="00145A2B">
      <w:pPr>
        <w:pStyle w:val="ListParagraph"/>
        <w:numPr>
          <w:ilvl w:val="0"/>
          <w:numId w:val="6"/>
        </w:numPr>
        <w:rPr>
          <w:rFonts w:ascii="Arial" w:hAnsi="Arial" w:cs="Arial"/>
          <w:b/>
          <w:sz w:val="24"/>
          <w:szCs w:val="24"/>
        </w:rPr>
      </w:pPr>
      <w:r w:rsidRPr="00145A2B">
        <w:rPr>
          <w:rFonts w:ascii="Arial" w:hAnsi="Arial" w:cs="Arial"/>
          <w:b/>
          <w:sz w:val="24"/>
          <w:szCs w:val="24"/>
        </w:rPr>
        <w:t xml:space="preserve">Tab 18: Bill Impacts </w:t>
      </w:r>
      <w:r w:rsidR="00323BCB">
        <w:rPr>
          <w:rFonts w:ascii="Arial" w:hAnsi="Arial" w:cs="Arial"/>
          <w:b/>
          <w:sz w:val="24"/>
          <w:szCs w:val="24"/>
        </w:rPr>
        <w:t>–</w:t>
      </w:r>
      <w:r w:rsidRPr="00145A2B">
        <w:rPr>
          <w:rFonts w:ascii="Arial" w:hAnsi="Arial" w:cs="Arial"/>
          <w:b/>
          <w:sz w:val="24"/>
          <w:szCs w:val="24"/>
        </w:rPr>
        <w:t xml:space="preserve"> </w:t>
      </w:r>
      <w:r w:rsidR="00323BCB">
        <w:rPr>
          <w:rFonts w:ascii="Arial" w:hAnsi="Arial" w:cs="Arial"/>
          <w:b/>
          <w:sz w:val="24"/>
          <w:szCs w:val="24"/>
        </w:rPr>
        <w:t>Ontario Clean Energy Benefit (OCEB)</w:t>
      </w:r>
      <w:r w:rsidR="00D21A42">
        <w:rPr>
          <w:rFonts w:ascii="Arial" w:hAnsi="Arial" w:cs="Arial"/>
          <w:b/>
          <w:sz w:val="24"/>
          <w:szCs w:val="24"/>
        </w:rPr>
        <w:t xml:space="preserve"> and Debt Retirement Charge (DRC) to Residential Class</w:t>
      </w:r>
    </w:p>
    <w:p w:rsidR="00323BCB" w:rsidRDefault="00323BCB" w:rsidP="00323BCB">
      <w:pPr>
        <w:pStyle w:val="ListParagraph"/>
        <w:rPr>
          <w:rFonts w:ascii="Arial" w:hAnsi="Arial" w:cs="Arial"/>
          <w:b/>
          <w:sz w:val="24"/>
          <w:szCs w:val="24"/>
        </w:rPr>
      </w:pPr>
    </w:p>
    <w:p w:rsidR="00323BCB" w:rsidRDefault="00EB68C4" w:rsidP="00323BCB">
      <w:pPr>
        <w:pStyle w:val="ListParagraph"/>
        <w:rPr>
          <w:rFonts w:ascii="Arial" w:hAnsi="Arial" w:cs="Arial"/>
          <w:sz w:val="24"/>
          <w:szCs w:val="24"/>
        </w:rPr>
      </w:pPr>
      <w:r>
        <w:rPr>
          <w:rFonts w:ascii="Arial" w:hAnsi="Arial" w:cs="Arial"/>
          <w:sz w:val="24"/>
          <w:szCs w:val="24"/>
        </w:rPr>
        <w:t>Sioux Lookout Hydro</w:t>
      </w:r>
      <w:r w:rsidR="0016286E">
        <w:rPr>
          <w:rFonts w:ascii="Arial" w:hAnsi="Arial" w:cs="Arial"/>
          <w:sz w:val="24"/>
          <w:szCs w:val="24"/>
        </w:rPr>
        <w:t>’s 2016 electricity distribution rates are effective on May 1, 2016. Therefore, the “Current Board-Approved” section of the individual bill impact table should include the rates as of April 30, 2016 (the day before the effective date). The OCEB will be en</w:t>
      </w:r>
      <w:r w:rsidR="00D21A42">
        <w:rPr>
          <w:rFonts w:ascii="Arial" w:hAnsi="Arial" w:cs="Arial"/>
          <w:sz w:val="24"/>
          <w:szCs w:val="24"/>
        </w:rPr>
        <w:t>din</w:t>
      </w:r>
      <w:r>
        <w:rPr>
          <w:rFonts w:ascii="Arial" w:hAnsi="Arial" w:cs="Arial"/>
          <w:sz w:val="24"/>
          <w:szCs w:val="24"/>
        </w:rPr>
        <w:t>g on December 31, 2015, thus</w:t>
      </w:r>
      <w:r w:rsidR="00D21A42">
        <w:rPr>
          <w:rFonts w:ascii="Arial" w:hAnsi="Arial" w:cs="Arial"/>
          <w:sz w:val="24"/>
          <w:szCs w:val="24"/>
        </w:rPr>
        <w:t xml:space="preserve"> it </w:t>
      </w:r>
      <w:r>
        <w:rPr>
          <w:rFonts w:ascii="Arial" w:hAnsi="Arial" w:cs="Arial"/>
          <w:sz w:val="24"/>
          <w:szCs w:val="24"/>
        </w:rPr>
        <w:t>is</w:t>
      </w:r>
      <w:r w:rsidR="00D21A42">
        <w:rPr>
          <w:rFonts w:ascii="Arial" w:hAnsi="Arial" w:cs="Arial"/>
          <w:sz w:val="24"/>
          <w:szCs w:val="24"/>
        </w:rPr>
        <w:t xml:space="preserve"> </w:t>
      </w:r>
      <w:r>
        <w:rPr>
          <w:rFonts w:ascii="Arial" w:hAnsi="Arial" w:cs="Arial"/>
          <w:sz w:val="24"/>
          <w:szCs w:val="24"/>
        </w:rPr>
        <w:t>not applicable</w:t>
      </w:r>
      <w:r w:rsidR="00D21A42">
        <w:rPr>
          <w:rFonts w:ascii="Arial" w:hAnsi="Arial" w:cs="Arial"/>
          <w:sz w:val="24"/>
          <w:szCs w:val="24"/>
        </w:rPr>
        <w:t xml:space="preserve"> to any individual bill impact table. OEB staff has changed the “OCEB </w:t>
      </w:r>
      <w:r w:rsidR="00D21A42">
        <w:rPr>
          <w:rFonts w:ascii="Arial" w:hAnsi="Arial" w:cs="Arial"/>
          <w:sz w:val="24"/>
          <w:szCs w:val="24"/>
        </w:rPr>
        <w:lastRenderedPageBreak/>
        <w:t>Applicable?” option from “Y</w:t>
      </w:r>
      <w:r>
        <w:rPr>
          <w:rFonts w:ascii="Arial" w:hAnsi="Arial" w:cs="Arial"/>
          <w:sz w:val="24"/>
          <w:szCs w:val="24"/>
        </w:rPr>
        <w:t xml:space="preserve">es” to “No” for Residential, </w:t>
      </w:r>
      <w:r w:rsidR="00D21A42">
        <w:rPr>
          <w:rFonts w:ascii="Arial" w:hAnsi="Arial" w:cs="Arial"/>
          <w:sz w:val="24"/>
          <w:szCs w:val="24"/>
        </w:rPr>
        <w:t>GS&lt;50 kW</w:t>
      </w:r>
      <w:r>
        <w:rPr>
          <w:rFonts w:ascii="Arial" w:hAnsi="Arial" w:cs="Arial"/>
          <w:sz w:val="24"/>
          <w:szCs w:val="24"/>
        </w:rPr>
        <w:t xml:space="preserve"> and USL</w:t>
      </w:r>
      <w:r w:rsidR="00D21A42">
        <w:rPr>
          <w:rFonts w:ascii="Arial" w:hAnsi="Arial" w:cs="Arial"/>
          <w:sz w:val="24"/>
          <w:szCs w:val="24"/>
        </w:rPr>
        <w:t xml:space="preserve"> classes, so that the OCEB amount will not appear in any bill impact table.</w:t>
      </w:r>
    </w:p>
    <w:p w:rsidR="00D21A42" w:rsidRDefault="00D21A42" w:rsidP="00323BCB">
      <w:pPr>
        <w:pStyle w:val="ListParagraph"/>
        <w:rPr>
          <w:rFonts w:ascii="Arial" w:hAnsi="Arial" w:cs="Arial"/>
          <w:sz w:val="24"/>
          <w:szCs w:val="24"/>
        </w:rPr>
      </w:pPr>
    </w:p>
    <w:p w:rsidR="00D21A42" w:rsidRDefault="00D21A42" w:rsidP="00D21A42">
      <w:pPr>
        <w:pStyle w:val="ListParagraph"/>
        <w:rPr>
          <w:rFonts w:ascii="Arial" w:hAnsi="Arial" w:cs="Arial"/>
          <w:sz w:val="24"/>
          <w:szCs w:val="24"/>
        </w:rPr>
      </w:pPr>
      <w:r>
        <w:rPr>
          <w:rFonts w:ascii="Arial" w:hAnsi="Arial" w:cs="Arial"/>
          <w:sz w:val="24"/>
          <w:szCs w:val="24"/>
        </w:rPr>
        <w:t xml:space="preserve">Also, as the DRC will be removed from Residential customers’ bills after December 31, 2015, the model has been fixed to show $0 DRC </w:t>
      </w:r>
      <w:r w:rsidR="001D7086">
        <w:rPr>
          <w:rFonts w:ascii="Arial" w:hAnsi="Arial" w:cs="Arial"/>
          <w:sz w:val="24"/>
          <w:szCs w:val="24"/>
        </w:rPr>
        <w:t>rate under Current Board-Approved section for Residential Classification.</w:t>
      </w:r>
    </w:p>
    <w:p w:rsidR="00B076A5" w:rsidRDefault="00B076A5" w:rsidP="00B076A5">
      <w:pPr>
        <w:pStyle w:val="ListParagraph"/>
        <w:rPr>
          <w:rFonts w:ascii="Arial" w:hAnsi="Arial" w:cs="Arial"/>
          <w:b/>
          <w:sz w:val="24"/>
          <w:szCs w:val="24"/>
        </w:rPr>
      </w:pPr>
    </w:p>
    <w:p w:rsidR="00145A2B" w:rsidRPr="00DA09D0" w:rsidRDefault="00DA09D0" w:rsidP="00DA09D0">
      <w:pPr>
        <w:ind w:left="720"/>
        <w:rPr>
          <w:rFonts w:ascii="Arial" w:hAnsi="Arial" w:cs="Arial"/>
          <w:sz w:val="24"/>
          <w:szCs w:val="24"/>
        </w:rPr>
      </w:pPr>
      <w:r>
        <w:rPr>
          <w:rFonts w:ascii="Arial" w:hAnsi="Arial" w:cs="Arial"/>
          <w:sz w:val="24"/>
          <w:szCs w:val="24"/>
        </w:rPr>
        <w:t xml:space="preserve"> </w:t>
      </w:r>
    </w:p>
    <w:sectPr w:rsidR="00145A2B" w:rsidRPr="00DA09D0" w:rsidSect="00EA0919">
      <w:headerReference w:type="default" r:id="rId1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21" w:rsidRDefault="008B1A21" w:rsidP="00851418">
      <w:pPr>
        <w:spacing w:after="0" w:line="240" w:lineRule="auto"/>
      </w:pPr>
      <w:r>
        <w:separator/>
      </w:r>
    </w:p>
  </w:endnote>
  <w:endnote w:type="continuationSeparator" w:id="0">
    <w:p w:rsidR="008B1A21" w:rsidRDefault="008B1A21"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21" w:rsidRDefault="008B1A21" w:rsidP="00851418">
      <w:pPr>
        <w:spacing w:after="0" w:line="240" w:lineRule="auto"/>
      </w:pPr>
      <w:r>
        <w:separator/>
      </w:r>
    </w:p>
  </w:footnote>
  <w:footnote w:type="continuationSeparator" w:id="0">
    <w:p w:rsidR="008B1A21" w:rsidRDefault="008B1A21" w:rsidP="00851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68" w:rsidRPr="00547632" w:rsidRDefault="004E3268" w:rsidP="004E3268">
    <w:pPr>
      <w:pStyle w:val="Header"/>
      <w:jc w:val="right"/>
      <w:rPr>
        <w:rFonts w:asciiTheme="majorHAnsi" w:hAnsiTheme="majorHAnsi"/>
      </w:rPr>
    </w:pPr>
    <w:r w:rsidRPr="00547632">
      <w:rPr>
        <w:rFonts w:asciiTheme="majorHAnsi" w:hAnsiTheme="majorHAnsi"/>
        <w:noProof/>
        <w:lang w:eastAsia="en-CA"/>
      </w:rPr>
      <w:drawing>
        <wp:anchor distT="0" distB="0" distL="114300" distR="114300" simplePos="0" relativeHeight="251659264" behindDoc="0" locked="0" layoutInCell="1" allowOverlap="1" wp14:anchorId="030BCF0F" wp14:editId="77132685">
          <wp:simplePos x="0" y="0"/>
          <wp:positionH relativeFrom="column">
            <wp:posOffset>133350</wp:posOffset>
          </wp:positionH>
          <wp:positionV relativeFrom="paragraph">
            <wp:posOffset>-93980</wp:posOffset>
          </wp:positionV>
          <wp:extent cx="920750" cy="685800"/>
          <wp:effectExtent l="19050" t="0" r="0" b="0"/>
          <wp:wrapSquare wrapText="bothSides"/>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920750" cy="685800"/>
                  </a:xfrm>
                  <a:prstGeom prst="rect">
                    <a:avLst/>
                  </a:prstGeom>
                  <a:noFill/>
                  <a:ln w="9525">
                    <a:noFill/>
                    <a:miter lim="800000"/>
                    <a:headEnd/>
                    <a:tailEnd/>
                  </a:ln>
                </pic:spPr>
              </pic:pic>
            </a:graphicData>
          </a:graphic>
        </wp:anchor>
      </w:drawing>
    </w:r>
    <w:r w:rsidRPr="00547632">
      <w:rPr>
        <w:rFonts w:asciiTheme="majorHAnsi" w:hAnsiTheme="majorHAnsi"/>
      </w:rPr>
      <w:t>Sioux Lookout Hydro Inc.</w:t>
    </w:r>
  </w:p>
  <w:p w:rsidR="004E3268" w:rsidRPr="00547632" w:rsidRDefault="004E3268" w:rsidP="004E3268">
    <w:pPr>
      <w:pStyle w:val="Header"/>
      <w:jc w:val="right"/>
      <w:rPr>
        <w:rFonts w:asciiTheme="majorHAnsi" w:hAnsiTheme="majorHAnsi"/>
      </w:rPr>
    </w:pPr>
    <w:r>
      <w:rPr>
        <w:rFonts w:asciiTheme="majorHAnsi" w:hAnsiTheme="majorHAnsi"/>
      </w:rPr>
      <w:t>EB-2015</w:t>
    </w:r>
    <w:r w:rsidRPr="00547632">
      <w:rPr>
        <w:rFonts w:asciiTheme="majorHAnsi" w:hAnsiTheme="majorHAnsi"/>
      </w:rPr>
      <w:t>-01</w:t>
    </w:r>
    <w:r>
      <w:rPr>
        <w:rFonts w:asciiTheme="majorHAnsi" w:hAnsiTheme="majorHAnsi"/>
      </w:rPr>
      <w:t>01</w:t>
    </w:r>
  </w:p>
  <w:p w:rsidR="004E3268" w:rsidRPr="00547632" w:rsidRDefault="004E3268" w:rsidP="004E3268">
    <w:pPr>
      <w:pStyle w:val="Header"/>
      <w:jc w:val="right"/>
      <w:rPr>
        <w:rFonts w:asciiTheme="majorHAnsi" w:hAnsiTheme="majorHAnsi"/>
      </w:rPr>
    </w:pPr>
    <w:r w:rsidRPr="00547632">
      <w:rPr>
        <w:rFonts w:asciiTheme="majorHAnsi" w:hAnsiTheme="majorHAnsi"/>
      </w:rPr>
      <w:t>Response to Board Staff Interrogatories</w:t>
    </w:r>
  </w:p>
  <w:p w:rsidR="004E3268" w:rsidRPr="00547632" w:rsidRDefault="004E3268" w:rsidP="004E3268">
    <w:pPr>
      <w:pStyle w:val="Header"/>
      <w:tabs>
        <w:tab w:val="left" w:pos="1457"/>
      </w:tabs>
      <w:jc w:val="right"/>
      <w:rPr>
        <w:rFonts w:asciiTheme="majorHAnsi" w:hAnsiTheme="majorHAnsi"/>
      </w:rPr>
    </w:pPr>
    <w:r w:rsidRPr="00547632">
      <w:rPr>
        <w:rFonts w:asciiTheme="majorHAnsi" w:hAnsiTheme="majorHAnsi"/>
      </w:rPr>
      <w:t xml:space="preserve">Page </w:t>
    </w:r>
    <w:r w:rsidRPr="00547632">
      <w:rPr>
        <w:rFonts w:asciiTheme="majorHAnsi" w:hAnsiTheme="majorHAnsi"/>
      </w:rPr>
      <w:fldChar w:fldCharType="begin"/>
    </w:r>
    <w:r w:rsidRPr="00547632">
      <w:rPr>
        <w:rFonts w:asciiTheme="majorHAnsi" w:hAnsiTheme="majorHAnsi"/>
      </w:rPr>
      <w:instrText xml:space="preserve"> PAGE </w:instrText>
    </w:r>
    <w:r w:rsidRPr="00547632">
      <w:rPr>
        <w:rFonts w:asciiTheme="majorHAnsi" w:hAnsiTheme="majorHAnsi"/>
      </w:rPr>
      <w:fldChar w:fldCharType="separate"/>
    </w:r>
    <w:r w:rsidR="00B05716">
      <w:rPr>
        <w:rFonts w:asciiTheme="majorHAnsi" w:hAnsiTheme="majorHAnsi"/>
        <w:noProof/>
      </w:rPr>
      <w:t>1</w:t>
    </w:r>
    <w:r w:rsidRPr="00547632">
      <w:rPr>
        <w:rFonts w:asciiTheme="majorHAnsi" w:hAnsiTheme="majorHAnsi"/>
        <w:noProof/>
      </w:rPr>
      <w:fldChar w:fldCharType="end"/>
    </w:r>
    <w:r w:rsidRPr="00547632">
      <w:rPr>
        <w:rFonts w:asciiTheme="majorHAnsi" w:hAnsiTheme="majorHAnsi"/>
      </w:rPr>
      <w:t xml:space="preserve"> of </w:t>
    </w:r>
    <w:r w:rsidRPr="00547632">
      <w:rPr>
        <w:rFonts w:asciiTheme="majorHAnsi" w:hAnsiTheme="majorHAnsi"/>
      </w:rPr>
      <w:fldChar w:fldCharType="begin"/>
    </w:r>
    <w:r w:rsidRPr="00547632">
      <w:rPr>
        <w:rFonts w:asciiTheme="majorHAnsi" w:hAnsiTheme="majorHAnsi"/>
      </w:rPr>
      <w:instrText xml:space="preserve"> NUMPAGES </w:instrText>
    </w:r>
    <w:r w:rsidRPr="00547632">
      <w:rPr>
        <w:rFonts w:asciiTheme="majorHAnsi" w:hAnsiTheme="majorHAnsi"/>
      </w:rPr>
      <w:fldChar w:fldCharType="separate"/>
    </w:r>
    <w:r w:rsidR="00B05716">
      <w:rPr>
        <w:rFonts w:asciiTheme="majorHAnsi" w:hAnsiTheme="majorHAnsi"/>
        <w:noProof/>
      </w:rPr>
      <w:t>10</w:t>
    </w:r>
    <w:r w:rsidRPr="00547632">
      <w:rPr>
        <w:rFonts w:asciiTheme="majorHAnsi" w:hAnsiTheme="majorHAnsi"/>
        <w:noProof/>
      </w:rPr>
      <w:fldChar w:fldCharType="end"/>
    </w:r>
  </w:p>
  <w:p w:rsidR="00851418" w:rsidRDefault="00851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011B1018"/>
    <w:multiLevelType w:val="hybridMultilevel"/>
    <w:tmpl w:val="4D9A93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0005A24"/>
    <w:multiLevelType w:val="hybridMultilevel"/>
    <w:tmpl w:val="740C6E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6F0446"/>
    <w:multiLevelType w:val="hybridMultilevel"/>
    <w:tmpl w:val="5F244478"/>
    <w:lvl w:ilvl="0" w:tplc="3A7632C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9441685"/>
    <w:multiLevelType w:val="hybridMultilevel"/>
    <w:tmpl w:val="A1FE1A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A841462"/>
    <w:multiLevelType w:val="hybridMultilevel"/>
    <w:tmpl w:val="8124C53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18B24B0"/>
    <w:multiLevelType w:val="hybridMultilevel"/>
    <w:tmpl w:val="FDC641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2E761A1"/>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5">
    <w:nsid w:val="56497878"/>
    <w:multiLevelType w:val="hybridMultilevel"/>
    <w:tmpl w:val="0742B8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9EB1C76"/>
    <w:multiLevelType w:val="hybridMultilevel"/>
    <w:tmpl w:val="9E1C1A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D02A2"/>
    <w:multiLevelType w:val="hybridMultilevel"/>
    <w:tmpl w:val="541870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4"/>
  </w:num>
  <w:num w:numId="3">
    <w:abstractNumId w:val="9"/>
  </w:num>
  <w:num w:numId="4">
    <w:abstractNumId w:val="7"/>
  </w:num>
  <w:num w:numId="5">
    <w:abstractNumId w:val="8"/>
  </w:num>
  <w:num w:numId="6">
    <w:abstractNumId w:val="11"/>
  </w:num>
  <w:num w:numId="7">
    <w:abstractNumId w:val="16"/>
  </w:num>
  <w:num w:numId="8">
    <w:abstractNumId w:val="17"/>
  </w:num>
  <w:num w:numId="9">
    <w:abstractNumId w:val="2"/>
  </w:num>
  <w:num w:numId="10">
    <w:abstractNumId w:val="0"/>
  </w:num>
  <w:num w:numId="11">
    <w:abstractNumId w:val="14"/>
  </w:num>
  <w:num w:numId="12">
    <w:abstractNumId w:val="10"/>
  </w:num>
  <w:num w:numId="13">
    <w:abstractNumId w:val="18"/>
  </w:num>
  <w:num w:numId="14">
    <w:abstractNumId w:val="3"/>
  </w:num>
  <w:num w:numId="15">
    <w:abstractNumId w:val="12"/>
  </w:num>
  <w:num w:numId="16">
    <w:abstractNumId w:val="15"/>
  </w:num>
  <w:num w:numId="17">
    <w:abstractNumId w:val="1"/>
  </w:num>
  <w:num w:numId="18">
    <w:abstractNumId w:val="21"/>
  </w:num>
  <w:num w:numId="19">
    <w:abstractNumId w:val="13"/>
  </w:num>
  <w:num w:numId="20">
    <w:abstractNumId w:val="6"/>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8"/>
    <w:rsid w:val="0001354E"/>
    <w:rsid w:val="00041BBD"/>
    <w:rsid w:val="000B7C67"/>
    <w:rsid w:val="000C035C"/>
    <w:rsid w:val="00120045"/>
    <w:rsid w:val="00145A2B"/>
    <w:rsid w:val="00146770"/>
    <w:rsid w:val="001563E4"/>
    <w:rsid w:val="0016286E"/>
    <w:rsid w:val="00196AFC"/>
    <w:rsid w:val="001D7086"/>
    <w:rsid w:val="001E069B"/>
    <w:rsid w:val="00204A40"/>
    <w:rsid w:val="002B144E"/>
    <w:rsid w:val="002D2F55"/>
    <w:rsid w:val="00323BCB"/>
    <w:rsid w:val="0032442F"/>
    <w:rsid w:val="0035397C"/>
    <w:rsid w:val="003856F8"/>
    <w:rsid w:val="00393092"/>
    <w:rsid w:val="00394351"/>
    <w:rsid w:val="003A7960"/>
    <w:rsid w:val="00412DC6"/>
    <w:rsid w:val="00464D00"/>
    <w:rsid w:val="00482AAF"/>
    <w:rsid w:val="004A2AA2"/>
    <w:rsid w:val="004D5177"/>
    <w:rsid w:val="004E3268"/>
    <w:rsid w:val="005117CF"/>
    <w:rsid w:val="005216D6"/>
    <w:rsid w:val="005C5C6B"/>
    <w:rsid w:val="0060662D"/>
    <w:rsid w:val="00606AA8"/>
    <w:rsid w:val="00634992"/>
    <w:rsid w:val="006561C4"/>
    <w:rsid w:val="0069057C"/>
    <w:rsid w:val="00746080"/>
    <w:rsid w:val="007B7964"/>
    <w:rsid w:val="007E0DF5"/>
    <w:rsid w:val="00806D93"/>
    <w:rsid w:val="0081328F"/>
    <w:rsid w:val="00834E7C"/>
    <w:rsid w:val="00850053"/>
    <w:rsid w:val="00851418"/>
    <w:rsid w:val="0087639C"/>
    <w:rsid w:val="008A5D3A"/>
    <w:rsid w:val="008B1A21"/>
    <w:rsid w:val="008C74E3"/>
    <w:rsid w:val="008F688C"/>
    <w:rsid w:val="009643D1"/>
    <w:rsid w:val="00983A06"/>
    <w:rsid w:val="00A20A15"/>
    <w:rsid w:val="00A265BF"/>
    <w:rsid w:val="00AA06D9"/>
    <w:rsid w:val="00AF288A"/>
    <w:rsid w:val="00B05716"/>
    <w:rsid w:val="00B076A5"/>
    <w:rsid w:val="00B15554"/>
    <w:rsid w:val="00B25576"/>
    <w:rsid w:val="00B314F3"/>
    <w:rsid w:val="00B76EA7"/>
    <w:rsid w:val="00BA4DBB"/>
    <w:rsid w:val="00C818E2"/>
    <w:rsid w:val="00CB168B"/>
    <w:rsid w:val="00CB641F"/>
    <w:rsid w:val="00CC67F1"/>
    <w:rsid w:val="00CC6D11"/>
    <w:rsid w:val="00CC73B6"/>
    <w:rsid w:val="00D0773D"/>
    <w:rsid w:val="00D21A42"/>
    <w:rsid w:val="00D23FA5"/>
    <w:rsid w:val="00D36BBE"/>
    <w:rsid w:val="00D91B73"/>
    <w:rsid w:val="00D92263"/>
    <w:rsid w:val="00D95CAA"/>
    <w:rsid w:val="00D974D5"/>
    <w:rsid w:val="00DA09D0"/>
    <w:rsid w:val="00DC3F8F"/>
    <w:rsid w:val="00DD09DC"/>
    <w:rsid w:val="00DE0AAE"/>
    <w:rsid w:val="00E23ECF"/>
    <w:rsid w:val="00E261A1"/>
    <w:rsid w:val="00E6651E"/>
    <w:rsid w:val="00E7523D"/>
    <w:rsid w:val="00EA0919"/>
    <w:rsid w:val="00EB68C4"/>
    <w:rsid w:val="00EC0C97"/>
    <w:rsid w:val="00EC26AE"/>
    <w:rsid w:val="00F213C1"/>
    <w:rsid w:val="00F72F89"/>
    <w:rsid w:val="00FB3A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ontarioenergyboard.ca/oeb/Industry/Regulatory%20Proceedings/Applications%20Before%20the%20Board/Electricity%20Distribution%20Rates/2016%20Electricity%20Distribution%20Rate%20Applications"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4264-6D68-4419-B31F-FBA56418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1249</Words>
  <Characters>7120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Katherine Wang</cp:lastModifiedBy>
  <cp:revision>2</cp:revision>
  <cp:lastPrinted>2015-11-19T19:41:00Z</cp:lastPrinted>
  <dcterms:created xsi:type="dcterms:W3CDTF">2015-11-23T15:42:00Z</dcterms:created>
  <dcterms:modified xsi:type="dcterms:W3CDTF">2015-11-23T15:42:00Z</dcterms:modified>
</cp:coreProperties>
</file>