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080" w:rsidRPr="00394351" w:rsidRDefault="002F12A5" w:rsidP="00D0773D">
      <w:pPr>
        <w:jc w:val="center"/>
        <w:rPr>
          <w:rFonts w:ascii="Arial" w:hAnsi="Arial" w:cs="Arial"/>
          <w:b/>
          <w:sz w:val="28"/>
          <w:szCs w:val="28"/>
        </w:rPr>
      </w:pPr>
      <w:bookmarkStart w:id="0" w:name="_GoBack"/>
      <w:bookmarkEnd w:id="0"/>
      <w:proofErr w:type="spellStart"/>
      <w:r>
        <w:rPr>
          <w:rFonts w:ascii="Arial" w:hAnsi="Arial" w:cs="Arial"/>
          <w:b/>
          <w:sz w:val="28"/>
          <w:szCs w:val="28"/>
        </w:rPr>
        <w:t>Westario</w:t>
      </w:r>
      <w:proofErr w:type="spellEnd"/>
      <w:r>
        <w:rPr>
          <w:rFonts w:ascii="Arial" w:hAnsi="Arial" w:cs="Arial"/>
          <w:b/>
          <w:sz w:val="28"/>
          <w:szCs w:val="28"/>
        </w:rPr>
        <w:t xml:space="preserve"> Power </w:t>
      </w:r>
      <w:r w:rsidR="00D5062F">
        <w:rPr>
          <w:rFonts w:ascii="Arial" w:hAnsi="Arial" w:cs="Arial"/>
          <w:b/>
          <w:sz w:val="28"/>
          <w:szCs w:val="28"/>
        </w:rPr>
        <w:t>Inc</w:t>
      </w:r>
      <w:r w:rsidR="00394351" w:rsidRPr="00394351">
        <w:rPr>
          <w:rFonts w:ascii="Arial" w:hAnsi="Arial" w:cs="Arial"/>
          <w:b/>
          <w:sz w:val="28"/>
          <w:szCs w:val="28"/>
        </w:rPr>
        <w:t>.</w:t>
      </w:r>
    </w:p>
    <w:p w:rsidR="00394351" w:rsidRDefault="00394351" w:rsidP="00394351">
      <w:pPr>
        <w:jc w:val="center"/>
        <w:rPr>
          <w:rFonts w:ascii="Arial" w:hAnsi="Arial" w:cs="Arial"/>
          <w:b/>
          <w:sz w:val="28"/>
          <w:szCs w:val="28"/>
        </w:rPr>
      </w:pPr>
      <w:r>
        <w:rPr>
          <w:rFonts w:ascii="Arial" w:hAnsi="Arial" w:cs="Arial"/>
          <w:b/>
          <w:sz w:val="28"/>
          <w:szCs w:val="28"/>
        </w:rPr>
        <w:t xml:space="preserve">2016 Price Cap IR Application </w:t>
      </w:r>
      <w:r w:rsidR="00D0773D">
        <w:rPr>
          <w:rFonts w:ascii="Arial" w:hAnsi="Arial" w:cs="Arial"/>
          <w:b/>
          <w:sz w:val="28"/>
          <w:szCs w:val="28"/>
        </w:rPr>
        <w:t>(EB-2015-0</w:t>
      </w:r>
      <w:r w:rsidR="002F12A5">
        <w:rPr>
          <w:rFonts w:ascii="Arial" w:hAnsi="Arial" w:cs="Arial"/>
          <w:b/>
          <w:sz w:val="28"/>
          <w:szCs w:val="28"/>
        </w:rPr>
        <w:t>104</w:t>
      </w:r>
      <w:r w:rsidRPr="00394351">
        <w:rPr>
          <w:rFonts w:ascii="Arial" w:hAnsi="Arial" w:cs="Arial"/>
          <w:b/>
          <w:sz w:val="28"/>
          <w:szCs w:val="28"/>
        </w:rPr>
        <w:t>)</w:t>
      </w:r>
    </w:p>
    <w:p w:rsidR="00394351" w:rsidRDefault="00394351" w:rsidP="00394351">
      <w:pPr>
        <w:jc w:val="center"/>
        <w:rPr>
          <w:rFonts w:ascii="Arial" w:hAnsi="Arial" w:cs="Arial"/>
          <w:b/>
          <w:sz w:val="28"/>
          <w:szCs w:val="28"/>
        </w:rPr>
      </w:pPr>
      <w:r w:rsidRPr="00394351">
        <w:rPr>
          <w:rFonts w:ascii="Arial" w:hAnsi="Arial" w:cs="Arial"/>
          <w:b/>
          <w:sz w:val="28"/>
          <w:szCs w:val="28"/>
        </w:rPr>
        <w:t>Application Analysis</w:t>
      </w:r>
    </w:p>
    <w:p w:rsidR="00394351" w:rsidRPr="00CC447E" w:rsidRDefault="002F12A5" w:rsidP="00CC447E">
      <w:pPr>
        <w:jc w:val="center"/>
        <w:rPr>
          <w:rFonts w:ascii="Arial" w:hAnsi="Arial" w:cs="Arial"/>
          <w:b/>
          <w:sz w:val="24"/>
          <w:szCs w:val="28"/>
        </w:rPr>
      </w:pPr>
      <w:r>
        <w:rPr>
          <w:rFonts w:ascii="Arial" w:hAnsi="Arial" w:cs="Arial"/>
          <w:b/>
          <w:sz w:val="24"/>
          <w:szCs w:val="28"/>
        </w:rPr>
        <w:t>December 7,</w:t>
      </w:r>
      <w:r w:rsidR="00634992" w:rsidRPr="00634992">
        <w:rPr>
          <w:rFonts w:ascii="Arial" w:hAnsi="Arial" w:cs="Arial"/>
          <w:b/>
          <w:sz w:val="24"/>
          <w:szCs w:val="28"/>
        </w:rPr>
        <w:t xml:space="preserve"> 2015</w:t>
      </w:r>
    </w:p>
    <w:p w:rsidR="00E6651E" w:rsidRPr="00E6651E" w:rsidRDefault="00E6651E" w:rsidP="0032442F">
      <w:pPr>
        <w:rPr>
          <w:rFonts w:ascii="Arial" w:hAnsi="Arial" w:cs="Arial"/>
          <w:b/>
          <w:sz w:val="28"/>
          <w:szCs w:val="24"/>
          <w:u w:val="single"/>
        </w:rPr>
      </w:pPr>
      <w:r w:rsidRPr="00E6651E">
        <w:rPr>
          <w:rFonts w:ascii="Arial" w:hAnsi="Arial" w:cs="Arial"/>
          <w:b/>
          <w:sz w:val="28"/>
          <w:szCs w:val="24"/>
          <w:u w:val="single"/>
        </w:rPr>
        <w:t>Interrogatories</w:t>
      </w:r>
    </w:p>
    <w:p w:rsidR="00464D00" w:rsidRDefault="00464D00" w:rsidP="0032442F">
      <w:pPr>
        <w:rPr>
          <w:rFonts w:ascii="Arial" w:hAnsi="Arial" w:cs="Arial"/>
          <w:b/>
          <w:sz w:val="24"/>
          <w:szCs w:val="24"/>
        </w:rPr>
      </w:pPr>
      <w:r>
        <w:rPr>
          <w:rFonts w:ascii="Arial" w:hAnsi="Arial" w:cs="Arial"/>
          <w:b/>
          <w:sz w:val="24"/>
          <w:szCs w:val="24"/>
        </w:rPr>
        <w:t xml:space="preserve">Interrogatory #1 </w:t>
      </w:r>
    </w:p>
    <w:p w:rsidR="00F72F89" w:rsidRDefault="00DD09DC" w:rsidP="0001354E">
      <w:pPr>
        <w:rPr>
          <w:rFonts w:ascii="Arial" w:hAnsi="Arial" w:cs="Arial"/>
          <w:b/>
          <w:sz w:val="24"/>
          <w:szCs w:val="24"/>
        </w:rPr>
      </w:pPr>
      <w:r>
        <w:rPr>
          <w:rFonts w:ascii="Arial" w:hAnsi="Arial" w:cs="Arial"/>
          <w:b/>
          <w:sz w:val="24"/>
          <w:szCs w:val="24"/>
        </w:rPr>
        <w:t>IRM Model – Ta</w:t>
      </w:r>
      <w:r w:rsidR="00EC26AE">
        <w:rPr>
          <w:rFonts w:ascii="Arial" w:hAnsi="Arial" w:cs="Arial"/>
          <w:b/>
          <w:sz w:val="24"/>
          <w:szCs w:val="24"/>
        </w:rPr>
        <w:t xml:space="preserve">b </w:t>
      </w:r>
      <w:r w:rsidR="00FD086E">
        <w:rPr>
          <w:rFonts w:ascii="Arial" w:hAnsi="Arial" w:cs="Arial"/>
          <w:b/>
          <w:sz w:val="24"/>
          <w:szCs w:val="24"/>
        </w:rPr>
        <w:t>3</w:t>
      </w:r>
      <w:r w:rsidR="00EC26AE">
        <w:rPr>
          <w:rFonts w:ascii="Arial" w:hAnsi="Arial" w:cs="Arial"/>
          <w:b/>
          <w:sz w:val="24"/>
          <w:szCs w:val="24"/>
        </w:rPr>
        <w:t xml:space="preserve">: </w:t>
      </w:r>
      <w:r w:rsidR="00FD086E">
        <w:rPr>
          <w:rFonts w:ascii="Arial" w:hAnsi="Arial" w:cs="Arial"/>
          <w:b/>
          <w:sz w:val="24"/>
          <w:szCs w:val="24"/>
        </w:rPr>
        <w:t>2015 Continuity Schedule</w:t>
      </w:r>
    </w:p>
    <w:p w:rsidR="00240211" w:rsidRDefault="00240211" w:rsidP="00240211">
      <w:pPr>
        <w:pStyle w:val="ListParagraph"/>
        <w:numPr>
          <w:ilvl w:val="0"/>
          <w:numId w:val="20"/>
        </w:numPr>
        <w:rPr>
          <w:rFonts w:ascii="Arial" w:hAnsi="Arial" w:cs="Arial"/>
          <w:sz w:val="24"/>
          <w:szCs w:val="24"/>
        </w:rPr>
      </w:pPr>
      <w:r>
        <w:rPr>
          <w:rFonts w:ascii="Arial" w:hAnsi="Arial" w:cs="Arial"/>
          <w:sz w:val="24"/>
          <w:szCs w:val="24"/>
        </w:rPr>
        <w:t>Please explain the principal adjustment during 2011 in account 1595 (2011) in amount of ($686,282).</w:t>
      </w:r>
    </w:p>
    <w:p w:rsidR="00240211" w:rsidRDefault="00240211" w:rsidP="00240211">
      <w:pPr>
        <w:pStyle w:val="ListParagraph"/>
        <w:rPr>
          <w:rFonts w:ascii="Arial" w:hAnsi="Arial" w:cs="Arial"/>
          <w:sz w:val="24"/>
          <w:szCs w:val="24"/>
        </w:rPr>
      </w:pPr>
      <w:r>
        <w:rPr>
          <w:noProof/>
          <w:lang w:eastAsia="en-CA"/>
        </w:rPr>
        <w:drawing>
          <wp:inline distT="0" distB="0" distL="0" distR="0" wp14:anchorId="14ECB8D9" wp14:editId="2D1F9AA1">
            <wp:extent cx="5943600" cy="32848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3284855"/>
                    </a:xfrm>
                    <a:prstGeom prst="rect">
                      <a:avLst/>
                    </a:prstGeom>
                  </pic:spPr>
                </pic:pic>
              </a:graphicData>
            </a:graphic>
          </wp:inline>
        </w:drawing>
      </w:r>
    </w:p>
    <w:p w:rsidR="00815F13" w:rsidRDefault="004246D5" w:rsidP="00C32232">
      <w:pPr>
        <w:pStyle w:val="ListParagraph"/>
        <w:rPr>
          <w:rFonts w:ascii="Arial" w:hAnsi="Arial" w:cs="Arial"/>
          <w:color w:val="0070C0"/>
          <w:sz w:val="24"/>
          <w:szCs w:val="24"/>
        </w:rPr>
      </w:pPr>
      <w:r w:rsidRPr="004246D5">
        <w:rPr>
          <w:rFonts w:ascii="Arial" w:hAnsi="Arial" w:cs="Arial"/>
          <w:color w:val="0070C0"/>
          <w:sz w:val="24"/>
          <w:szCs w:val="24"/>
        </w:rPr>
        <w:t xml:space="preserve">WPI </w:t>
      </w:r>
      <w:r>
        <w:rPr>
          <w:rFonts w:ascii="Arial" w:hAnsi="Arial" w:cs="Arial"/>
          <w:color w:val="0070C0"/>
          <w:sz w:val="24"/>
          <w:szCs w:val="24"/>
        </w:rPr>
        <w:t>–</w:t>
      </w:r>
      <w:r w:rsidRPr="004246D5">
        <w:rPr>
          <w:rFonts w:ascii="Arial" w:hAnsi="Arial" w:cs="Arial"/>
          <w:color w:val="0070C0"/>
          <w:sz w:val="24"/>
          <w:szCs w:val="24"/>
        </w:rPr>
        <w:t xml:space="preserve"> </w:t>
      </w:r>
      <w:r>
        <w:rPr>
          <w:rFonts w:ascii="Arial" w:hAnsi="Arial" w:cs="Arial"/>
          <w:color w:val="0070C0"/>
          <w:sz w:val="24"/>
          <w:szCs w:val="24"/>
        </w:rPr>
        <w:t xml:space="preserve">This represents the amounts recovered from customers in 2011 </w:t>
      </w:r>
      <w:r w:rsidR="00C43286">
        <w:rPr>
          <w:rFonts w:ascii="Arial" w:hAnsi="Arial" w:cs="Arial"/>
          <w:color w:val="0070C0"/>
          <w:sz w:val="24"/>
          <w:szCs w:val="24"/>
        </w:rPr>
        <w:t>from</w:t>
      </w:r>
      <w:r>
        <w:rPr>
          <w:rFonts w:ascii="Arial" w:hAnsi="Arial" w:cs="Arial"/>
          <w:color w:val="0070C0"/>
          <w:sz w:val="24"/>
          <w:szCs w:val="24"/>
        </w:rPr>
        <w:t xml:space="preserve"> the DVA and GA DVA (non-RPP) </w:t>
      </w:r>
      <w:r w:rsidR="00815F13">
        <w:rPr>
          <w:rFonts w:ascii="Arial" w:hAnsi="Arial" w:cs="Arial"/>
          <w:color w:val="0070C0"/>
          <w:sz w:val="24"/>
          <w:szCs w:val="24"/>
        </w:rPr>
        <w:t xml:space="preserve">rate rider </w:t>
      </w:r>
      <w:r>
        <w:rPr>
          <w:rFonts w:ascii="Arial" w:hAnsi="Arial" w:cs="Arial"/>
          <w:color w:val="0070C0"/>
          <w:sz w:val="24"/>
          <w:szCs w:val="24"/>
        </w:rPr>
        <w:t>approved on the 2011 IRM (EB-2010-0122)</w:t>
      </w:r>
      <w:r w:rsidR="00815F13">
        <w:rPr>
          <w:rFonts w:ascii="Arial" w:hAnsi="Arial" w:cs="Arial"/>
          <w:color w:val="0070C0"/>
          <w:sz w:val="24"/>
          <w:szCs w:val="24"/>
        </w:rPr>
        <w:t xml:space="preserve"> for rates effective May 01, 2011.</w:t>
      </w:r>
      <w:r w:rsidR="004C1705">
        <w:rPr>
          <w:rFonts w:ascii="Arial" w:hAnsi="Arial" w:cs="Arial"/>
          <w:color w:val="0070C0"/>
          <w:sz w:val="24"/>
          <w:szCs w:val="24"/>
        </w:rPr>
        <w:t xml:space="preserve"> WPI notes that this has been previously filed (2014 and 2015 IRM’s) under the adjustment column rather than the transactions column, and have kept it </w:t>
      </w:r>
      <w:r w:rsidR="005642F3">
        <w:rPr>
          <w:rFonts w:ascii="Arial" w:hAnsi="Arial" w:cs="Arial"/>
          <w:color w:val="0070C0"/>
          <w:sz w:val="24"/>
          <w:szCs w:val="24"/>
        </w:rPr>
        <w:t>t</w:t>
      </w:r>
      <w:r w:rsidR="004C1705">
        <w:rPr>
          <w:rFonts w:ascii="Arial" w:hAnsi="Arial" w:cs="Arial"/>
          <w:color w:val="0070C0"/>
          <w:sz w:val="24"/>
          <w:szCs w:val="24"/>
        </w:rPr>
        <w:t>here for consistency. We apologize if this resulted in any misunderstanding. Th</w:t>
      </w:r>
      <w:r w:rsidR="005642F3">
        <w:rPr>
          <w:rFonts w:ascii="Arial" w:hAnsi="Arial" w:cs="Arial"/>
          <w:color w:val="0070C0"/>
          <w:sz w:val="24"/>
          <w:szCs w:val="24"/>
        </w:rPr>
        <w:t>is would also apply to question</w:t>
      </w:r>
      <w:r w:rsidR="004C1705">
        <w:rPr>
          <w:rFonts w:ascii="Arial" w:hAnsi="Arial" w:cs="Arial"/>
          <w:color w:val="0070C0"/>
          <w:sz w:val="24"/>
          <w:szCs w:val="24"/>
        </w:rPr>
        <w:t xml:space="preserve"> b) below.</w:t>
      </w:r>
      <w:r w:rsidR="00C43286">
        <w:rPr>
          <w:rFonts w:ascii="Arial" w:hAnsi="Arial" w:cs="Arial"/>
          <w:color w:val="0070C0"/>
          <w:sz w:val="24"/>
          <w:szCs w:val="24"/>
        </w:rPr>
        <w:t xml:space="preserve"> If the OEB requires a re-file with this amount in the transactions column, WPI will complete and </w:t>
      </w:r>
      <w:r w:rsidR="005642F3">
        <w:rPr>
          <w:rFonts w:ascii="Arial" w:hAnsi="Arial" w:cs="Arial"/>
          <w:color w:val="0070C0"/>
          <w:sz w:val="24"/>
          <w:szCs w:val="24"/>
        </w:rPr>
        <w:t>re-</w:t>
      </w:r>
      <w:r w:rsidR="00C43286">
        <w:rPr>
          <w:rFonts w:ascii="Arial" w:hAnsi="Arial" w:cs="Arial"/>
          <w:color w:val="0070C0"/>
          <w:sz w:val="24"/>
          <w:szCs w:val="24"/>
        </w:rPr>
        <w:t>send</w:t>
      </w:r>
      <w:r w:rsidR="005642F3">
        <w:rPr>
          <w:rFonts w:ascii="Arial" w:hAnsi="Arial" w:cs="Arial"/>
          <w:color w:val="0070C0"/>
          <w:sz w:val="24"/>
          <w:szCs w:val="24"/>
        </w:rPr>
        <w:t xml:space="preserve"> the respective excel file.</w:t>
      </w:r>
      <w:r w:rsidR="00EF77BC">
        <w:rPr>
          <w:rFonts w:ascii="Arial" w:hAnsi="Arial" w:cs="Arial"/>
          <w:color w:val="0070C0"/>
          <w:sz w:val="24"/>
          <w:szCs w:val="24"/>
        </w:rPr>
        <w:t xml:space="preserve"> WPI notes that a re-file </w:t>
      </w:r>
      <w:r w:rsidR="00C32232">
        <w:rPr>
          <w:rFonts w:ascii="Arial" w:hAnsi="Arial" w:cs="Arial"/>
          <w:color w:val="0070C0"/>
          <w:sz w:val="24"/>
          <w:szCs w:val="24"/>
        </w:rPr>
        <w:t xml:space="preserve">as indicated above </w:t>
      </w:r>
      <w:r w:rsidR="00EF77BC">
        <w:rPr>
          <w:rFonts w:ascii="Arial" w:hAnsi="Arial" w:cs="Arial"/>
          <w:color w:val="0070C0"/>
          <w:sz w:val="24"/>
          <w:szCs w:val="24"/>
        </w:rPr>
        <w:t>will not alter the variance calculation in column BA.</w:t>
      </w:r>
      <w:r w:rsidR="00815F13">
        <w:rPr>
          <w:rFonts w:ascii="Arial" w:hAnsi="Arial" w:cs="Arial"/>
          <w:color w:val="0070C0"/>
          <w:sz w:val="24"/>
          <w:szCs w:val="24"/>
        </w:rPr>
        <w:br w:type="page"/>
      </w:r>
    </w:p>
    <w:p w:rsidR="00815F13" w:rsidRPr="004246D5" w:rsidRDefault="00815F13" w:rsidP="00240211">
      <w:pPr>
        <w:pStyle w:val="ListParagraph"/>
        <w:rPr>
          <w:rFonts w:ascii="Arial" w:hAnsi="Arial" w:cs="Arial"/>
          <w:color w:val="0070C0"/>
          <w:sz w:val="24"/>
          <w:szCs w:val="24"/>
        </w:rPr>
      </w:pPr>
    </w:p>
    <w:p w:rsidR="00240211" w:rsidRDefault="00240211" w:rsidP="00240211">
      <w:pPr>
        <w:pStyle w:val="ListParagraph"/>
        <w:numPr>
          <w:ilvl w:val="0"/>
          <w:numId w:val="20"/>
        </w:numPr>
        <w:rPr>
          <w:rFonts w:ascii="Arial" w:hAnsi="Arial" w:cs="Arial"/>
          <w:sz w:val="24"/>
          <w:szCs w:val="24"/>
        </w:rPr>
      </w:pPr>
      <w:r>
        <w:rPr>
          <w:rFonts w:ascii="Arial" w:hAnsi="Arial" w:cs="Arial"/>
          <w:sz w:val="24"/>
          <w:szCs w:val="24"/>
        </w:rPr>
        <w:t>Please explain the interest adjustment during 2011 in account 1595 (2009) in amount of ($227,410).</w:t>
      </w:r>
    </w:p>
    <w:p w:rsidR="00240211" w:rsidRDefault="00240211" w:rsidP="00240211">
      <w:pPr>
        <w:pStyle w:val="ListParagraph"/>
        <w:rPr>
          <w:rFonts w:ascii="Arial" w:hAnsi="Arial" w:cs="Arial"/>
          <w:sz w:val="24"/>
          <w:szCs w:val="24"/>
        </w:rPr>
      </w:pPr>
      <w:r>
        <w:rPr>
          <w:noProof/>
          <w:lang w:eastAsia="en-CA"/>
        </w:rPr>
        <w:drawing>
          <wp:inline distT="0" distB="0" distL="0" distR="0" wp14:anchorId="2245353E" wp14:editId="54183FF9">
            <wp:extent cx="5638800" cy="4970227"/>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38096" cy="4969606"/>
                    </a:xfrm>
                    <a:prstGeom prst="rect">
                      <a:avLst/>
                    </a:prstGeom>
                  </pic:spPr>
                </pic:pic>
              </a:graphicData>
            </a:graphic>
          </wp:inline>
        </w:drawing>
      </w:r>
    </w:p>
    <w:p w:rsidR="00EC7767" w:rsidRDefault="00EC7767" w:rsidP="00240211">
      <w:pPr>
        <w:pStyle w:val="ListParagraph"/>
        <w:rPr>
          <w:rFonts w:ascii="Arial" w:hAnsi="Arial" w:cs="Arial"/>
          <w:color w:val="0070C0"/>
          <w:sz w:val="24"/>
          <w:szCs w:val="24"/>
        </w:rPr>
      </w:pPr>
    </w:p>
    <w:p w:rsidR="00240211" w:rsidRDefault="00815F13" w:rsidP="00240211">
      <w:pPr>
        <w:pStyle w:val="ListParagraph"/>
        <w:rPr>
          <w:rFonts w:ascii="Arial" w:hAnsi="Arial" w:cs="Arial"/>
          <w:color w:val="0070C0"/>
          <w:sz w:val="24"/>
          <w:szCs w:val="24"/>
        </w:rPr>
      </w:pPr>
      <w:r w:rsidRPr="004246D5">
        <w:rPr>
          <w:rFonts w:ascii="Arial" w:hAnsi="Arial" w:cs="Arial"/>
          <w:color w:val="0070C0"/>
          <w:sz w:val="24"/>
          <w:szCs w:val="24"/>
        </w:rPr>
        <w:t xml:space="preserve">WPI </w:t>
      </w:r>
      <w:r>
        <w:rPr>
          <w:rFonts w:ascii="Arial" w:hAnsi="Arial" w:cs="Arial"/>
          <w:color w:val="0070C0"/>
          <w:sz w:val="24"/>
          <w:szCs w:val="24"/>
        </w:rPr>
        <w:t>–</w:t>
      </w:r>
      <w:r w:rsidRPr="004246D5">
        <w:rPr>
          <w:rFonts w:ascii="Arial" w:hAnsi="Arial" w:cs="Arial"/>
          <w:color w:val="0070C0"/>
          <w:sz w:val="24"/>
          <w:szCs w:val="24"/>
        </w:rPr>
        <w:t xml:space="preserve"> </w:t>
      </w:r>
      <w:r>
        <w:rPr>
          <w:rFonts w:ascii="Arial" w:hAnsi="Arial" w:cs="Arial"/>
          <w:color w:val="0070C0"/>
          <w:sz w:val="24"/>
          <w:szCs w:val="24"/>
        </w:rPr>
        <w:t xml:space="preserve">This represents the </w:t>
      </w:r>
      <w:r w:rsidR="00681727">
        <w:rPr>
          <w:rFonts w:ascii="Arial" w:hAnsi="Arial" w:cs="Arial"/>
          <w:color w:val="0070C0"/>
          <w:sz w:val="24"/>
          <w:szCs w:val="24"/>
        </w:rPr>
        <w:t>recovery of</w:t>
      </w:r>
      <w:r>
        <w:rPr>
          <w:rFonts w:ascii="Arial" w:hAnsi="Arial" w:cs="Arial"/>
          <w:color w:val="0070C0"/>
          <w:sz w:val="24"/>
          <w:szCs w:val="24"/>
        </w:rPr>
        <w:t xml:space="preserve"> interest </w:t>
      </w:r>
      <w:r w:rsidR="00681727">
        <w:rPr>
          <w:rFonts w:ascii="Arial" w:hAnsi="Arial" w:cs="Arial"/>
          <w:color w:val="0070C0"/>
          <w:sz w:val="24"/>
          <w:szCs w:val="24"/>
        </w:rPr>
        <w:t>from</w:t>
      </w:r>
      <w:r>
        <w:rPr>
          <w:rFonts w:ascii="Arial" w:hAnsi="Arial" w:cs="Arial"/>
          <w:color w:val="0070C0"/>
          <w:sz w:val="24"/>
          <w:szCs w:val="24"/>
        </w:rPr>
        <w:t xml:space="preserve"> our customers through the </w:t>
      </w:r>
      <w:r w:rsidR="00681727">
        <w:rPr>
          <w:rFonts w:ascii="Arial" w:hAnsi="Arial" w:cs="Arial"/>
          <w:color w:val="0070C0"/>
          <w:sz w:val="24"/>
          <w:szCs w:val="24"/>
        </w:rPr>
        <w:t xml:space="preserve">DVA </w:t>
      </w:r>
      <w:r>
        <w:rPr>
          <w:rFonts w:ascii="Arial" w:hAnsi="Arial" w:cs="Arial"/>
          <w:color w:val="0070C0"/>
          <w:sz w:val="24"/>
          <w:szCs w:val="24"/>
        </w:rPr>
        <w:t xml:space="preserve">rate riders approved </w:t>
      </w:r>
      <w:r w:rsidR="00681727">
        <w:rPr>
          <w:rFonts w:ascii="Arial" w:hAnsi="Arial" w:cs="Arial"/>
          <w:color w:val="0070C0"/>
          <w:sz w:val="24"/>
          <w:szCs w:val="24"/>
        </w:rPr>
        <w:t>in the 2009 Cost of Service Application over a 2 year period (EB-2008-0250) starting in May 1, 2009, ending April 30, 2011.</w:t>
      </w:r>
      <w:r w:rsidR="001D5DFB">
        <w:rPr>
          <w:rFonts w:ascii="Arial" w:hAnsi="Arial" w:cs="Arial"/>
          <w:color w:val="0070C0"/>
          <w:sz w:val="24"/>
          <w:szCs w:val="24"/>
        </w:rPr>
        <w:t xml:space="preserve"> </w:t>
      </w:r>
    </w:p>
    <w:p w:rsidR="001D5DFB" w:rsidRDefault="001D5DFB" w:rsidP="00240211">
      <w:pPr>
        <w:pStyle w:val="ListParagraph"/>
        <w:rPr>
          <w:rFonts w:ascii="Arial" w:hAnsi="Arial" w:cs="Arial"/>
          <w:sz w:val="24"/>
          <w:szCs w:val="24"/>
        </w:rPr>
      </w:pPr>
    </w:p>
    <w:p w:rsidR="00240211" w:rsidRDefault="00BC25EF" w:rsidP="00240211">
      <w:pPr>
        <w:pStyle w:val="ListParagraph"/>
        <w:numPr>
          <w:ilvl w:val="0"/>
          <w:numId w:val="20"/>
        </w:numPr>
        <w:rPr>
          <w:rFonts w:ascii="Arial" w:hAnsi="Arial" w:cs="Arial"/>
          <w:sz w:val="24"/>
          <w:szCs w:val="24"/>
        </w:rPr>
      </w:pPr>
      <w:r>
        <w:rPr>
          <w:rFonts w:ascii="Arial" w:hAnsi="Arial" w:cs="Arial"/>
          <w:sz w:val="24"/>
          <w:szCs w:val="24"/>
        </w:rPr>
        <w:t xml:space="preserve">OEB staff notes that the Opening Principal balance in account 1595 (2009) in 2012 is $0 as shown on </w:t>
      </w:r>
      <w:proofErr w:type="spellStart"/>
      <w:r>
        <w:rPr>
          <w:rFonts w:ascii="Arial" w:hAnsi="Arial" w:cs="Arial"/>
          <w:sz w:val="24"/>
          <w:szCs w:val="24"/>
        </w:rPr>
        <w:t>Westario</w:t>
      </w:r>
      <w:proofErr w:type="spellEnd"/>
      <w:r>
        <w:rPr>
          <w:rFonts w:ascii="Arial" w:hAnsi="Arial" w:cs="Arial"/>
          <w:sz w:val="24"/>
          <w:szCs w:val="24"/>
        </w:rPr>
        <w:t xml:space="preserve"> Power’s 2016 IRM model. The transaction balance in the same account in 2012 was reported as ($1,067). Please provide explanation for this transaction balance.</w:t>
      </w:r>
    </w:p>
    <w:p w:rsidR="00EC7767" w:rsidRDefault="00EC7767" w:rsidP="00EC7767">
      <w:pPr>
        <w:pStyle w:val="ListParagraph"/>
        <w:rPr>
          <w:rFonts w:ascii="Arial" w:hAnsi="Arial" w:cs="Arial"/>
          <w:sz w:val="24"/>
          <w:szCs w:val="24"/>
        </w:rPr>
      </w:pPr>
    </w:p>
    <w:p w:rsidR="001A4DE6" w:rsidRDefault="001A4DE6" w:rsidP="001A4DE6">
      <w:pPr>
        <w:pStyle w:val="ListParagraph"/>
        <w:rPr>
          <w:rFonts w:ascii="Arial" w:hAnsi="Arial" w:cs="Arial"/>
          <w:sz w:val="24"/>
          <w:szCs w:val="24"/>
        </w:rPr>
      </w:pPr>
      <w:r w:rsidRPr="004246D5">
        <w:rPr>
          <w:rFonts w:ascii="Arial" w:hAnsi="Arial" w:cs="Arial"/>
          <w:color w:val="0070C0"/>
          <w:sz w:val="24"/>
          <w:szCs w:val="24"/>
        </w:rPr>
        <w:t xml:space="preserve">WPI </w:t>
      </w:r>
      <w:r>
        <w:rPr>
          <w:rFonts w:ascii="Arial" w:hAnsi="Arial" w:cs="Arial"/>
          <w:color w:val="0070C0"/>
          <w:sz w:val="24"/>
          <w:szCs w:val="24"/>
        </w:rPr>
        <w:t>–</w:t>
      </w:r>
      <w:r w:rsidRPr="004246D5">
        <w:rPr>
          <w:rFonts w:ascii="Arial" w:hAnsi="Arial" w:cs="Arial"/>
          <w:color w:val="0070C0"/>
          <w:sz w:val="24"/>
          <w:szCs w:val="24"/>
        </w:rPr>
        <w:t xml:space="preserve"> </w:t>
      </w:r>
      <w:r>
        <w:rPr>
          <w:rFonts w:ascii="Arial" w:hAnsi="Arial" w:cs="Arial"/>
          <w:color w:val="0070C0"/>
          <w:sz w:val="24"/>
          <w:szCs w:val="24"/>
        </w:rPr>
        <w:t>Th</w:t>
      </w:r>
      <w:r w:rsidR="00EC7767">
        <w:rPr>
          <w:rFonts w:ascii="Arial" w:hAnsi="Arial" w:cs="Arial"/>
          <w:color w:val="0070C0"/>
          <w:sz w:val="24"/>
          <w:szCs w:val="24"/>
        </w:rPr>
        <w:t xml:space="preserve">e transaction balance </w:t>
      </w:r>
      <w:r>
        <w:rPr>
          <w:rFonts w:ascii="Arial" w:hAnsi="Arial" w:cs="Arial"/>
          <w:color w:val="0070C0"/>
          <w:sz w:val="24"/>
          <w:szCs w:val="24"/>
        </w:rPr>
        <w:t xml:space="preserve">represents </w:t>
      </w:r>
      <w:r w:rsidR="00EC7767">
        <w:rPr>
          <w:rFonts w:ascii="Arial" w:hAnsi="Arial" w:cs="Arial"/>
          <w:color w:val="0070C0"/>
          <w:sz w:val="24"/>
          <w:szCs w:val="24"/>
        </w:rPr>
        <w:t>long term load transfers that were invoiced in 2012 but covered the period of the rate rider</w:t>
      </w:r>
      <w:r w:rsidR="00936993">
        <w:rPr>
          <w:rFonts w:ascii="Arial" w:hAnsi="Arial" w:cs="Arial"/>
          <w:color w:val="0070C0"/>
          <w:sz w:val="24"/>
          <w:szCs w:val="24"/>
        </w:rPr>
        <w:t xml:space="preserve"> in 2011</w:t>
      </w:r>
      <w:r w:rsidR="00BA6C6A">
        <w:rPr>
          <w:rFonts w:ascii="Arial" w:hAnsi="Arial" w:cs="Arial"/>
          <w:color w:val="0070C0"/>
          <w:sz w:val="24"/>
          <w:szCs w:val="24"/>
        </w:rPr>
        <w:t xml:space="preserve">, and the reversal </w:t>
      </w:r>
      <w:r w:rsidR="00BA6C6A">
        <w:rPr>
          <w:rFonts w:ascii="Arial" w:hAnsi="Arial" w:cs="Arial"/>
          <w:color w:val="0070C0"/>
          <w:sz w:val="24"/>
          <w:szCs w:val="24"/>
        </w:rPr>
        <w:lastRenderedPageBreak/>
        <w:t>and re-invoice during 2012 for the 2011 period that the rate rider was effective for a total of ($1,067)</w:t>
      </w:r>
      <w:r w:rsidR="00EC7767">
        <w:rPr>
          <w:rFonts w:ascii="Arial" w:hAnsi="Arial" w:cs="Arial"/>
          <w:color w:val="0070C0"/>
          <w:sz w:val="24"/>
          <w:szCs w:val="24"/>
        </w:rPr>
        <w:t>.</w:t>
      </w:r>
      <w:r>
        <w:rPr>
          <w:rFonts w:ascii="Arial" w:hAnsi="Arial" w:cs="Arial"/>
          <w:color w:val="0070C0"/>
          <w:sz w:val="24"/>
          <w:szCs w:val="24"/>
        </w:rPr>
        <w:t xml:space="preserve"> </w:t>
      </w:r>
    </w:p>
    <w:p w:rsidR="00640567" w:rsidRDefault="00640567" w:rsidP="00640567">
      <w:pPr>
        <w:pStyle w:val="ListParagraph"/>
        <w:rPr>
          <w:rFonts w:ascii="Arial" w:hAnsi="Arial" w:cs="Arial"/>
          <w:sz w:val="24"/>
          <w:szCs w:val="24"/>
        </w:rPr>
      </w:pPr>
    </w:p>
    <w:p w:rsidR="00BC25EF" w:rsidRDefault="00BC25EF" w:rsidP="00240211">
      <w:pPr>
        <w:pStyle w:val="ListParagraph"/>
        <w:numPr>
          <w:ilvl w:val="0"/>
          <w:numId w:val="20"/>
        </w:numPr>
        <w:rPr>
          <w:rFonts w:ascii="Arial" w:hAnsi="Arial" w:cs="Arial"/>
          <w:sz w:val="24"/>
          <w:szCs w:val="24"/>
        </w:rPr>
      </w:pPr>
      <w:r>
        <w:rPr>
          <w:rFonts w:ascii="Arial" w:hAnsi="Arial" w:cs="Arial"/>
          <w:sz w:val="24"/>
          <w:szCs w:val="24"/>
        </w:rPr>
        <w:t>Please provide explanations for the following account balances in year 2012:</w:t>
      </w:r>
    </w:p>
    <w:p w:rsidR="00BC25EF" w:rsidRDefault="00BC25EF" w:rsidP="00637101">
      <w:pPr>
        <w:pStyle w:val="ListParagraph"/>
        <w:numPr>
          <w:ilvl w:val="2"/>
          <w:numId w:val="21"/>
        </w:numPr>
        <w:rPr>
          <w:rFonts w:ascii="Arial" w:hAnsi="Arial" w:cs="Arial"/>
          <w:sz w:val="24"/>
          <w:szCs w:val="24"/>
        </w:rPr>
      </w:pPr>
      <w:r>
        <w:rPr>
          <w:rFonts w:ascii="Arial" w:hAnsi="Arial" w:cs="Arial"/>
          <w:sz w:val="24"/>
          <w:szCs w:val="24"/>
        </w:rPr>
        <w:t>transaction balance of $413,547 in account 1595 (2012)</w:t>
      </w:r>
    </w:p>
    <w:p w:rsidR="00EC7767" w:rsidRDefault="00EC7767" w:rsidP="00EC7767">
      <w:pPr>
        <w:pStyle w:val="ListParagraph"/>
        <w:ind w:left="1080"/>
        <w:rPr>
          <w:rFonts w:ascii="Arial" w:hAnsi="Arial" w:cs="Arial"/>
          <w:sz w:val="24"/>
          <w:szCs w:val="24"/>
        </w:rPr>
      </w:pPr>
    </w:p>
    <w:p w:rsidR="00EC7767" w:rsidRDefault="00EC7767" w:rsidP="0084699A">
      <w:pPr>
        <w:pStyle w:val="ListParagraph"/>
        <w:ind w:left="1080"/>
        <w:rPr>
          <w:rFonts w:ascii="Arial" w:hAnsi="Arial" w:cs="Arial"/>
          <w:color w:val="0070C0"/>
          <w:sz w:val="24"/>
          <w:szCs w:val="24"/>
        </w:rPr>
      </w:pPr>
      <w:r w:rsidRPr="004246D5">
        <w:rPr>
          <w:rFonts w:ascii="Arial" w:hAnsi="Arial" w:cs="Arial"/>
          <w:color w:val="0070C0"/>
          <w:sz w:val="24"/>
          <w:szCs w:val="24"/>
        </w:rPr>
        <w:t xml:space="preserve">WPI </w:t>
      </w:r>
      <w:r>
        <w:rPr>
          <w:rFonts w:ascii="Arial" w:hAnsi="Arial" w:cs="Arial"/>
          <w:color w:val="0070C0"/>
          <w:sz w:val="24"/>
          <w:szCs w:val="24"/>
        </w:rPr>
        <w:t>–</w:t>
      </w:r>
      <w:r w:rsidRPr="004246D5">
        <w:rPr>
          <w:rFonts w:ascii="Arial" w:hAnsi="Arial" w:cs="Arial"/>
          <w:color w:val="0070C0"/>
          <w:sz w:val="24"/>
          <w:szCs w:val="24"/>
        </w:rPr>
        <w:t xml:space="preserve"> </w:t>
      </w:r>
      <w:r>
        <w:rPr>
          <w:rFonts w:ascii="Arial" w:hAnsi="Arial" w:cs="Arial"/>
          <w:color w:val="0070C0"/>
          <w:sz w:val="24"/>
          <w:szCs w:val="24"/>
        </w:rPr>
        <w:t xml:space="preserve">The transaction balance represents </w:t>
      </w:r>
      <w:r w:rsidR="008D46C1">
        <w:rPr>
          <w:rFonts w:ascii="Arial" w:hAnsi="Arial" w:cs="Arial"/>
          <w:color w:val="0070C0"/>
          <w:sz w:val="24"/>
          <w:szCs w:val="24"/>
        </w:rPr>
        <w:t xml:space="preserve">repayment </w:t>
      </w:r>
      <w:r w:rsidR="0084699A">
        <w:rPr>
          <w:rFonts w:ascii="Arial" w:hAnsi="Arial" w:cs="Arial"/>
          <w:color w:val="0070C0"/>
          <w:sz w:val="24"/>
          <w:szCs w:val="24"/>
        </w:rPr>
        <w:t xml:space="preserve">received </w:t>
      </w:r>
      <w:r w:rsidR="008D46C1">
        <w:rPr>
          <w:rFonts w:ascii="Arial" w:hAnsi="Arial" w:cs="Arial"/>
          <w:color w:val="0070C0"/>
          <w:sz w:val="24"/>
          <w:szCs w:val="24"/>
        </w:rPr>
        <w:t>under the approved rate rider</w:t>
      </w:r>
      <w:r w:rsidR="0084699A">
        <w:rPr>
          <w:rFonts w:ascii="Arial" w:hAnsi="Arial" w:cs="Arial"/>
          <w:color w:val="0070C0"/>
          <w:sz w:val="24"/>
          <w:szCs w:val="24"/>
        </w:rPr>
        <w:t xml:space="preserve"> (EB-2011-0205) for the disposition of the DVA, DVA (GA), Special Purpose Charge and Deferred PILs</w:t>
      </w:r>
      <w:r w:rsidR="0084699A" w:rsidRPr="0084699A">
        <w:rPr>
          <w:rFonts w:ascii="Arial" w:hAnsi="Arial" w:cs="Arial"/>
          <w:color w:val="0070C0"/>
          <w:sz w:val="24"/>
          <w:szCs w:val="24"/>
        </w:rPr>
        <w:t>.</w:t>
      </w:r>
    </w:p>
    <w:p w:rsidR="0084699A" w:rsidRPr="0084699A" w:rsidRDefault="0084699A" w:rsidP="0084699A">
      <w:pPr>
        <w:pStyle w:val="ListParagraph"/>
        <w:ind w:left="1080"/>
        <w:rPr>
          <w:rFonts w:ascii="Arial" w:hAnsi="Arial" w:cs="Arial"/>
          <w:color w:val="0070C0"/>
          <w:sz w:val="24"/>
          <w:szCs w:val="24"/>
        </w:rPr>
      </w:pPr>
    </w:p>
    <w:p w:rsidR="009C77DB" w:rsidRDefault="00BC25EF" w:rsidP="009C77DB">
      <w:pPr>
        <w:pStyle w:val="ListParagraph"/>
        <w:numPr>
          <w:ilvl w:val="2"/>
          <w:numId w:val="21"/>
        </w:numPr>
        <w:rPr>
          <w:rFonts w:ascii="Arial" w:hAnsi="Arial" w:cs="Arial"/>
          <w:sz w:val="24"/>
          <w:szCs w:val="24"/>
        </w:rPr>
      </w:pPr>
      <w:r>
        <w:rPr>
          <w:rFonts w:ascii="Arial" w:hAnsi="Arial" w:cs="Arial"/>
          <w:sz w:val="24"/>
          <w:szCs w:val="24"/>
        </w:rPr>
        <w:t>OEB-approved disposition (principal) in the amount of $676,961 in account 1595 (2012)</w:t>
      </w:r>
      <w:r w:rsidR="009C77DB" w:rsidRPr="009C77DB">
        <w:rPr>
          <w:rFonts w:ascii="Arial" w:hAnsi="Arial" w:cs="Arial"/>
          <w:sz w:val="24"/>
          <w:szCs w:val="24"/>
        </w:rPr>
        <w:t xml:space="preserve"> </w:t>
      </w:r>
    </w:p>
    <w:p w:rsidR="009C77DB" w:rsidRDefault="009C77DB" w:rsidP="0084699A">
      <w:pPr>
        <w:ind w:left="1080"/>
        <w:rPr>
          <w:rFonts w:ascii="Arial" w:hAnsi="Arial" w:cs="Arial"/>
          <w:sz w:val="24"/>
          <w:szCs w:val="24"/>
        </w:rPr>
      </w:pPr>
      <w:r w:rsidRPr="004246D5">
        <w:rPr>
          <w:rFonts w:ascii="Arial" w:hAnsi="Arial" w:cs="Arial"/>
          <w:color w:val="0070C0"/>
          <w:sz w:val="24"/>
          <w:szCs w:val="24"/>
        </w:rPr>
        <w:t xml:space="preserve">WPI </w:t>
      </w:r>
      <w:r>
        <w:rPr>
          <w:rFonts w:ascii="Arial" w:hAnsi="Arial" w:cs="Arial"/>
          <w:color w:val="0070C0"/>
          <w:sz w:val="24"/>
          <w:szCs w:val="24"/>
        </w:rPr>
        <w:t>–</w:t>
      </w:r>
      <w:r w:rsidRPr="004246D5">
        <w:rPr>
          <w:rFonts w:ascii="Arial" w:hAnsi="Arial" w:cs="Arial"/>
          <w:color w:val="0070C0"/>
          <w:sz w:val="24"/>
          <w:szCs w:val="24"/>
        </w:rPr>
        <w:t xml:space="preserve"> </w:t>
      </w:r>
      <w:r>
        <w:rPr>
          <w:rFonts w:ascii="Arial" w:hAnsi="Arial" w:cs="Arial"/>
          <w:color w:val="0070C0"/>
          <w:sz w:val="24"/>
          <w:szCs w:val="24"/>
        </w:rPr>
        <w:t xml:space="preserve">The following table provides a synopsis of the </w:t>
      </w:r>
      <w:r w:rsidR="00936993">
        <w:rPr>
          <w:rFonts w:ascii="Arial" w:hAnsi="Arial" w:cs="Arial"/>
          <w:color w:val="0070C0"/>
          <w:sz w:val="24"/>
          <w:szCs w:val="24"/>
        </w:rPr>
        <w:t xml:space="preserve">approved (EB-2011-0205) </w:t>
      </w:r>
      <w:r>
        <w:rPr>
          <w:rFonts w:ascii="Arial" w:hAnsi="Arial" w:cs="Arial"/>
          <w:color w:val="0070C0"/>
          <w:sz w:val="24"/>
          <w:szCs w:val="24"/>
        </w:rPr>
        <w:t>2012 IRM and the impact on the 1595 (2012) principal:</w:t>
      </w:r>
    </w:p>
    <w:p w:rsidR="00BC25EF" w:rsidRPr="009C77DB" w:rsidRDefault="0084699A" w:rsidP="009C77DB">
      <w:pPr>
        <w:ind w:left="720"/>
        <w:rPr>
          <w:rFonts w:ascii="Arial" w:hAnsi="Arial" w:cs="Arial"/>
          <w:sz w:val="24"/>
          <w:szCs w:val="24"/>
        </w:rPr>
      </w:pPr>
      <w:r>
        <w:rPr>
          <w:rFonts w:ascii="Arial" w:hAnsi="Arial" w:cs="Arial"/>
          <w:sz w:val="24"/>
          <w:szCs w:val="24"/>
        </w:rPr>
        <w:t xml:space="preserve">      </w:t>
      </w:r>
      <w:r w:rsidR="009C77DB" w:rsidRPr="009C77DB">
        <w:rPr>
          <w:noProof/>
          <w:lang w:eastAsia="en-CA"/>
        </w:rPr>
        <w:drawing>
          <wp:inline distT="0" distB="0" distL="0" distR="0">
            <wp:extent cx="4678680" cy="22021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8680" cy="2202180"/>
                    </a:xfrm>
                    <a:prstGeom prst="rect">
                      <a:avLst/>
                    </a:prstGeom>
                    <a:noFill/>
                    <a:ln>
                      <a:noFill/>
                    </a:ln>
                  </pic:spPr>
                </pic:pic>
              </a:graphicData>
            </a:graphic>
          </wp:inline>
        </w:drawing>
      </w:r>
    </w:p>
    <w:p w:rsidR="00BC25EF" w:rsidRDefault="00640567" w:rsidP="00637101">
      <w:pPr>
        <w:pStyle w:val="ListParagraph"/>
        <w:numPr>
          <w:ilvl w:val="2"/>
          <w:numId w:val="21"/>
        </w:numPr>
        <w:rPr>
          <w:rFonts w:ascii="Arial" w:hAnsi="Arial" w:cs="Arial"/>
          <w:sz w:val="24"/>
          <w:szCs w:val="24"/>
        </w:rPr>
      </w:pPr>
      <w:r>
        <w:rPr>
          <w:rFonts w:ascii="Arial" w:hAnsi="Arial" w:cs="Arial"/>
          <w:sz w:val="24"/>
          <w:szCs w:val="24"/>
        </w:rPr>
        <w:t>i</w:t>
      </w:r>
      <w:r w:rsidR="00BC25EF">
        <w:rPr>
          <w:rFonts w:ascii="Arial" w:hAnsi="Arial" w:cs="Arial"/>
          <w:sz w:val="24"/>
          <w:szCs w:val="24"/>
        </w:rPr>
        <w:t>nterest amount of ($4,084) in account 1595 (2012)</w:t>
      </w:r>
    </w:p>
    <w:p w:rsidR="0084699A" w:rsidRDefault="0084699A" w:rsidP="0084699A">
      <w:pPr>
        <w:pStyle w:val="ListParagraph"/>
        <w:rPr>
          <w:rFonts w:ascii="Arial" w:hAnsi="Arial" w:cs="Arial"/>
          <w:color w:val="0070C0"/>
          <w:sz w:val="24"/>
          <w:szCs w:val="24"/>
        </w:rPr>
      </w:pPr>
    </w:p>
    <w:p w:rsidR="0084699A" w:rsidRDefault="0084699A" w:rsidP="002C05E7">
      <w:pPr>
        <w:pStyle w:val="ListParagraph"/>
        <w:ind w:left="1080"/>
        <w:rPr>
          <w:rFonts w:ascii="Arial" w:hAnsi="Arial" w:cs="Arial"/>
          <w:sz w:val="24"/>
          <w:szCs w:val="24"/>
        </w:rPr>
      </w:pPr>
      <w:r w:rsidRPr="004246D5">
        <w:rPr>
          <w:rFonts w:ascii="Arial" w:hAnsi="Arial" w:cs="Arial"/>
          <w:color w:val="0070C0"/>
          <w:sz w:val="24"/>
          <w:szCs w:val="24"/>
        </w:rPr>
        <w:t xml:space="preserve">WPI </w:t>
      </w:r>
      <w:r>
        <w:rPr>
          <w:rFonts w:ascii="Arial" w:hAnsi="Arial" w:cs="Arial"/>
          <w:color w:val="0070C0"/>
          <w:sz w:val="24"/>
          <w:szCs w:val="24"/>
        </w:rPr>
        <w:t>–</w:t>
      </w:r>
      <w:r w:rsidRPr="004246D5">
        <w:rPr>
          <w:rFonts w:ascii="Arial" w:hAnsi="Arial" w:cs="Arial"/>
          <w:color w:val="0070C0"/>
          <w:sz w:val="24"/>
          <w:szCs w:val="24"/>
        </w:rPr>
        <w:t xml:space="preserve"> </w:t>
      </w:r>
      <w:r>
        <w:rPr>
          <w:rFonts w:ascii="Arial" w:hAnsi="Arial" w:cs="Arial"/>
          <w:color w:val="0070C0"/>
          <w:sz w:val="24"/>
          <w:szCs w:val="24"/>
        </w:rPr>
        <w:t xml:space="preserve">The transaction represents </w:t>
      </w:r>
      <w:r w:rsidR="000F7FD0">
        <w:rPr>
          <w:rFonts w:ascii="Arial" w:hAnsi="Arial" w:cs="Arial"/>
          <w:color w:val="0070C0"/>
          <w:sz w:val="24"/>
          <w:szCs w:val="24"/>
        </w:rPr>
        <w:t xml:space="preserve">interest </w:t>
      </w:r>
      <w:r w:rsidR="004C1705">
        <w:rPr>
          <w:rFonts w:ascii="Arial" w:hAnsi="Arial" w:cs="Arial"/>
          <w:color w:val="0070C0"/>
          <w:sz w:val="24"/>
          <w:szCs w:val="24"/>
        </w:rPr>
        <w:t xml:space="preserve">on the net principal </w:t>
      </w:r>
      <w:r w:rsidR="000F7FD0">
        <w:rPr>
          <w:rFonts w:ascii="Arial" w:hAnsi="Arial" w:cs="Arial"/>
          <w:color w:val="0070C0"/>
          <w:sz w:val="24"/>
          <w:szCs w:val="24"/>
        </w:rPr>
        <w:t>at the prescribed rate of 1.47% for the year.</w:t>
      </w:r>
    </w:p>
    <w:p w:rsidR="0084699A" w:rsidRDefault="0084699A" w:rsidP="0084699A">
      <w:pPr>
        <w:pStyle w:val="ListParagraph"/>
        <w:ind w:left="1080"/>
        <w:rPr>
          <w:rFonts w:ascii="Arial" w:hAnsi="Arial" w:cs="Arial"/>
          <w:sz w:val="24"/>
          <w:szCs w:val="24"/>
        </w:rPr>
      </w:pPr>
    </w:p>
    <w:p w:rsidR="00146243" w:rsidRDefault="00BC25EF" w:rsidP="009064B3">
      <w:pPr>
        <w:pStyle w:val="ListParagraph"/>
        <w:numPr>
          <w:ilvl w:val="2"/>
          <w:numId w:val="21"/>
        </w:numPr>
        <w:rPr>
          <w:rFonts w:ascii="Arial" w:hAnsi="Arial" w:cs="Arial"/>
          <w:sz w:val="24"/>
          <w:szCs w:val="24"/>
        </w:rPr>
      </w:pPr>
      <w:r>
        <w:rPr>
          <w:rFonts w:ascii="Arial" w:hAnsi="Arial" w:cs="Arial"/>
          <w:sz w:val="24"/>
          <w:szCs w:val="24"/>
        </w:rPr>
        <w:t>OEB-approved disposition (interest) in the amount of $36,649</w:t>
      </w:r>
      <w:r w:rsidR="00640567">
        <w:rPr>
          <w:rFonts w:ascii="Arial" w:hAnsi="Arial" w:cs="Arial"/>
          <w:sz w:val="24"/>
          <w:szCs w:val="24"/>
        </w:rPr>
        <w:t xml:space="preserve"> in account 1595 (2012)</w:t>
      </w:r>
    </w:p>
    <w:p w:rsidR="002C05E7" w:rsidRDefault="002C05E7" w:rsidP="002C05E7">
      <w:pPr>
        <w:pStyle w:val="ListParagraph"/>
        <w:ind w:left="1080"/>
        <w:rPr>
          <w:rFonts w:ascii="Arial" w:hAnsi="Arial" w:cs="Arial"/>
          <w:sz w:val="24"/>
          <w:szCs w:val="24"/>
        </w:rPr>
      </w:pPr>
    </w:p>
    <w:p w:rsidR="00C32232" w:rsidRDefault="002C05E7" w:rsidP="002C05E7">
      <w:pPr>
        <w:pStyle w:val="ListParagraph"/>
        <w:ind w:left="1080"/>
        <w:rPr>
          <w:rFonts w:ascii="Arial" w:hAnsi="Arial" w:cs="Arial"/>
          <w:color w:val="0070C0"/>
          <w:sz w:val="24"/>
          <w:szCs w:val="24"/>
        </w:rPr>
      </w:pPr>
      <w:r w:rsidRPr="004246D5">
        <w:rPr>
          <w:rFonts w:ascii="Arial" w:hAnsi="Arial" w:cs="Arial"/>
          <w:color w:val="0070C0"/>
          <w:sz w:val="24"/>
          <w:szCs w:val="24"/>
        </w:rPr>
        <w:t xml:space="preserve">WPI </w:t>
      </w:r>
      <w:r>
        <w:rPr>
          <w:rFonts w:ascii="Arial" w:hAnsi="Arial" w:cs="Arial"/>
          <w:color w:val="0070C0"/>
          <w:sz w:val="24"/>
          <w:szCs w:val="24"/>
        </w:rPr>
        <w:t>–</w:t>
      </w:r>
      <w:r w:rsidRPr="004246D5">
        <w:rPr>
          <w:rFonts w:ascii="Arial" w:hAnsi="Arial" w:cs="Arial"/>
          <w:color w:val="0070C0"/>
          <w:sz w:val="24"/>
          <w:szCs w:val="24"/>
        </w:rPr>
        <w:t xml:space="preserve"> </w:t>
      </w:r>
      <w:r>
        <w:rPr>
          <w:rFonts w:ascii="Arial" w:hAnsi="Arial" w:cs="Arial"/>
          <w:color w:val="0070C0"/>
          <w:sz w:val="24"/>
          <w:szCs w:val="24"/>
        </w:rPr>
        <w:t xml:space="preserve">The following table provides a synopsis of the 2012 IRM and the </w:t>
      </w:r>
    </w:p>
    <w:p w:rsidR="00C32232" w:rsidRDefault="00C32232">
      <w:pPr>
        <w:rPr>
          <w:rFonts w:ascii="Arial" w:hAnsi="Arial" w:cs="Arial"/>
          <w:color w:val="0070C0"/>
          <w:sz w:val="24"/>
          <w:szCs w:val="24"/>
        </w:rPr>
      </w:pPr>
      <w:r>
        <w:rPr>
          <w:rFonts w:ascii="Arial" w:hAnsi="Arial" w:cs="Arial"/>
          <w:color w:val="0070C0"/>
          <w:sz w:val="24"/>
          <w:szCs w:val="24"/>
        </w:rPr>
        <w:br w:type="page"/>
      </w:r>
    </w:p>
    <w:p w:rsidR="002C05E7" w:rsidRDefault="002C05E7" w:rsidP="002C05E7">
      <w:pPr>
        <w:pStyle w:val="ListParagraph"/>
        <w:ind w:left="1080"/>
        <w:rPr>
          <w:rFonts w:ascii="Arial" w:hAnsi="Arial" w:cs="Arial"/>
          <w:color w:val="0070C0"/>
          <w:sz w:val="24"/>
          <w:szCs w:val="24"/>
        </w:rPr>
      </w:pPr>
      <w:proofErr w:type="gramStart"/>
      <w:r>
        <w:rPr>
          <w:rFonts w:ascii="Arial" w:hAnsi="Arial" w:cs="Arial"/>
          <w:color w:val="0070C0"/>
          <w:sz w:val="24"/>
          <w:szCs w:val="24"/>
        </w:rPr>
        <w:lastRenderedPageBreak/>
        <w:t>impact</w:t>
      </w:r>
      <w:proofErr w:type="gramEnd"/>
      <w:r>
        <w:rPr>
          <w:rFonts w:ascii="Arial" w:hAnsi="Arial" w:cs="Arial"/>
          <w:color w:val="0070C0"/>
          <w:sz w:val="24"/>
          <w:szCs w:val="24"/>
        </w:rPr>
        <w:t xml:space="preserve"> on the 1595 (2012) interest:</w:t>
      </w:r>
    </w:p>
    <w:p w:rsidR="00C32232" w:rsidRDefault="00C32232" w:rsidP="002C05E7">
      <w:pPr>
        <w:pStyle w:val="ListParagraph"/>
        <w:ind w:left="1080"/>
        <w:rPr>
          <w:rFonts w:ascii="Arial" w:hAnsi="Arial" w:cs="Arial"/>
          <w:sz w:val="24"/>
          <w:szCs w:val="24"/>
        </w:rPr>
      </w:pPr>
    </w:p>
    <w:p w:rsidR="002C05E7" w:rsidRPr="009064B3" w:rsidRDefault="002C05E7" w:rsidP="002C05E7">
      <w:pPr>
        <w:pStyle w:val="ListParagraph"/>
        <w:ind w:left="1080"/>
        <w:rPr>
          <w:rFonts w:ascii="Arial" w:hAnsi="Arial" w:cs="Arial"/>
          <w:sz w:val="24"/>
          <w:szCs w:val="24"/>
        </w:rPr>
      </w:pPr>
      <w:r w:rsidRPr="002C05E7">
        <w:rPr>
          <w:noProof/>
          <w:lang w:eastAsia="en-CA"/>
        </w:rPr>
        <w:drawing>
          <wp:inline distT="0" distB="0" distL="0" distR="0">
            <wp:extent cx="4610100" cy="22021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10100" cy="2202180"/>
                    </a:xfrm>
                    <a:prstGeom prst="rect">
                      <a:avLst/>
                    </a:prstGeom>
                    <a:noFill/>
                    <a:ln>
                      <a:noFill/>
                    </a:ln>
                  </pic:spPr>
                </pic:pic>
              </a:graphicData>
            </a:graphic>
          </wp:inline>
        </w:drawing>
      </w:r>
    </w:p>
    <w:p w:rsidR="00640567" w:rsidRDefault="00640567" w:rsidP="0001354E">
      <w:pPr>
        <w:rPr>
          <w:rFonts w:ascii="Arial" w:hAnsi="Arial" w:cs="Arial"/>
          <w:sz w:val="24"/>
          <w:szCs w:val="24"/>
        </w:rPr>
      </w:pPr>
    </w:p>
    <w:p w:rsidR="009064B3" w:rsidRDefault="009064B3" w:rsidP="009064B3">
      <w:pPr>
        <w:pStyle w:val="ListParagraph"/>
        <w:rPr>
          <w:rFonts w:ascii="Arial" w:hAnsi="Arial" w:cs="Arial"/>
          <w:sz w:val="24"/>
          <w:szCs w:val="24"/>
        </w:rPr>
      </w:pPr>
    </w:p>
    <w:p w:rsidR="009064B3" w:rsidRDefault="009064B3" w:rsidP="009064B3">
      <w:pPr>
        <w:pStyle w:val="ListParagraph"/>
        <w:rPr>
          <w:rFonts w:ascii="Arial" w:hAnsi="Arial" w:cs="Arial"/>
          <w:sz w:val="24"/>
          <w:szCs w:val="24"/>
        </w:rPr>
      </w:pPr>
      <w:r>
        <w:rPr>
          <w:noProof/>
          <w:lang w:eastAsia="en-CA"/>
        </w:rPr>
        <w:drawing>
          <wp:inline distT="0" distB="0" distL="0" distR="0" wp14:anchorId="2351DA24" wp14:editId="162A6A07">
            <wp:extent cx="5943600" cy="291211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2912110"/>
                    </a:xfrm>
                    <a:prstGeom prst="rect">
                      <a:avLst/>
                    </a:prstGeom>
                  </pic:spPr>
                </pic:pic>
              </a:graphicData>
            </a:graphic>
          </wp:inline>
        </w:drawing>
      </w:r>
    </w:p>
    <w:p w:rsidR="009064B3" w:rsidRDefault="009064B3" w:rsidP="009064B3">
      <w:pPr>
        <w:pStyle w:val="ListParagraph"/>
        <w:rPr>
          <w:rFonts w:ascii="Arial" w:hAnsi="Arial" w:cs="Arial"/>
          <w:sz w:val="24"/>
          <w:szCs w:val="24"/>
        </w:rPr>
      </w:pPr>
    </w:p>
    <w:p w:rsidR="00640567" w:rsidRDefault="00900F5D" w:rsidP="00640567">
      <w:pPr>
        <w:pStyle w:val="ListParagraph"/>
        <w:numPr>
          <w:ilvl w:val="0"/>
          <w:numId w:val="20"/>
        </w:numPr>
        <w:rPr>
          <w:rFonts w:ascii="Arial" w:hAnsi="Arial" w:cs="Arial"/>
          <w:sz w:val="24"/>
          <w:szCs w:val="24"/>
        </w:rPr>
      </w:pPr>
      <w:proofErr w:type="spellStart"/>
      <w:r>
        <w:rPr>
          <w:rFonts w:ascii="Arial" w:hAnsi="Arial" w:cs="Arial"/>
          <w:sz w:val="24"/>
          <w:szCs w:val="24"/>
        </w:rPr>
        <w:t>Westario</w:t>
      </w:r>
      <w:proofErr w:type="spellEnd"/>
      <w:r>
        <w:rPr>
          <w:rFonts w:ascii="Arial" w:hAnsi="Arial" w:cs="Arial"/>
          <w:sz w:val="24"/>
          <w:szCs w:val="24"/>
        </w:rPr>
        <w:t xml:space="preserve"> Power has reported OEB-approved disposition (principal) amount of ($1,067) in account 1595 (2009) in year 2013 on the continuity schedule. This balance cannot be reconciled with </w:t>
      </w:r>
      <w:proofErr w:type="spellStart"/>
      <w:r>
        <w:rPr>
          <w:rFonts w:ascii="Arial" w:hAnsi="Arial" w:cs="Arial"/>
          <w:sz w:val="24"/>
          <w:szCs w:val="24"/>
        </w:rPr>
        <w:t>Westario</w:t>
      </w:r>
      <w:proofErr w:type="spellEnd"/>
      <w:r>
        <w:rPr>
          <w:rFonts w:ascii="Arial" w:hAnsi="Arial" w:cs="Arial"/>
          <w:sz w:val="24"/>
          <w:szCs w:val="24"/>
        </w:rPr>
        <w:t xml:space="preserve"> Power’s 2013 Settlement Agreement (EB-2012-0176). Please provide explanation for the balance. </w:t>
      </w:r>
    </w:p>
    <w:p w:rsidR="00A21533" w:rsidRDefault="00A21533" w:rsidP="00A21533">
      <w:pPr>
        <w:pStyle w:val="ListParagraph"/>
        <w:rPr>
          <w:rFonts w:ascii="Arial" w:hAnsi="Arial" w:cs="Arial"/>
          <w:sz w:val="24"/>
          <w:szCs w:val="24"/>
        </w:rPr>
      </w:pPr>
    </w:p>
    <w:p w:rsidR="00EF77BC" w:rsidRDefault="00A21533" w:rsidP="005642F3">
      <w:pPr>
        <w:pStyle w:val="ListParagraph"/>
        <w:rPr>
          <w:rFonts w:ascii="Arial" w:hAnsi="Arial" w:cs="Arial"/>
          <w:color w:val="0070C0"/>
          <w:sz w:val="24"/>
          <w:szCs w:val="24"/>
        </w:rPr>
      </w:pPr>
      <w:r w:rsidRPr="004246D5">
        <w:rPr>
          <w:rFonts w:ascii="Arial" w:hAnsi="Arial" w:cs="Arial"/>
          <w:color w:val="0070C0"/>
          <w:sz w:val="24"/>
          <w:szCs w:val="24"/>
        </w:rPr>
        <w:t xml:space="preserve">WPI </w:t>
      </w:r>
      <w:r>
        <w:rPr>
          <w:rFonts w:ascii="Arial" w:hAnsi="Arial" w:cs="Arial"/>
          <w:color w:val="0070C0"/>
          <w:sz w:val="24"/>
          <w:szCs w:val="24"/>
        </w:rPr>
        <w:t>–</w:t>
      </w:r>
      <w:r w:rsidRPr="004246D5">
        <w:rPr>
          <w:rFonts w:ascii="Arial" w:hAnsi="Arial" w:cs="Arial"/>
          <w:color w:val="0070C0"/>
          <w:sz w:val="24"/>
          <w:szCs w:val="24"/>
        </w:rPr>
        <w:t xml:space="preserve"> </w:t>
      </w:r>
      <w:r>
        <w:rPr>
          <w:rFonts w:ascii="Arial" w:hAnsi="Arial" w:cs="Arial"/>
          <w:color w:val="0070C0"/>
          <w:sz w:val="24"/>
          <w:szCs w:val="24"/>
        </w:rPr>
        <w:t>The</w:t>
      </w:r>
      <w:r w:rsidR="001D5DFB">
        <w:rPr>
          <w:rFonts w:ascii="Arial" w:hAnsi="Arial" w:cs="Arial"/>
          <w:color w:val="0070C0"/>
          <w:sz w:val="24"/>
          <w:szCs w:val="24"/>
        </w:rPr>
        <w:t xml:space="preserve"> ($1,067) was recorded in 2012 under the principal transaction but was posted subsequent to the filing of the Cost of Service for 2013, and thus did not make it on the Settlement Table #17: Deferral and Variance Accounts in the EB-</w:t>
      </w:r>
      <w:r w:rsidR="001D5DFB">
        <w:rPr>
          <w:rFonts w:ascii="Arial" w:hAnsi="Arial" w:cs="Arial"/>
          <w:color w:val="0070C0"/>
          <w:sz w:val="24"/>
          <w:szCs w:val="24"/>
        </w:rPr>
        <w:lastRenderedPageBreak/>
        <w:t>2012-0176. WPI acknowledges that this account is part of the agreed final disposition of accounts in Group 1 and Group 2. The amount was written off in 2013</w:t>
      </w:r>
      <w:r w:rsidR="005642F3">
        <w:rPr>
          <w:rFonts w:ascii="Arial" w:hAnsi="Arial" w:cs="Arial"/>
          <w:color w:val="0070C0"/>
          <w:sz w:val="24"/>
          <w:szCs w:val="24"/>
        </w:rPr>
        <w:t>, bringing the balance to $0, respecting the agreement for final disposition. WPI has reported this amount in thi</w:t>
      </w:r>
      <w:r w:rsidR="00C32232">
        <w:rPr>
          <w:rFonts w:ascii="Arial" w:hAnsi="Arial" w:cs="Arial"/>
          <w:color w:val="0070C0"/>
          <w:sz w:val="24"/>
          <w:szCs w:val="24"/>
        </w:rPr>
        <w:t xml:space="preserve">s manner </w:t>
      </w:r>
      <w:r w:rsidR="00EF77BC">
        <w:rPr>
          <w:rFonts w:ascii="Arial" w:hAnsi="Arial" w:cs="Arial"/>
          <w:color w:val="0070C0"/>
          <w:sz w:val="24"/>
          <w:szCs w:val="24"/>
        </w:rPr>
        <w:t xml:space="preserve">based on the belief that any subsequent event that generated either a debit or credit was to be written off, </w:t>
      </w:r>
      <w:r w:rsidR="00C32232">
        <w:rPr>
          <w:rFonts w:ascii="Arial" w:hAnsi="Arial" w:cs="Arial"/>
          <w:color w:val="0070C0"/>
          <w:sz w:val="24"/>
          <w:szCs w:val="24"/>
        </w:rPr>
        <w:t>as</w:t>
      </w:r>
      <w:r w:rsidR="00EF77BC">
        <w:rPr>
          <w:rFonts w:ascii="Arial" w:hAnsi="Arial" w:cs="Arial"/>
          <w:color w:val="0070C0"/>
          <w:sz w:val="24"/>
          <w:szCs w:val="24"/>
        </w:rPr>
        <w:t xml:space="preserve"> already approved through the EB-2012-0176 Decision and Order. </w:t>
      </w:r>
    </w:p>
    <w:p w:rsidR="00EF77BC" w:rsidRDefault="00EF77BC" w:rsidP="005642F3">
      <w:pPr>
        <w:pStyle w:val="ListParagraph"/>
        <w:rPr>
          <w:rFonts w:ascii="Arial" w:hAnsi="Arial" w:cs="Arial"/>
          <w:color w:val="0070C0"/>
          <w:sz w:val="24"/>
          <w:szCs w:val="24"/>
        </w:rPr>
      </w:pPr>
    </w:p>
    <w:p w:rsidR="005642F3" w:rsidRDefault="005642F3" w:rsidP="005642F3">
      <w:pPr>
        <w:pStyle w:val="ListParagraph"/>
        <w:rPr>
          <w:rFonts w:ascii="Arial" w:hAnsi="Arial" w:cs="Arial"/>
          <w:color w:val="0070C0"/>
          <w:sz w:val="24"/>
          <w:szCs w:val="24"/>
        </w:rPr>
      </w:pPr>
      <w:r>
        <w:rPr>
          <w:rFonts w:ascii="Arial" w:hAnsi="Arial" w:cs="Arial"/>
          <w:color w:val="0070C0"/>
          <w:sz w:val="24"/>
          <w:szCs w:val="24"/>
        </w:rPr>
        <w:t xml:space="preserve">WPI acknowledges that </w:t>
      </w:r>
      <w:r w:rsidR="00EF77BC">
        <w:rPr>
          <w:rFonts w:ascii="Arial" w:hAnsi="Arial" w:cs="Arial"/>
          <w:color w:val="0070C0"/>
          <w:sz w:val="24"/>
          <w:szCs w:val="24"/>
        </w:rPr>
        <w:t xml:space="preserve">if </w:t>
      </w:r>
      <w:r>
        <w:rPr>
          <w:rFonts w:ascii="Arial" w:hAnsi="Arial" w:cs="Arial"/>
          <w:color w:val="0070C0"/>
          <w:sz w:val="24"/>
          <w:szCs w:val="24"/>
        </w:rPr>
        <w:t xml:space="preserve">this </w:t>
      </w:r>
      <w:r w:rsidR="00EF77BC">
        <w:rPr>
          <w:rFonts w:ascii="Arial" w:hAnsi="Arial" w:cs="Arial"/>
          <w:color w:val="0070C0"/>
          <w:sz w:val="24"/>
          <w:szCs w:val="24"/>
        </w:rPr>
        <w:t xml:space="preserve">not accurate and </w:t>
      </w:r>
      <w:r>
        <w:rPr>
          <w:rFonts w:ascii="Arial" w:hAnsi="Arial" w:cs="Arial"/>
          <w:color w:val="0070C0"/>
          <w:sz w:val="24"/>
          <w:szCs w:val="24"/>
        </w:rPr>
        <w:t xml:space="preserve">should have been reported as a transaction in 2013 </w:t>
      </w:r>
      <w:r w:rsidR="00EF77BC">
        <w:rPr>
          <w:rFonts w:ascii="Arial" w:hAnsi="Arial" w:cs="Arial"/>
          <w:color w:val="0070C0"/>
          <w:sz w:val="24"/>
          <w:szCs w:val="24"/>
        </w:rPr>
        <w:t xml:space="preserve">and </w:t>
      </w:r>
      <w:r>
        <w:rPr>
          <w:rFonts w:ascii="Arial" w:hAnsi="Arial" w:cs="Arial"/>
          <w:color w:val="0070C0"/>
          <w:sz w:val="24"/>
          <w:szCs w:val="24"/>
        </w:rPr>
        <w:t xml:space="preserve">not as </w:t>
      </w:r>
      <w:proofErr w:type="gramStart"/>
      <w:r>
        <w:rPr>
          <w:rFonts w:ascii="Arial" w:hAnsi="Arial" w:cs="Arial"/>
          <w:color w:val="0070C0"/>
          <w:sz w:val="24"/>
          <w:szCs w:val="24"/>
        </w:rPr>
        <w:t>a</w:t>
      </w:r>
      <w:proofErr w:type="gramEnd"/>
      <w:r>
        <w:rPr>
          <w:rFonts w:ascii="Arial" w:hAnsi="Arial" w:cs="Arial"/>
          <w:color w:val="0070C0"/>
          <w:sz w:val="24"/>
          <w:szCs w:val="24"/>
        </w:rPr>
        <w:t xml:space="preserve"> </w:t>
      </w:r>
      <w:r w:rsidRPr="005642F3">
        <w:rPr>
          <w:rFonts w:ascii="Arial" w:hAnsi="Arial" w:cs="Arial"/>
          <w:color w:val="0070C0"/>
          <w:sz w:val="24"/>
          <w:szCs w:val="24"/>
        </w:rPr>
        <w:t>OEB-approved disposition (principal) amount</w:t>
      </w:r>
      <w:r w:rsidR="00EF77BC">
        <w:rPr>
          <w:rFonts w:ascii="Arial" w:hAnsi="Arial" w:cs="Arial"/>
          <w:color w:val="0070C0"/>
          <w:sz w:val="24"/>
          <w:szCs w:val="24"/>
        </w:rPr>
        <w:t xml:space="preserve"> w</w:t>
      </w:r>
      <w:r>
        <w:rPr>
          <w:rFonts w:ascii="Arial" w:hAnsi="Arial" w:cs="Arial"/>
          <w:color w:val="0070C0"/>
          <w:sz w:val="24"/>
          <w:szCs w:val="24"/>
        </w:rPr>
        <w:t>e apologize if this resulted in any misunderstanding. If the OEB requires a re-file with this amount in the transactions column, WPI will complete and re-send the respective excel file.</w:t>
      </w:r>
      <w:r w:rsidR="00EF77BC">
        <w:rPr>
          <w:rFonts w:ascii="Arial" w:hAnsi="Arial" w:cs="Arial"/>
          <w:color w:val="0070C0"/>
          <w:sz w:val="24"/>
          <w:szCs w:val="24"/>
        </w:rPr>
        <w:t xml:space="preserve"> WPI notes that a re-file </w:t>
      </w:r>
      <w:r w:rsidR="00C32232">
        <w:rPr>
          <w:rFonts w:ascii="Arial" w:hAnsi="Arial" w:cs="Arial"/>
          <w:color w:val="0070C0"/>
          <w:sz w:val="24"/>
          <w:szCs w:val="24"/>
        </w:rPr>
        <w:t xml:space="preserve">as contemplated above </w:t>
      </w:r>
      <w:r w:rsidR="00EF77BC">
        <w:rPr>
          <w:rFonts w:ascii="Arial" w:hAnsi="Arial" w:cs="Arial"/>
          <w:color w:val="0070C0"/>
          <w:sz w:val="24"/>
          <w:szCs w:val="24"/>
        </w:rPr>
        <w:t>will not alter the variance calculation in column BA.</w:t>
      </w:r>
    </w:p>
    <w:p w:rsidR="00900F5D" w:rsidRDefault="001D5DFB" w:rsidP="00900F5D">
      <w:pPr>
        <w:pStyle w:val="ListParagraph"/>
        <w:rPr>
          <w:rFonts w:ascii="Arial" w:hAnsi="Arial" w:cs="Arial"/>
          <w:sz w:val="24"/>
          <w:szCs w:val="24"/>
        </w:rPr>
      </w:pPr>
      <w:r>
        <w:rPr>
          <w:rFonts w:ascii="Arial" w:hAnsi="Arial" w:cs="Arial"/>
          <w:color w:val="0070C0"/>
          <w:sz w:val="24"/>
          <w:szCs w:val="24"/>
        </w:rPr>
        <w:t xml:space="preserve"> </w:t>
      </w:r>
    </w:p>
    <w:p w:rsidR="00900F5D" w:rsidRDefault="00900F5D" w:rsidP="00900F5D">
      <w:pPr>
        <w:pStyle w:val="ListParagraph"/>
        <w:numPr>
          <w:ilvl w:val="0"/>
          <w:numId w:val="20"/>
        </w:numPr>
        <w:rPr>
          <w:rFonts w:ascii="Arial" w:hAnsi="Arial" w:cs="Arial"/>
          <w:sz w:val="24"/>
          <w:szCs w:val="24"/>
        </w:rPr>
      </w:pPr>
      <w:r>
        <w:rPr>
          <w:rFonts w:ascii="Arial" w:hAnsi="Arial" w:cs="Arial"/>
          <w:sz w:val="24"/>
          <w:szCs w:val="24"/>
        </w:rPr>
        <w:t>Please provide explanations for the following account balances in year 2013:</w:t>
      </w:r>
    </w:p>
    <w:p w:rsidR="00900F5D" w:rsidRDefault="00900F5D" w:rsidP="00900F5D">
      <w:pPr>
        <w:pStyle w:val="ListParagraph"/>
        <w:numPr>
          <w:ilvl w:val="2"/>
          <w:numId w:val="24"/>
        </w:numPr>
        <w:rPr>
          <w:rFonts w:ascii="Arial" w:hAnsi="Arial" w:cs="Arial"/>
          <w:sz w:val="24"/>
          <w:szCs w:val="24"/>
        </w:rPr>
      </w:pPr>
      <w:r>
        <w:rPr>
          <w:rFonts w:ascii="Arial" w:hAnsi="Arial" w:cs="Arial"/>
          <w:sz w:val="24"/>
          <w:szCs w:val="24"/>
        </w:rPr>
        <w:t>Transaction balance of ($891,039) in account 1595 (2013)</w:t>
      </w:r>
    </w:p>
    <w:p w:rsidR="00212667" w:rsidRDefault="00212667" w:rsidP="00212667">
      <w:pPr>
        <w:pStyle w:val="ListParagraph"/>
        <w:ind w:left="1080"/>
        <w:rPr>
          <w:rFonts w:ascii="Arial" w:hAnsi="Arial" w:cs="Arial"/>
          <w:sz w:val="24"/>
          <w:szCs w:val="24"/>
        </w:rPr>
      </w:pPr>
    </w:p>
    <w:p w:rsidR="00212667" w:rsidRDefault="00A64207" w:rsidP="00212667">
      <w:pPr>
        <w:pStyle w:val="ListParagraph"/>
        <w:ind w:left="1080"/>
        <w:rPr>
          <w:rFonts w:ascii="Arial" w:hAnsi="Arial" w:cs="Arial"/>
          <w:color w:val="0070C0"/>
          <w:sz w:val="24"/>
          <w:szCs w:val="24"/>
        </w:rPr>
      </w:pPr>
      <w:r w:rsidRPr="004246D5">
        <w:rPr>
          <w:rFonts w:ascii="Arial" w:hAnsi="Arial" w:cs="Arial"/>
          <w:color w:val="0070C0"/>
          <w:sz w:val="24"/>
          <w:szCs w:val="24"/>
        </w:rPr>
        <w:t xml:space="preserve">WPI </w:t>
      </w:r>
      <w:r>
        <w:rPr>
          <w:rFonts w:ascii="Arial" w:hAnsi="Arial" w:cs="Arial"/>
          <w:color w:val="0070C0"/>
          <w:sz w:val="24"/>
          <w:szCs w:val="24"/>
        </w:rPr>
        <w:t>–</w:t>
      </w:r>
      <w:r w:rsidRPr="004246D5">
        <w:rPr>
          <w:rFonts w:ascii="Arial" w:hAnsi="Arial" w:cs="Arial"/>
          <w:color w:val="0070C0"/>
          <w:sz w:val="24"/>
          <w:szCs w:val="24"/>
        </w:rPr>
        <w:t xml:space="preserve"> </w:t>
      </w:r>
      <w:r>
        <w:rPr>
          <w:rFonts w:ascii="Arial" w:hAnsi="Arial" w:cs="Arial"/>
          <w:color w:val="0070C0"/>
          <w:sz w:val="24"/>
          <w:szCs w:val="24"/>
        </w:rPr>
        <w:t>The transaction balance represents repayment received under the approved rate rider (EB-2012-0176) for the disposition of the Group 1 and Group 2 Accounts.</w:t>
      </w:r>
    </w:p>
    <w:p w:rsidR="00A64207" w:rsidRDefault="00A64207" w:rsidP="00212667">
      <w:pPr>
        <w:pStyle w:val="ListParagraph"/>
        <w:ind w:left="1080"/>
        <w:rPr>
          <w:rFonts w:ascii="Arial" w:hAnsi="Arial" w:cs="Arial"/>
          <w:sz w:val="24"/>
          <w:szCs w:val="24"/>
        </w:rPr>
      </w:pPr>
    </w:p>
    <w:p w:rsidR="00900F5D" w:rsidRDefault="00900F5D" w:rsidP="00900F5D">
      <w:pPr>
        <w:pStyle w:val="ListParagraph"/>
        <w:numPr>
          <w:ilvl w:val="2"/>
          <w:numId w:val="24"/>
        </w:numPr>
        <w:rPr>
          <w:rFonts w:ascii="Arial" w:hAnsi="Arial" w:cs="Arial"/>
          <w:sz w:val="24"/>
          <w:szCs w:val="24"/>
        </w:rPr>
      </w:pPr>
      <w:r>
        <w:rPr>
          <w:rFonts w:ascii="Arial" w:hAnsi="Arial" w:cs="Arial"/>
          <w:sz w:val="24"/>
          <w:szCs w:val="24"/>
        </w:rPr>
        <w:t>OEB-approved disposition (principal) in the amount of ($2,638,476) in account 1595 (2013)</w:t>
      </w:r>
    </w:p>
    <w:p w:rsidR="002A7347" w:rsidRDefault="002A7347" w:rsidP="0081268C">
      <w:pPr>
        <w:pStyle w:val="ListParagraph"/>
        <w:ind w:left="1080"/>
        <w:rPr>
          <w:rFonts w:ascii="Arial" w:hAnsi="Arial" w:cs="Arial"/>
          <w:color w:val="0070C0"/>
          <w:sz w:val="24"/>
          <w:szCs w:val="24"/>
        </w:rPr>
      </w:pPr>
    </w:p>
    <w:p w:rsidR="0081268C" w:rsidRDefault="0081268C" w:rsidP="0081268C">
      <w:pPr>
        <w:pStyle w:val="ListParagraph"/>
        <w:ind w:left="1080"/>
        <w:rPr>
          <w:rFonts w:ascii="Arial" w:hAnsi="Arial" w:cs="Arial"/>
          <w:color w:val="0070C0"/>
          <w:sz w:val="24"/>
          <w:szCs w:val="24"/>
        </w:rPr>
      </w:pPr>
      <w:r w:rsidRPr="004246D5">
        <w:rPr>
          <w:rFonts w:ascii="Arial" w:hAnsi="Arial" w:cs="Arial"/>
          <w:color w:val="0070C0"/>
          <w:sz w:val="24"/>
          <w:szCs w:val="24"/>
        </w:rPr>
        <w:t xml:space="preserve">WPI </w:t>
      </w:r>
      <w:r>
        <w:rPr>
          <w:rFonts w:ascii="Arial" w:hAnsi="Arial" w:cs="Arial"/>
          <w:color w:val="0070C0"/>
          <w:sz w:val="24"/>
          <w:szCs w:val="24"/>
        </w:rPr>
        <w:t>–</w:t>
      </w:r>
      <w:r w:rsidRPr="004246D5">
        <w:rPr>
          <w:rFonts w:ascii="Arial" w:hAnsi="Arial" w:cs="Arial"/>
          <w:color w:val="0070C0"/>
          <w:sz w:val="24"/>
          <w:szCs w:val="24"/>
        </w:rPr>
        <w:t xml:space="preserve"> </w:t>
      </w:r>
      <w:r>
        <w:rPr>
          <w:rFonts w:ascii="Arial" w:hAnsi="Arial" w:cs="Arial"/>
          <w:color w:val="0070C0"/>
          <w:sz w:val="24"/>
          <w:szCs w:val="24"/>
        </w:rPr>
        <w:t xml:space="preserve">The EB-2012-0176 page 37 of 43 provides a </w:t>
      </w:r>
      <w:r w:rsidR="00212667">
        <w:rPr>
          <w:rFonts w:ascii="Arial" w:hAnsi="Arial" w:cs="Arial"/>
          <w:color w:val="0070C0"/>
          <w:sz w:val="24"/>
          <w:szCs w:val="24"/>
        </w:rPr>
        <w:t>S</w:t>
      </w:r>
      <w:r>
        <w:rPr>
          <w:rFonts w:ascii="Arial" w:hAnsi="Arial" w:cs="Arial"/>
          <w:color w:val="0070C0"/>
          <w:sz w:val="24"/>
          <w:szCs w:val="24"/>
        </w:rPr>
        <w:t>ettlement Table #17: Deferral and Variance Accounts that has a total under the Closing Principal as at Dec 3,</w:t>
      </w:r>
      <w:r w:rsidR="00212667">
        <w:rPr>
          <w:rFonts w:ascii="Arial" w:hAnsi="Arial" w:cs="Arial"/>
          <w:color w:val="0070C0"/>
          <w:sz w:val="24"/>
          <w:szCs w:val="24"/>
        </w:rPr>
        <w:t xml:space="preserve"> 2011 adjusted for dispositions </w:t>
      </w:r>
      <w:r>
        <w:rPr>
          <w:rFonts w:ascii="Arial" w:hAnsi="Arial" w:cs="Arial"/>
          <w:color w:val="0070C0"/>
          <w:sz w:val="24"/>
          <w:szCs w:val="24"/>
        </w:rPr>
        <w:t>during 2012 the $2,638,476</w:t>
      </w:r>
      <w:r w:rsidR="00212667">
        <w:rPr>
          <w:rFonts w:ascii="Arial" w:hAnsi="Arial" w:cs="Arial"/>
          <w:color w:val="0070C0"/>
          <w:sz w:val="24"/>
          <w:szCs w:val="24"/>
        </w:rPr>
        <w:t>. A copy is provided below for your reference.</w:t>
      </w:r>
    </w:p>
    <w:p w:rsidR="00A64207" w:rsidRDefault="00A64207" w:rsidP="0081268C">
      <w:pPr>
        <w:pStyle w:val="ListParagraph"/>
        <w:ind w:left="1080"/>
        <w:rPr>
          <w:rFonts w:ascii="Arial" w:hAnsi="Arial" w:cs="Arial"/>
          <w:sz w:val="24"/>
          <w:szCs w:val="24"/>
        </w:rPr>
      </w:pPr>
    </w:p>
    <w:p w:rsidR="00900F5D" w:rsidRDefault="00900F5D" w:rsidP="00900F5D">
      <w:pPr>
        <w:pStyle w:val="ListParagraph"/>
        <w:numPr>
          <w:ilvl w:val="2"/>
          <w:numId w:val="24"/>
        </w:numPr>
        <w:rPr>
          <w:rFonts w:ascii="Arial" w:hAnsi="Arial" w:cs="Arial"/>
          <w:sz w:val="24"/>
          <w:szCs w:val="24"/>
        </w:rPr>
      </w:pPr>
      <w:r>
        <w:rPr>
          <w:rFonts w:ascii="Arial" w:hAnsi="Arial" w:cs="Arial"/>
          <w:sz w:val="24"/>
          <w:szCs w:val="24"/>
        </w:rPr>
        <w:t xml:space="preserve">Interest amount of </w:t>
      </w:r>
      <w:r w:rsidR="00637101">
        <w:rPr>
          <w:rFonts w:ascii="Arial" w:hAnsi="Arial" w:cs="Arial"/>
          <w:sz w:val="24"/>
          <w:szCs w:val="24"/>
        </w:rPr>
        <w:t>$21,111 in account of 1595 (2013)</w:t>
      </w:r>
    </w:p>
    <w:p w:rsidR="00212667" w:rsidRDefault="00212667" w:rsidP="00212667">
      <w:pPr>
        <w:pStyle w:val="ListParagraph"/>
        <w:ind w:left="1080"/>
        <w:rPr>
          <w:rFonts w:ascii="Arial" w:hAnsi="Arial" w:cs="Arial"/>
          <w:sz w:val="24"/>
          <w:szCs w:val="24"/>
        </w:rPr>
      </w:pPr>
    </w:p>
    <w:p w:rsidR="00A64207" w:rsidRDefault="00A64207" w:rsidP="00A64207">
      <w:pPr>
        <w:pStyle w:val="ListParagraph"/>
        <w:ind w:left="1080"/>
        <w:rPr>
          <w:rFonts w:ascii="Arial" w:hAnsi="Arial" w:cs="Arial"/>
          <w:sz w:val="24"/>
          <w:szCs w:val="24"/>
        </w:rPr>
      </w:pPr>
      <w:r w:rsidRPr="004246D5">
        <w:rPr>
          <w:rFonts w:ascii="Arial" w:hAnsi="Arial" w:cs="Arial"/>
          <w:color w:val="0070C0"/>
          <w:sz w:val="24"/>
          <w:szCs w:val="24"/>
        </w:rPr>
        <w:t xml:space="preserve">WPI </w:t>
      </w:r>
      <w:r>
        <w:rPr>
          <w:rFonts w:ascii="Arial" w:hAnsi="Arial" w:cs="Arial"/>
          <w:color w:val="0070C0"/>
          <w:sz w:val="24"/>
          <w:szCs w:val="24"/>
        </w:rPr>
        <w:t>–</w:t>
      </w:r>
      <w:r w:rsidRPr="004246D5">
        <w:rPr>
          <w:rFonts w:ascii="Arial" w:hAnsi="Arial" w:cs="Arial"/>
          <w:color w:val="0070C0"/>
          <w:sz w:val="24"/>
          <w:szCs w:val="24"/>
        </w:rPr>
        <w:t xml:space="preserve"> </w:t>
      </w:r>
      <w:r>
        <w:rPr>
          <w:rFonts w:ascii="Arial" w:hAnsi="Arial" w:cs="Arial"/>
          <w:color w:val="0070C0"/>
          <w:sz w:val="24"/>
          <w:szCs w:val="24"/>
        </w:rPr>
        <w:t>The transaction represents interest at the prescribed rate of 1.47% for the year.</w:t>
      </w:r>
    </w:p>
    <w:p w:rsidR="00212667" w:rsidRDefault="00212667" w:rsidP="00212667">
      <w:pPr>
        <w:pStyle w:val="ListParagraph"/>
        <w:ind w:left="1080"/>
        <w:rPr>
          <w:rFonts w:ascii="Arial" w:hAnsi="Arial" w:cs="Arial"/>
          <w:sz w:val="24"/>
          <w:szCs w:val="24"/>
        </w:rPr>
      </w:pPr>
    </w:p>
    <w:p w:rsidR="00637101" w:rsidRDefault="00637101" w:rsidP="00900F5D">
      <w:pPr>
        <w:pStyle w:val="ListParagraph"/>
        <w:numPr>
          <w:ilvl w:val="2"/>
          <w:numId w:val="24"/>
        </w:numPr>
        <w:rPr>
          <w:rFonts w:ascii="Arial" w:hAnsi="Arial" w:cs="Arial"/>
          <w:sz w:val="24"/>
          <w:szCs w:val="24"/>
        </w:rPr>
      </w:pPr>
      <w:r>
        <w:rPr>
          <w:rFonts w:ascii="Arial" w:hAnsi="Arial" w:cs="Arial"/>
          <w:sz w:val="24"/>
          <w:szCs w:val="24"/>
        </w:rPr>
        <w:t>OEB-approved disposition (interest) in the amount of ($233,018) in account 1595 (2013)</w:t>
      </w:r>
    </w:p>
    <w:p w:rsidR="0081268C" w:rsidRDefault="0081268C" w:rsidP="0081268C">
      <w:pPr>
        <w:pStyle w:val="ListParagraph"/>
        <w:ind w:left="1080"/>
        <w:rPr>
          <w:rFonts w:ascii="Arial" w:hAnsi="Arial" w:cs="Arial"/>
          <w:sz w:val="24"/>
          <w:szCs w:val="24"/>
        </w:rPr>
      </w:pPr>
    </w:p>
    <w:p w:rsidR="00212667" w:rsidRDefault="00212667" w:rsidP="00212667">
      <w:pPr>
        <w:pStyle w:val="ListParagraph"/>
        <w:ind w:left="1080"/>
        <w:rPr>
          <w:rFonts w:ascii="Arial" w:hAnsi="Arial" w:cs="Arial"/>
          <w:sz w:val="24"/>
          <w:szCs w:val="24"/>
        </w:rPr>
      </w:pPr>
      <w:r w:rsidRPr="004246D5">
        <w:rPr>
          <w:rFonts w:ascii="Arial" w:hAnsi="Arial" w:cs="Arial"/>
          <w:color w:val="0070C0"/>
          <w:sz w:val="24"/>
          <w:szCs w:val="24"/>
        </w:rPr>
        <w:t xml:space="preserve">WPI </w:t>
      </w:r>
      <w:r>
        <w:rPr>
          <w:rFonts w:ascii="Arial" w:hAnsi="Arial" w:cs="Arial"/>
          <w:color w:val="0070C0"/>
          <w:sz w:val="24"/>
          <w:szCs w:val="24"/>
        </w:rPr>
        <w:t>–</w:t>
      </w:r>
      <w:r w:rsidRPr="004246D5">
        <w:rPr>
          <w:rFonts w:ascii="Arial" w:hAnsi="Arial" w:cs="Arial"/>
          <w:color w:val="0070C0"/>
          <w:sz w:val="24"/>
          <w:szCs w:val="24"/>
        </w:rPr>
        <w:t xml:space="preserve"> </w:t>
      </w:r>
      <w:r>
        <w:rPr>
          <w:rFonts w:ascii="Arial" w:hAnsi="Arial" w:cs="Arial"/>
          <w:color w:val="0070C0"/>
          <w:sz w:val="24"/>
          <w:szCs w:val="24"/>
        </w:rPr>
        <w:t xml:space="preserve">The EB-2012-0176 page 37 of 43 provides a Settlement Table #17: Deferral and Variance Accounts that has totals for interest of the various </w:t>
      </w:r>
      <w:r>
        <w:rPr>
          <w:rFonts w:ascii="Arial" w:hAnsi="Arial" w:cs="Arial"/>
          <w:color w:val="0070C0"/>
          <w:sz w:val="24"/>
          <w:szCs w:val="24"/>
        </w:rPr>
        <w:lastRenderedPageBreak/>
        <w:t>periods of $140,832 + $78,933 + $13,251 supporting the ($233,018). A copy is provided below for your reference.</w:t>
      </w:r>
    </w:p>
    <w:p w:rsidR="0081268C" w:rsidRDefault="00212667" w:rsidP="0081268C">
      <w:pPr>
        <w:pStyle w:val="ListParagraph"/>
        <w:ind w:left="1080"/>
        <w:rPr>
          <w:rFonts w:ascii="Arial" w:hAnsi="Arial" w:cs="Arial"/>
          <w:sz w:val="24"/>
          <w:szCs w:val="24"/>
        </w:rPr>
      </w:pPr>
      <w:r>
        <w:rPr>
          <w:noProof/>
          <w:lang w:eastAsia="en-CA"/>
        </w:rPr>
        <w:drawing>
          <wp:inline distT="0" distB="0" distL="0" distR="0" wp14:anchorId="586B84B9" wp14:editId="197FBC63">
            <wp:extent cx="5943600" cy="53079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5307965"/>
                    </a:xfrm>
                    <a:prstGeom prst="rect">
                      <a:avLst/>
                    </a:prstGeom>
                  </pic:spPr>
                </pic:pic>
              </a:graphicData>
            </a:graphic>
          </wp:inline>
        </w:drawing>
      </w:r>
    </w:p>
    <w:p w:rsidR="00146243" w:rsidRDefault="00146243" w:rsidP="00146243">
      <w:pPr>
        <w:pStyle w:val="ListParagraph"/>
        <w:ind w:left="1080"/>
        <w:rPr>
          <w:rFonts w:ascii="Arial" w:hAnsi="Arial" w:cs="Arial"/>
          <w:sz w:val="24"/>
          <w:szCs w:val="24"/>
        </w:rPr>
      </w:pPr>
    </w:p>
    <w:p w:rsidR="00924616" w:rsidRDefault="00924616" w:rsidP="00924616">
      <w:pPr>
        <w:pStyle w:val="ListParagraph"/>
        <w:numPr>
          <w:ilvl w:val="0"/>
          <w:numId w:val="20"/>
        </w:numPr>
        <w:rPr>
          <w:rFonts w:ascii="Arial" w:hAnsi="Arial" w:cs="Arial"/>
          <w:sz w:val="24"/>
          <w:szCs w:val="24"/>
        </w:rPr>
      </w:pPr>
      <w:r>
        <w:rPr>
          <w:rFonts w:ascii="Arial" w:hAnsi="Arial" w:cs="Arial"/>
          <w:sz w:val="24"/>
          <w:szCs w:val="24"/>
        </w:rPr>
        <w:t>In case there are data changes on the continuity schedule related to the above questions (in part a) to f)) and the change(s) result in</w:t>
      </w:r>
      <w:r w:rsidRPr="00204B66">
        <w:rPr>
          <w:rFonts w:ascii="Arial" w:hAnsi="Arial" w:cs="Arial"/>
          <w:sz w:val="24"/>
          <w:szCs w:val="24"/>
        </w:rPr>
        <w:t xml:space="preserve"> </w:t>
      </w:r>
      <w:r>
        <w:rPr>
          <w:rFonts w:ascii="Arial" w:hAnsi="Arial" w:cs="Arial"/>
          <w:sz w:val="24"/>
          <w:szCs w:val="24"/>
        </w:rPr>
        <w:t xml:space="preserve">variance balance (RRR vs. 2014 - </w:t>
      </w:r>
      <w:r w:rsidRPr="00204B66">
        <w:rPr>
          <w:rFonts w:ascii="Arial" w:hAnsi="Arial" w:cs="Arial"/>
          <w:sz w:val="24"/>
          <w:szCs w:val="24"/>
        </w:rPr>
        <w:t>column BA on Tab 3)</w:t>
      </w:r>
      <w:proofErr w:type="gramStart"/>
      <w:r w:rsidRPr="00204B66">
        <w:rPr>
          <w:rFonts w:ascii="Arial" w:hAnsi="Arial" w:cs="Arial"/>
          <w:sz w:val="24"/>
          <w:szCs w:val="24"/>
        </w:rPr>
        <w:t>,</w:t>
      </w:r>
      <w:proofErr w:type="gramEnd"/>
      <w:r w:rsidRPr="00204B66">
        <w:rPr>
          <w:rFonts w:ascii="Arial" w:hAnsi="Arial" w:cs="Arial"/>
          <w:sz w:val="24"/>
          <w:szCs w:val="24"/>
        </w:rPr>
        <w:t xml:space="preserve"> please provide explanation for the variance.</w:t>
      </w:r>
    </w:p>
    <w:p w:rsidR="00146243" w:rsidRDefault="00146243" w:rsidP="00924616">
      <w:pPr>
        <w:pStyle w:val="ListParagraph"/>
        <w:rPr>
          <w:rFonts w:ascii="Arial" w:hAnsi="Arial" w:cs="Arial"/>
          <w:sz w:val="24"/>
          <w:szCs w:val="24"/>
        </w:rPr>
      </w:pPr>
    </w:p>
    <w:p w:rsidR="00A64207" w:rsidRPr="00A64207" w:rsidRDefault="00A64207" w:rsidP="00A64207">
      <w:pPr>
        <w:ind w:left="720"/>
        <w:rPr>
          <w:rFonts w:ascii="Arial" w:hAnsi="Arial" w:cs="Arial"/>
          <w:sz w:val="24"/>
          <w:szCs w:val="24"/>
        </w:rPr>
      </w:pPr>
      <w:r w:rsidRPr="00A64207">
        <w:rPr>
          <w:rFonts w:ascii="Arial" w:hAnsi="Arial" w:cs="Arial"/>
          <w:color w:val="0070C0"/>
          <w:sz w:val="24"/>
          <w:szCs w:val="24"/>
        </w:rPr>
        <w:t xml:space="preserve">WPI – The </w:t>
      </w:r>
      <w:r>
        <w:rPr>
          <w:rFonts w:ascii="Arial" w:hAnsi="Arial" w:cs="Arial"/>
          <w:color w:val="0070C0"/>
          <w:sz w:val="24"/>
          <w:szCs w:val="24"/>
        </w:rPr>
        <w:t xml:space="preserve">above provides support for the transactions and balances. WPI respectfully considers </w:t>
      </w:r>
      <w:r w:rsidR="00C43286">
        <w:rPr>
          <w:rFonts w:ascii="Arial" w:hAnsi="Arial" w:cs="Arial"/>
          <w:color w:val="0070C0"/>
          <w:sz w:val="24"/>
          <w:szCs w:val="24"/>
        </w:rPr>
        <w:t xml:space="preserve">that there is no change in the filed information that would change the </w:t>
      </w:r>
      <w:r>
        <w:rPr>
          <w:rFonts w:ascii="Arial" w:hAnsi="Arial" w:cs="Arial"/>
          <w:color w:val="0070C0"/>
          <w:sz w:val="24"/>
          <w:szCs w:val="24"/>
        </w:rPr>
        <w:t xml:space="preserve">variance </w:t>
      </w:r>
      <w:r w:rsidR="00C43286">
        <w:rPr>
          <w:rFonts w:ascii="Arial" w:hAnsi="Arial" w:cs="Arial"/>
          <w:color w:val="0070C0"/>
          <w:sz w:val="24"/>
          <w:szCs w:val="24"/>
        </w:rPr>
        <w:t>calculation in c</w:t>
      </w:r>
      <w:r>
        <w:rPr>
          <w:rFonts w:ascii="Arial" w:hAnsi="Arial" w:cs="Arial"/>
          <w:color w:val="0070C0"/>
          <w:sz w:val="24"/>
          <w:szCs w:val="24"/>
        </w:rPr>
        <w:t>olumn</w:t>
      </w:r>
      <w:r w:rsidR="005A3B82">
        <w:rPr>
          <w:rFonts w:ascii="Arial" w:hAnsi="Arial" w:cs="Arial"/>
          <w:color w:val="0070C0"/>
          <w:sz w:val="24"/>
          <w:szCs w:val="24"/>
        </w:rPr>
        <w:t xml:space="preserve"> BA</w:t>
      </w:r>
      <w:r w:rsidR="00C43286">
        <w:rPr>
          <w:rFonts w:ascii="Arial" w:hAnsi="Arial" w:cs="Arial"/>
          <w:color w:val="0070C0"/>
          <w:sz w:val="24"/>
          <w:szCs w:val="24"/>
        </w:rPr>
        <w:t>, thus no further explanation is required.</w:t>
      </w:r>
    </w:p>
    <w:p w:rsidR="00A64207" w:rsidRDefault="00A64207" w:rsidP="00924616">
      <w:pPr>
        <w:pStyle w:val="ListParagraph"/>
        <w:rPr>
          <w:rFonts w:ascii="Arial" w:hAnsi="Arial" w:cs="Arial"/>
          <w:sz w:val="24"/>
          <w:szCs w:val="24"/>
        </w:rPr>
      </w:pPr>
    </w:p>
    <w:p w:rsidR="00146243" w:rsidRPr="00146243" w:rsidRDefault="00146243" w:rsidP="00146243">
      <w:pPr>
        <w:rPr>
          <w:rFonts w:ascii="Arial" w:hAnsi="Arial" w:cs="Arial"/>
          <w:sz w:val="24"/>
          <w:szCs w:val="24"/>
        </w:rPr>
      </w:pPr>
    </w:p>
    <w:p w:rsidR="00900F5D" w:rsidRPr="00900F5D" w:rsidRDefault="00900F5D" w:rsidP="00900F5D">
      <w:pPr>
        <w:rPr>
          <w:rFonts w:ascii="Arial" w:hAnsi="Arial" w:cs="Arial"/>
          <w:sz w:val="24"/>
          <w:szCs w:val="24"/>
        </w:rPr>
      </w:pPr>
    </w:p>
    <w:p w:rsidR="00601C3B" w:rsidRDefault="00601C3B" w:rsidP="0001354E">
      <w:pPr>
        <w:rPr>
          <w:rFonts w:ascii="Arial" w:hAnsi="Arial" w:cs="Arial"/>
          <w:b/>
          <w:sz w:val="24"/>
          <w:szCs w:val="24"/>
        </w:rPr>
      </w:pPr>
    </w:p>
    <w:p w:rsidR="00B314F3" w:rsidRDefault="008539D9" w:rsidP="0001354E">
      <w:pPr>
        <w:rPr>
          <w:rFonts w:ascii="Arial" w:hAnsi="Arial" w:cs="Arial"/>
          <w:b/>
          <w:sz w:val="24"/>
          <w:szCs w:val="24"/>
        </w:rPr>
      </w:pPr>
      <w:r>
        <w:rPr>
          <w:rFonts w:ascii="Arial" w:hAnsi="Arial" w:cs="Arial"/>
          <w:b/>
          <w:sz w:val="24"/>
          <w:szCs w:val="24"/>
        </w:rPr>
        <w:t>Interrogatory #</w:t>
      </w:r>
      <w:r w:rsidR="003F7D01">
        <w:rPr>
          <w:rFonts w:ascii="Arial" w:hAnsi="Arial" w:cs="Arial"/>
          <w:b/>
          <w:sz w:val="24"/>
          <w:szCs w:val="24"/>
        </w:rPr>
        <w:t>2</w:t>
      </w:r>
    </w:p>
    <w:p w:rsidR="005117CF" w:rsidRDefault="007726A4" w:rsidP="005216D6">
      <w:pPr>
        <w:rPr>
          <w:rFonts w:ascii="Arial" w:hAnsi="Arial" w:cs="Arial"/>
          <w:sz w:val="24"/>
          <w:szCs w:val="24"/>
        </w:rPr>
      </w:pPr>
      <w:r>
        <w:rPr>
          <w:rFonts w:ascii="Arial" w:hAnsi="Arial" w:cs="Arial"/>
          <w:sz w:val="24"/>
          <w:szCs w:val="24"/>
        </w:rPr>
        <w:t xml:space="preserve">OEB staff will make the following updates to </w:t>
      </w:r>
      <w:proofErr w:type="spellStart"/>
      <w:r>
        <w:rPr>
          <w:rFonts w:ascii="Arial" w:hAnsi="Arial" w:cs="Arial"/>
          <w:sz w:val="24"/>
          <w:szCs w:val="24"/>
        </w:rPr>
        <w:t>Westario</w:t>
      </w:r>
      <w:proofErr w:type="spellEnd"/>
      <w:r>
        <w:rPr>
          <w:rFonts w:ascii="Arial" w:hAnsi="Arial" w:cs="Arial"/>
          <w:sz w:val="24"/>
          <w:szCs w:val="24"/>
        </w:rPr>
        <w:t xml:space="preserve"> Power’s 2016 IRM model. Please review and confirm the changes.</w:t>
      </w:r>
    </w:p>
    <w:p w:rsidR="00F72F89" w:rsidRDefault="00145A2B" w:rsidP="00145A2B">
      <w:pPr>
        <w:pStyle w:val="ListParagraph"/>
        <w:numPr>
          <w:ilvl w:val="0"/>
          <w:numId w:val="6"/>
        </w:numPr>
        <w:rPr>
          <w:rFonts w:ascii="Arial" w:hAnsi="Arial" w:cs="Arial"/>
          <w:b/>
          <w:sz w:val="24"/>
          <w:szCs w:val="24"/>
        </w:rPr>
      </w:pPr>
      <w:r>
        <w:rPr>
          <w:rFonts w:ascii="Arial" w:hAnsi="Arial" w:cs="Arial"/>
          <w:b/>
          <w:sz w:val="24"/>
          <w:szCs w:val="24"/>
        </w:rPr>
        <w:t>Tab 15: Rev2Cost_GDPIP - Price Escalator</w:t>
      </w:r>
    </w:p>
    <w:p w:rsidR="00145A2B" w:rsidRDefault="00145A2B" w:rsidP="00145A2B">
      <w:pPr>
        <w:pStyle w:val="ListParagraph"/>
        <w:rPr>
          <w:rFonts w:ascii="Arial" w:hAnsi="Arial" w:cs="Arial"/>
          <w:sz w:val="24"/>
          <w:szCs w:val="24"/>
        </w:rPr>
      </w:pPr>
    </w:p>
    <w:p w:rsidR="00145A2B" w:rsidRPr="000D1C27" w:rsidRDefault="00145A2B" w:rsidP="00145A2B">
      <w:pPr>
        <w:pStyle w:val="ListParagraph"/>
        <w:rPr>
          <w:rFonts w:ascii="Arial" w:hAnsi="Arial" w:cs="Arial"/>
          <w:szCs w:val="24"/>
        </w:rPr>
      </w:pPr>
      <w:r w:rsidRPr="000D1C27">
        <w:rPr>
          <w:rFonts w:ascii="Arial" w:hAnsi="Arial" w:cs="Arial"/>
          <w:sz w:val="24"/>
          <w:szCs w:val="24"/>
        </w:rPr>
        <w:t xml:space="preserve">The OEB has calculated the value of the inflation factor for the incentive rate setting under the Price Cap IR and Annual Index plans, for rate changes effective in 2016, to be 2.1%. The </w:t>
      </w:r>
      <w:r>
        <w:rPr>
          <w:rFonts w:ascii="Arial" w:hAnsi="Arial" w:cs="Arial"/>
          <w:sz w:val="24"/>
          <w:szCs w:val="24"/>
        </w:rPr>
        <w:t xml:space="preserve">derivation of this is shown on </w:t>
      </w:r>
      <w:r w:rsidRPr="000D1C27">
        <w:rPr>
          <w:rFonts w:ascii="Arial" w:hAnsi="Arial" w:cs="Arial"/>
          <w:sz w:val="24"/>
          <w:szCs w:val="24"/>
        </w:rPr>
        <w:t xml:space="preserve">OEB’s webpage: </w:t>
      </w:r>
      <w:hyperlink r:id="rId15" w:history="1">
        <w:r w:rsidRPr="000D1C27">
          <w:rPr>
            <w:rStyle w:val="Hyperlink"/>
            <w:rFonts w:ascii="Arial" w:hAnsi="Arial" w:cs="Arial"/>
            <w:szCs w:val="24"/>
          </w:rPr>
          <w:t>http://www.ontarioenergyboard.ca/oeb/Industry/Regulatory%20Proceedings/Applications%20Before%20the%20Board/Electricity%20Distribution%20Rates/2016%20Electricity%20Distribution%20Rate%20Applications</w:t>
        </w:r>
      </w:hyperlink>
    </w:p>
    <w:p w:rsidR="00145A2B" w:rsidRDefault="00145A2B" w:rsidP="00145A2B">
      <w:pPr>
        <w:pStyle w:val="ListParagraph"/>
        <w:rPr>
          <w:rFonts w:ascii="Arial" w:hAnsi="Arial" w:cs="Arial"/>
          <w:sz w:val="24"/>
          <w:szCs w:val="24"/>
        </w:rPr>
      </w:pPr>
      <w:r>
        <w:rPr>
          <w:rFonts w:ascii="Arial" w:hAnsi="Arial" w:cs="Arial"/>
          <w:sz w:val="24"/>
          <w:szCs w:val="24"/>
        </w:rPr>
        <w:t>Th</w:t>
      </w:r>
      <w:r w:rsidR="007726A4">
        <w:rPr>
          <w:rFonts w:ascii="Arial" w:hAnsi="Arial" w:cs="Arial"/>
          <w:sz w:val="24"/>
          <w:szCs w:val="24"/>
        </w:rPr>
        <w:t>is new inflation factor will be</w:t>
      </w:r>
      <w:r>
        <w:rPr>
          <w:rFonts w:ascii="Arial" w:hAnsi="Arial" w:cs="Arial"/>
          <w:sz w:val="24"/>
          <w:szCs w:val="24"/>
        </w:rPr>
        <w:t xml:space="preserve"> applied to Tab 15 of the IRM model as the Price Escalator.</w:t>
      </w:r>
    </w:p>
    <w:p w:rsidR="00A64207" w:rsidRDefault="00A64207" w:rsidP="00A64207">
      <w:pPr>
        <w:ind w:left="720"/>
        <w:rPr>
          <w:rFonts w:ascii="Arial" w:hAnsi="Arial" w:cs="Arial"/>
          <w:sz w:val="24"/>
          <w:szCs w:val="24"/>
        </w:rPr>
      </w:pPr>
      <w:r w:rsidRPr="00A64207">
        <w:rPr>
          <w:rFonts w:ascii="Arial" w:hAnsi="Arial" w:cs="Arial"/>
          <w:color w:val="0070C0"/>
          <w:sz w:val="24"/>
          <w:szCs w:val="24"/>
        </w:rPr>
        <w:t xml:space="preserve">WPI – </w:t>
      </w:r>
      <w:r>
        <w:rPr>
          <w:rFonts w:ascii="Arial" w:hAnsi="Arial" w:cs="Arial"/>
          <w:color w:val="0070C0"/>
          <w:sz w:val="24"/>
          <w:szCs w:val="24"/>
        </w:rPr>
        <w:t>Confirmed.</w:t>
      </w:r>
    </w:p>
    <w:p w:rsidR="00145A2B" w:rsidRDefault="00145A2B" w:rsidP="00145A2B">
      <w:pPr>
        <w:pStyle w:val="ListParagraph"/>
        <w:rPr>
          <w:rFonts w:ascii="Arial" w:hAnsi="Arial" w:cs="Arial"/>
          <w:sz w:val="24"/>
          <w:szCs w:val="24"/>
        </w:rPr>
      </w:pPr>
    </w:p>
    <w:p w:rsidR="00145A2B" w:rsidRDefault="00145A2B" w:rsidP="00145A2B">
      <w:pPr>
        <w:pStyle w:val="ListParagraph"/>
        <w:numPr>
          <w:ilvl w:val="0"/>
          <w:numId w:val="6"/>
        </w:numPr>
        <w:rPr>
          <w:rFonts w:ascii="Arial" w:hAnsi="Arial" w:cs="Arial"/>
          <w:b/>
          <w:sz w:val="24"/>
          <w:szCs w:val="24"/>
        </w:rPr>
      </w:pPr>
      <w:r w:rsidRPr="00145A2B">
        <w:rPr>
          <w:rFonts w:ascii="Arial" w:hAnsi="Arial" w:cs="Arial"/>
          <w:b/>
          <w:sz w:val="24"/>
          <w:szCs w:val="24"/>
        </w:rPr>
        <w:t xml:space="preserve">Tab 18: Bill Impacts </w:t>
      </w:r>
      <w:r w:rsidR="00323BCB">
        <w:rPr>
          <w:rFonts w:ascii="Arial" w:hAnsi="Arial" w:cs="Arial"/>
          <w:b/>
          <w:sz w:val="24"/>
          <w:szCs w:val="24"/>
        </w:rPr>
        <w:t>–</w:t>
      </w:r>
      <w:r w:rsidR="00D21A42">
        <w:rPr>
          <w:rFonts w:ascii="Arial" w:hAnsi="Arial" w:cs="Arial"/>
          <w:b/>
          <w:sz w:val="24"/>
          <w:szCs w:val="24"/>
        </w:rPr>
        <w:t xml:space="preserve"> </w:t>
      </w:r>
      <w:r w:rsidR="007726A4">
        <w:rPr>
          <w:rFonts w:ascii="Arial" w:hAnsi="Arial" w:cs="Arial"/>
          <w:b/>
          <w:sz w:val="24"/>
          <w:szCs w:val="24"/>
        </w:rPr>
        <w:t xml:space="preserve">Debt Retirement Charge (DRC) - </w:t>
      </w:r>
      <w:r w:rsidR="00D21A42">
        <w:rPr>
          <w:rFonts w:ascii="Arial" w:hAnsi="Arial" w:cs="Arial"/>
          <w:b/>
          <w:sz w:val="24"/>
          <w:szCs w:val="24"/>
        </w:rPr>
        <w:t>Residential Class</w:t>
      </w:r>
    </w:p>
    <w:p w:rsidR="00D21A42" w:rsidRDefault="007726A4" w:rsidP="007726A4">
      <w:pPr>
        <w:ind w:left="720"/>
        <w:rPr>
          <w:rFonts w:ascii="Arial" w:hAnsi="Arial" w:cs="Arial"/>
          <w:sz w:val="24"/>
          <w:szCs w:val="24"/>
        </w:rPr>
      </w:pPr>
      <w:r w:rsidRPr="007726A4">
        <w:rPr>
          <w:rFonts w:ascii="Arial" w:hAnsi="Arial" w:cs="Arial"/>
          <w:sz w:val="24"/>
          <w:szCs w:val="24"/>
        </w:rPr>
        <w:t>A</w:t>
      </w:r>
      <w:r>
        <w:rPr>
          <w:rFonts w:ascii="Arial" w:hAnsi="Arial" w:cs="Arial"/>
          <w:sz w:val="24"/>
          <w:szCs w:val="24"/>
        </w:rPr>
        <w:t>s the DRC will be removed from r</w:t>
      </w:r>
      <w:r w:rsidR="00D21A42" w:rsidRPr="007726A4">
        <w:rPr>
          <w:rFonts w:ascii="Arial" w:hAnsi="Arial" w:cs="Arial"/>
          <w:sz w:val="24"/>
          <w:szCs w:val="24"/>
        </w:rPr>
        <w:t xml:space="preserve">esidential customers’ bills after </w:t>
      </w:r>
      <w:r>
        <w:rPr>
          <w:rFonts w:ascii="Arial" w:hAnsi="Arial" w:cs="Arial"/>
          <w:sz w:val="24"/>
          <w:szCs w:val="24"/>
        </w:rPr>
        <w:t>December 31, 2015, the model will be</w:t>
      </w:r>
      <w:r w:rsidR="00D21A42" w:rsidRPr="007726A4">
        <w:rPr>
          <w:rFonts w:ascii="Arial" w:hAnsi="Arial" w:cs="Arial"/>
          <w:sz w:val="24"/>
          <w:szCs w:val="24"/>
        </w:rPr>
        <w:t xml:space="preserve"> </w:t>
      </w:r>
      <w:r>
        <w:rPr>
          <w:rFonts w:ascii="Arial" w:hAnsi="Arial" w:cs="Arial"/>
          <w:sz w:val="24"/>
          <w:szCs w:val="24"/>
        </w:rPr>
        <w:t>updated</w:t>
      </w:r>
      <w:r w:rsidR="00D21A42" w:rsidRPr="007726A4">
        <w:rPr>
          <w:rFonts w:ascii="Arial" w:hAnsi="Arial" w:cs="Arial"/>
          <w:sz w:val="24"/>
          <w:szCs w:val="24"/>
        </w:rPr>
        <w:t xml:space="preserve"> to show $0 DRC </w:t>
      </w:r>
      <w:r w:rsidR="001D7086" w:rsidRPr="007726A4">
        <w:rPr>
          <w:rFonts w:ascii="Arial" w:hAnsi="Arial" w:cs="Arial"/>
          <w:sz w:val="24"/>
          <w:szCs w:val="24"/>
        </w:rPr>
        <w:t>rate under Current Board-Approved sectio</w:t>
      </w:r>
      <w:r>
        <w:rPr>
          <w:rFonts w:ascii="Arial" w:hAnsi="Arial" w:cs="Arial"/>
          <w:sz w:val="24"/>
          <w:szCs w:val="24"/>
        </w:rPr>
        <w:t>n for residential classes</w:t>
      </w:r>
      <w:r w:rsidR="001D7086" w:rsidRPr="007726A4">
        <w:rPr>
          <w:rFonts w:ascii="Arial" w:hAnsi="Arial" w:cs="Arial"/>
          <w:sz w:val="24"/>
          <w:szCs w:val="24"/>
        </w:rPr>
        <w:t>.</w:t>
      </w:r>
    </w:p>
    <w:p w:rsidR="00A64207" w:rsidRDefault="00A64207" w:rsidP="00A64207">
      <w:pPr>
        <w:ind w:left="720"/>
        <w:rPr>
          <w:rFonts w:ascii="Arial" w:hAnsi="Arial" w:cs="Arial"/>
          <w:sz w:val="24"/>
          <w:szCs w:val="24"/>
        </w:rPr>
      </w:pPr>
      <w:r w:rsidRPr="00A64207">
        <w:rPr>
          <w:rFonts w:ascii="Arial" w:hAnsi="Arial" w:cs="Arial"/>
          <w:color w:val="0070C0"/>
          <w:sz w:val="24"/>
          <w:szCs w:val="24"/>
        </w:rPr>
        <w:t xml:space="preserve">WPI – </w:t>
      </w:r>
      <w:r>
        <w:rPr>
          <w:rFonts w:ascii="Arial" w:hAnsi="Arial" w:cs="Arial"/>
          <w:color w:val="0070C0"/>
          <w:sz w:val="24"/>
          <w:szCs w:val="24"/>
        </w:rPr>
        <w:t>Confirmed.</w:t>
      </w:r>
    </w:p>
    <w:p w:rsidR="007726A4" w:rsidRDefault="007726A4" w:rsidP="007726A4">
      <w:pPr>
        <w:pStyle w:val="ListParagraph"/>
        <w:numPr>
          <w:ilvl w:val="0"/>
          <w:numId w:val="6"/>
        </w:numPr>
        <w:rPr>
          <w:rFonts w:ascii="Arial" w:hAnsi="Arial" w:cs="Arial"/>
          <w:b/>
          <w:sz w:val="24"/>
          <w:szCs w:val="24"/>
        </w:rPr>
      </w:pPr>
      <w:r>
        <w:rPr>
          <w:rFonts w:ascii="Arial" w:hAnsi="Arial" w:cs="Arial"/>
          <w:b/>
          <w:sz w:val="24"/>
          <w:szCs w:val="24"/>
        </w:rPr>
        <w:t>Regulatory Charges on Tab 16, 17 &amp; 18</w:t>
      </w:r>
    </w:p>
    <w:p w:rsidR="007726A4" w:rsidRDefault="007726A4" w:rsidP="007726A4">
      <w:pPr>
        <w:widowControl w:val="0"/>
        <w:autoSpaceDE w:val="0"/>
        <w:autoSpaceDN w:val="0"/>
        <w:adjustRightInd w:val="0"/>
        <w:ind w:left="720"/>
        <w:rPr>
          <w:rFonts w:ascii="Arial" w:hAnsi="Arial" w:cs="Arial"/>
          <w:noProof/>
          <w:sz w:val="24"/>
          <w:szCs w:val="24"/>
        </w:rPr>
      </w:pPr>
      <w:r>
        <w:rPr>
          <w:rFonts w:ascii="Arial" w:hAnsi="Arial" w:cs="Arial"/>
          <w:noProof/>
          <w:sz w:val="24"/>
          <w:szCs w:val="24"/>
        </w:rPr>
        <w:t>T</w:t>
      </w:r>
      <w:r w:rsidRPr="00F54403">
        <w:rPr>
          <w:rFonts w:ascii="Arial" w:hAnsi="Arial" w:cs="Arial"/>
          <w:noProof/>
          <w:sz w:val="24"/>
          <w:szCs w:val="24"/>
        </w:rPr>
        <w:t xml:space="preserve">he </w:t>
      </w:r>
      <w:r>
        <w:rPr>
          <w:rFonts w:ascii="Arial" w:hAnsi="Arial" w:cs="Arial"/>
          <w:noProof/>
          <w:sz w:val="24"/>
          <w:szCs w:val="24"/>
        </w:rPr>
        <w:t>OEB</w:t>
      </w:r>
      <w:r w:rsidRPr="00F54403">
        <w:rPr>
          <w:rFonts w:ascii="Arial" w:hAnsi="Arial" w:cs="Arial"/>
          <w:noProof/>
          <w:sz w:val="24"/>
          <w:szCs w:val="24"/>
        </w:rPr>
        <w:t xml:space="preserve"> has determined</w:t>
      </w:r>
      <w:r>
        <w:rPr>
          <w:rStyle w:val="FootnoteReference"/>
          <w:rFonts w:ascii="Arial" w:hAnsi="Arial" w:cs="Arial"/>
          <w:noProof/>
          <w:sz w:val="24"/>
          <w:szCs w:val="24"/>
        </w:rPr>
        <w:t xml:space="preserve"> </w:t>
      </w:r>
      <w:r w:rsidRPr="00F54403">
        <w:rPr>
          <w:rFonts w:ascii="Arial" w:hAnsi="Arial" w:cs="Arial"/>
          <w:noProof/>
          <w:sz w:val="24"/>
          <w:szCs w:val="24"/>
        </w:rPr>
        <w:t xml:space="preserve">that the RRRP </w:t>
      </w:r>
      <w:r>
        <w:rPr>
          <w:rFonts w:ascii="Arial" w:hAnsi="Arial" w:cs="Arial"/>
          <w:noProof/>
          <w:sz w:val="24"/>
          <w:szCs w:val="24"/>
        </w:rPr>
        <w:t xml:space="preserve">charge for </w:t>
      </w:r>
      <w:r w:rsidRPr="007F2B90">
        <w:rPr>
          <w:rFonts w:ascii="Arial" w:hAnsi="Arial" w:cs="Arial"/>
          <w:noProof/>
          <w:sz w:val="24"/>
          <w:szCs w:val="24"/>
        </w:rPr>
        <w:t>2016</w:t>
      </w:r>
      <w:r w:rsidRPr="00F54403">
        <w:rPr>
          <w:rFonts w:ascii="Arial" w:hAnsi="Arial" w:cs="Arial"/>
          <w:noProof/>
          <w:sz w:val="24"/>
          <w:szCs w:val="24"/>
        </w:rPr>
        <w:t xml:space="preserve"> shall </w:t>
      </w:r>
      <w:r>
        <w:rPr>
          <w:rFonts w:ascii="Arial" w:hAnsi="Arial" w:cs="Arial"/>
          <w:noProof/>
          <w:sz w:val="24"/>
          <w:szCs w:val="24"/>
        </w:rPr>
        <w:t xml:space="preserve">be </w:t>
      </w:r>
      <w:r w:rsidRPr="00F54403">
        <w:rPr>
          <w:rFonts w:ascii="Arial" w:hAnsi="Arial" w:cs="Arial"/>
          <w:noProof/>
          <w:sz w:val="24"/>
          <w:szCs w:val="24"/>
        </w:rPr>
        <w:t>$</w:t>
      </w:r>
      <w:r>
        <w:rPr>
          <w:rFonts w:ascii="Arial" w:hAnsi="Arial" w:cs="Arial"/>
          <w:noProof/>
          <w:sz w:val="24"/>
          <w:szCs w:val="24"/>
        </w:rPr>
        <w:t>0.0013</w:t>
      </w:r>
      <w:r w:rsidRPr="00F54403">
        <w:rPr>
          <w:rFonts w:ascii="Arial" w:hAnsi="Arial" w:cs="Arial"/>
          <w:noProof/>
          <w:sz w:val="24"/>
          <w:szCs w:val="24"/>
        </w:rPr>
        <w:t xml:space="preserve"> per kWh</w:t>
      </w:r>
      <w:r>
        <w:rPr>
          <w:rFonts w:ascii="Arial" w:hAnsi="Arial" w:cs="Arial"/>
          <w:noProof/>
          <w:sz w:val="24"/>
          <w:szCs w:val="24"/>
        </w:rPr>
        <w:t>; the WMS rate shall be $0.0036 per kWh; and the OESP charge shall be $0.0011 per kWh. Westario Power’s 2016 IRM model will be updated with these 2016 regulatory charges.</w:t>
      </w:r>
    </w:p>
    <w:p w:rsidR="00145A2B" w:rsidRPr="00DA09D0" w:rsidRDefault="00A64207" w:rsidP="00DA09D0">
      <w:pPr>
        <w:ind w:left="720"/>
        <w:rPr>
          <w:rFonts w:ascii="Arial" w:hAnsi="Arial" w:cs="Arial"/>
          <w:sz w:val="24"/>
          <w:szCs w:val="24"/>
        </w:rPr>
      </w:pPr>
      <w:r w:rsidRPr="00A64207">
        <w:rPr>
          <w:rFonts w:ascii="Arial" w:hAnsi="Arial" w:cs="Arial"/>
          <w:color w:val="0070C0"/>
          <w:sz w:val="24"/>
          <w:szCs w:val="24"/>
        </w:rPr>
        <w:t xml:space="preserve">WPI – </w:t>
      </w:r>
      <w:r>
        <w:rPr>
          <w:rFonts w:ascii="Arial" w:hAnsi="Arial" w:cs="Arial"/>
          <w:color w:val="0070C0"/>
          <w:sz w:val="24"/>
          <w:szCs w:val="24"/>
        </w:rPr>
        <w:t>Confirmed.</w:t>
      </w:r>
    </w:p>
    <w:sectPr w:rsidR="00145A2B" w:rsidRPr="00DA09D0" w:rsidSect="00C32232">
      <w:headerReference w:type="default" r:id="rId16"/>
      <w:pgSz w:w="12240" w:h="15840" w:code="1"/>
      <w:pgMar w:top="1361"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581" w:rsidRDefault="00467581" w:rsidP="00851418">
      <w:pPr>
        <w:spacing w:after="0" w:line="240" w:lineRule="auto"/>
      </w:pPr>
      <w:r>
        <w:separator/>
      </w:r>
    </w:p>
  </w:endnote>
  <w:endnote w:type="continuationSeparator" w:id="0">
    <w:p w:rsidR="00467581" w:rsidRDefault="00467581" w:rsidP="0085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581" w:rsidRDefault="00467581" w:rsidP="00851418">
      <w:pPr>
        <w:spacing w:after="0" w:line="240" w:lineRule="auto"/>
      </w:pPr>
      <w:r>
        <w:separator/>
      </w:r>
    </w:p>
  </w:footnote>
  <w:footnote w:type="continuationSeparator" w:id="0">
    <w:p w:rsidR="00467581" w:rsidRDefault="00467581" w:rsidP="008514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418" w:rsidRDefault="00D5062F">
    <w:pPr>
      <w:pStyle w:val="Header"/>
    </w:pPr>
    <w:r>
      <w:ptab w:relativeTo="margin" w:alignment="center" w:leader="none"/>
    </w:r>
    <w:r>
      <w:ptab w:relativeTo="margin" w:alignment="right" w:leader="none"/>
    </w:r>
    <w:proofErr w:type="spellStart"/>
    <w:r w:rsidR="002F12A5">
      <w:t>Westario</w:t>
    </w:r>
    <w:proofErr w:type="spellEnd"/>
    <w:r w:rsidR="002F12A5">
      <w:t xml:space="preserve"> Power Inc</w:t>
    </w:r>
    <w:r>
      <w:t>.</w:t>
    </w:r>
  </w:p>
  <w:p w:rsidR="00640567" w:rsidRDefault="002F12A5">
    <w:pPr>
      <w:pStyle w:val="Header"/>
    </w:pPr>
    <w:r>
      <w:tab/>
    </w:r>
    <w:r>
      <w:tab/>
      <w:t>EB-2015-0</w:t>
    </w:r>
    <w:r w:rsidR="00640567">
      <w:t>112</w:t>
    </w:r>
  </w:p>
  <w:p w:rsidR="00D5062F" w:rsidRDefault="00D5062F">
    <w:pPr>
      <w:pStyle w:val="Header"/>
    </w:pPr>
    <w:r>
      <w:tab/>
    </w:r>
    <w:r>
      <w:tab/>
      <w:t>Application Analysis</w:t>
    </w:r>
  </w:p>
  <w:p w:rsidR="00D5062F" w:rsidRDefault="00D5062F">
    <w:pPr>
      <w:pStyle w:val="Header"/>
    </w:pPr>
    <w:r>
      <w:tab/>
    </w:r>
    <w:r>
      <w:tab/>
      <w:t xml:space="preserve">Page </w:t>
    </w:r>
    <w:r>
      <w:rPr>
        <w:b/>
      </w:rPr>
      <w:fldChar w:fldCharType="begin"/>
    </w:r>
    <w:r>
      <w:rPr>
        <w:b/>
      </w:rPr>
      <w:instrText xml:space="preserve"> PAGE  \* Arabic  \* MERGEFORMAT </w:instrText>
    </w:r>
    <w:r>
      <w:rPr>
        <w:b/>
      </w:rPr>
      <w:fldChar w:fldCharType="separate"/>
    </w:r>
    <w:r w:rsidR="002C07C8">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2C07C8">
      <w:rPr>
        <w:b/>
        <w:noProof/>
      </w:rPr>
      <w:t>7</w:t>
    </w:r>
    <w:r>
      <w:rPr>
        <w:b/>
      </w:rPr>
      <w:fldChar w:fldCharType="end"/>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1A69"/>
    <w:multiLevelType w:val="hybridMultilevel"/>
    <w:tmpl w:val="EAA452D2"/>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
    <w:nsid w:val="06464D59"/>
    <w:multiLevelType w:val="multilevel"/>
    <w:tmpl w:val="816CA45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6B157B3"/>
    <w:multiLevelType w:val="multilevel"/>
    <w:tmpl w:val="73A86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C677BE0"/>
    <w:multiLevelType w:val="hybridMultilevel"/>
    <w:tmpl w:val="3934EDB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D772E24"/>
    <w:multiLevelType w:val="hybridMultilevel"/>
    <w:tmpl w:val="6DF6DDB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5">
    <w:nsid w:val="11786017"/>
    <w:multiLevelType w:val="hybridMultilevel"/>
    <w:tmpl w:val="581ED12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6">
    <w:nsid w:val="13B242A0"/>
    <w:multiLevelType w:val="hybridMultilevel"/>
    <w:tmpl w:val="CB5C3C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6073F0A"/>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295E32EF"/>
    <w:multiLevelType w:val="hybridMultilevel"/>
    <w:tmpl w:val="A740B73C"/>
    <w:lvl w:ilvl="0" w:tplc="10090015">
      <w:start w:val="1"/>
      <w:numFmt w:val="upp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nsid w:val="296F322A"/>
    <w:multiLevelType w:val="hybridMultilevel"/>
    <w:tmpl w:val="7130B400"/>
    <w:lvl w:ilvl="0" w:tplc="10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0">
    <w:nsid w:val="2A6A6B76"/>
    <w:multiLevelType w:val="hybridMultilevel"/>
    <w:tmpl w:val="C0644BC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A9B2557"/>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2BE64B57"/>
    <w:multiLevelType w:val="hybridMultilevel"/>
    <w:tmpl w:val="FF3E803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2CF84EDD"/>
    <w:multiLevelType w:val="hybridMultilevel"/>
    <w:tmpl w:val="6734CE9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2EDA28FE"/>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1E96F50"/>
    <w:multiLevelType w:val="hybridMultilevel"/>
    <w:tmpl w:val="CB5C3C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64D6909"/>
    <w:multiLevelType w:val="hybridMultilevel"/>
    <w:tmpl w:val="BB6E1428"/>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nsid w:val="39441685"/>
    <w:multiLevelType w:val="hybridMultilevel"/>
    <w:tmpl w:val="1286DDB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3FDF1CC4"/>
    <w:multiLevelType w:val="hybridMultilevel"/>
    <w:tmpl w:val="6DF6DDB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19">
    <w:nsid w:val="42E761A1"/>
    <w:multiLevelType w:val="hybridMultilevel"/>
    <w:tmpl w:val="00B0A5AC"/>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0">
    <w:nsid w:val="46BC4ECA"/>
    <w:multiLevelType w:val="multilevel"/>
    <w:tmpl w:val="73A86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69E3052"/>
    <w:multiLevelType w:val="hybridMultilevel"/>
    <w:tmpl w:val="E6BEA0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571A51C9"/>
    <w:multiLevelType w:val="multilevel"/>
    <w:tmpl w:val="816CA454"/>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834018C"/>
    <w:multiLevelType w:val="hybridMultilevel"/>
    <w:tmpl w:val="56EAAB98"/>
    <w:lvl w:ilvl="0" w:tplc="10090017">
      <w:start w:val="1"/>
      <w:numFmt w:val="lowerLetter"/>
      <w:lvlText w:val="%1)"/>
      <w:lvlJc w:val="left"/>
      <w:pPr>
        <w:ind w:left="780" w:hanging="360"/>
      </w:pPr>
    </w:lvl>
    <w:lvl w:ilvl="1" w:tplc="10090019" w:tentative="1">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abstractNum w:abstractNumId="24">
    <w:nsid w:val="5F237BCC"/>
    <w:multiLevelType w:val="hybridMultilevel"/>
    <w:tmpl w:val="912CB6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614554F5"/>
    <w:multiLevelType w:val="hybridMultilevel"/>
    <w:tmpl w:val="9A1002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6AB745EF"/>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BC243BF"/>
    <w:multiLevelType w:val="hybridMultilevel"/>
    <w:tmpl w:val="6BA299D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6FE97E42"/>
    <w:multiLevelType w:val="hybridMultilevel"/>
    <w:tmpl w:val="E13C7F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72BF572D"/>
    <w:multiLevelType w:val="multilevel"/>
    <w:tmpl w:val="73A86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8"/>
  </w:num>
  <w:num w:numId="2">
    <w:abstractNumId w:val="7"/>
  </w:num>
  <w:num w:numId="3">
    <w:abstractNumId w:val="13"/>
  </w:num>
  <w:num w:numId="4">
    <w:abstractNumId w:val="10"/>
  </w:num>
  <w:num w:numId="5">
    <w:abstractNumId w:val="11"/>
  </w:num>
  <w:num w:numId="6">
    <w:abstractNumId w:val="17"/>
  </w:num>
  <w:num w:numId="7">
    <w:abstractNumId w:val="21"/>
  </w:num>
  <w:num w:numId="8">
    <w:abstractNumId w:val="24"/>
  </w:num>
  <w:num w:numId="9">
    <w:abstractNumId w:val="5"/>
  </w:num>
  <w:num w:numId="10">
    <w:abstractNumId w:val="0"/>
  </w:num>
  <w:num w:numId="11">
    <w:abstractNumId w:val="19"/>
  </w:num>
  <w:num w:numId="12">
    <w:abstractNumId w:val="15"/>
  </w:num>
  <w:num w:numId="13">
    <w:abstractNumId w:val="25"/>
  </w:num>
  <w:num w:numId="14">
    <w:abstractNumId w:val="6"/>
  </w:num>
  <w:num w:numId="15">
    <w:abstractNumId w:val="23"/>
  </w:num>
  <w:num w:numId="16">
    <w:abstractNumId w:val="3"/>
  </w:num>
  <w:num w:numId="17">
    <w:abstractNumId w:val="16"/>
  </w:num>
  <w:num w:numId="18">
    <w:abstractNumId w:val="4"/>
  </w:num>
  <w:num w:numId="19">
    <w:abstractNumId w:val="18"/>
  </w:num>
  <w:num w:numId="20">
    <w:abstractNumId w:val="12"/>
  </w:num>
  <w:num w:numId="21">
    <w:abstractNumId w:val="20"/>
  </w:num>
  <w:num w:numId="22">
    <w:abstractNumId w:val="27"/>
  </w:num>
  <w:num w:numId="23">
    <w:abstractNumId w:val="26"/>
  </w:num>
  <w:num w:numId="24">
    <w:abstractNumId w:val="14"/>
  </w:num>
  <w:num w:numId="25">
    <w:abstractNumId w:val="9"/>
  </w:num>
  <w:num w:numId="26">
    <w:abstractNumId w:val="8"/>
  </w:num>
  <w:num w:numId="27">
    <w:abstractNumId w:val="2"/>
  </w:num>
  <w:num w:numId="28">
    <w:abstractNumId w:val="29"/>
  </w:num>
  <w:num w:numId="29">
    <w:abstractNumId w:val="22"/>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6F8"/>
    <w:rsid w:val="0001354E"/>
    <w:rsid w:val="00041BBD"/>
    <w:rsid w:val="000865A6"/>
    <w:rsid w:val="000C035C"/>
    <w:rsid w:val="000E4C7B"/>
    <w:rsid w:val="000F7FD0"/>
    <w:rsid w:val="00145A2B"/>
    <w:rsid w:val="00146243"/>
    <w:rsid w:val="00146770"/>
    <w:rsid w:val="001563E4"/>
    <w:rsid w:val="0016286E"/>
    <w:rsid w:val="00163BCB"/>
    <w:rsid w:val="001A4DE6"/>
    <w:rsid w:val="001B2AD3"/>
    <w:rsid w:val="001D5DFB"/>
    <w:rsid w:val="001D7086"/>
    <w:rsid w:val="001E069B"/>
    <w:rsid w:val="001F791F"/>
    <w:rsid w:val="00204A40"/>
    <w:rsid w:val="00212667"/>
    <w:rsid w:val="00240211"/>
    <w:rsid w:val="00293086"/>
    <w:rsid w:val="002A7347"/>
    <w:rsid w:val="002C05E7"/>
    <w:rsid w:val="002C07C8"/>
    <w:rsid w:val="002D2F55"/>
    <w:rsid w:val="002F12A5"/>
    <w:rsid w:val="00323BCB"/>
    <w:rsid w:val="0032442F"/>
    <w:rsid w:val="0035397C"/>
    <w:rsid w:val="003856F8"/>
    <w:rsid w:val="00394351"/>
    <w:rsid w:val="003A7960"/>
    <w:rsid w:val="003F7D01"/>
    <w:rsid w:val="00412DC6"/>
    <w:rsid w:val="004246D5"/>
    <w:rsid w:val="00464D00"/>
    <w:rsid w:val="00466920"/>
    <w:rsid w:val="00467581"/>
    <w:rsid w:val="004A5F89"/>
    <w:rsid w:val="004C1705"/>
    <w:rsid w:val="004D46E0"/>
    <w:rsid w:val="005117CF"/>
    <w:rsid w:val="005216D6"/>
    <w:rsid w:val="005642F3"/>
    <w:rsid w:val="005A3B82"/>
    <w:rsid w:val="005B23CF"/>
    <w:rsid w:val="005B4C39"/>
    <w:rsid w:val="005C5C6B"/>
    <w:rsid w:val="00601C3B"/>
    <w:rsid w:val="0060662D"/>
    <w:rsid w:val="00634992"/>
    <w:rsid w:val="00637101"/>
    <w:rsid w:val="00640567"/>
    <w:rsid w:val="006561C4"/>
    <w:rsid w:val="00681727"/>
    <w:rsid w:val="0069057C"/>
    <w:rsid w:val="00746080"/>
    <w:rsid w:val="00752ABB"/>
    <w:rsid w:val="007726A4"/>
    <w:rsid w:val="00776FED"/>
    <w:rsid w:val="00806D93"/>
    <w:rsid w:val="0081268C"/>
    <w:rsid w:val="00815F13"/>
    <w:rsid w:val="00832A00"/>
    <w:rsid w:val="00834E7C"/>
    <w:rsid w:val="0084699A"/>
    <w:rsid w:val="00850053"/>
    <w:rsid w:val="00851418"/>
    <w:rsid w:val="008539D9"/>
    <w:rsid w:val="0087639C"/>
    <w:rsid w:val="008A5D3A"/>
    <w:rsid w:val="008C74E3"/>
    <w:rsid w:val="008D46C1"/>
    <w:rsid w:val="008F688C"/>
    <w:rsid w:val="008F73E8"/>
    <w:rsid w:val="00900F5D"/>
    <w:rsid w:val="009064B3"/>
    <w:rsid w:val="00924616"/>
    <w:rsid w:val="00936993"/>
    <w:rsid w:val="009643D1"/>
    <w:rsid w:val="00983A06"/>
    <w:rsid w:val="00984EF5"/>
    <w:rsid w:val="009C77DB"/>
    <w:rsid w:val="00A21533"/>
    <w:rsid w:val="00A56508"/>
    <w:rsid w:val="00A64207"/>
    <w:rsid w:val="00A704BA"/>
    <w:rsid w:val="00AA06D9"/>
    <w:rsid w:val="00AF288A"/>
    <w:rsid w:val="00B076A5"/>
    <w:rsid w:val="00B247C1"/>
    <w:rsid w:val="00B25576"/>
    <w:rsid w:val="00B314F3"/>
    <w:rsid w:val="00B76EA7"/>
    <w:rsid w:val="00BA6C6A"/>
    <w:rsid w:val="00BC25EF"/>
    <w:rsid w:val="00C32232"/>
    <w:rsid w:val="00C43286"/>
    <w:rsid w:val="00C63C8D"/>
    <w:rsid w:val="00C818E2"/>
    <w:rsid w:val="00CB168B"/>
    <w:rsid w:val="00CC447E"/>
    <w:rsid w:val="00CC6D11"/>
    <w:rsid w:val="00D0773D"/>
    <w:rsid w:val="00D21A42"/>
    <w:rsid w:val="00D36BBE"/>
    <w:rsid w:val="00D5062F"/>
    <w:rsid w:val="00D91B73"/>
    <w:rsid w:val="00D958A6"/>
    <w:rsid w:val="00D95CAA"/>
    <w:rsid w:val="00D974D5"/>
    <w:rsid w:val="00DA09D0"/>
    <w:rsid w:val="00DC3F8F"/>
    <w:rsid w:val="00DD09DC"/>
    <w:rsid w:val="00E23ECF"/>
    <w:rsid w:val="00E261A1"/>
    <w:rsid w:val="00E63408"/>
    <w:rsid w:val="00E6651E"/>
    <w:rsid w:val="00E7523D"/>
    <w:rsid w:val="00E9387D"/>
    <w:rsid w:val="00EA0919"/>
    <w:rsid w:val="00EB68C4"/>
    <w:rsid w:val="00EC0C97"/>
    <w:rsid w:val="00EC26AE"/>
    <w:rsid w:val="00EC7767"/>
    <w:rsid w:val="00EE450C"/>
    <w:rsid w:val="00EF77BC"/>
    <w:rsid w:val="00F213C1"/>
    <w:rsid w:val="00F72F89"/>
    <w:rsid w:val="00F91032"/>
    <w:rsid w:val="00FB3A11"/>
    <w:rsid w:val="00FD08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42F"/>
    <w:pPr>
      <w:ind w:left="720"/>
      <w:contextualSpacing/>
    </w:pPr>
  </w:style>
  <w:style w:type="paragraph" w:styleId="BalloonText">
    <w:name w:val="Balloon Text"/>
    <w:basedOn w:val="Normal"/>
    <w:link w:val="BalloonTextChar"/>
    <w:uiPriority w:val="99"/>
    <w:semiHidden/>
    <w:unhideWhenUsed/>
    <w:rsid w:val="0096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3D1"/>
    <w:rPr>
      <w:rFonts w:ascii="Tahoma" w:hAnsi="Tahoma" w:cs="Tahoma"/>
      <w:sz w:val="16"/>
      <w:szCs w:val="16"/>
    </w:rPr>
  </w:style>
  <w:style w:type="paragraph" w:styleId="Header">
    <w:name w:val="header"/>
    <w:basedOn w:val="Normal"/>
    <w:link w:val="HeaderChar"/>
    <w:uiPriority w:val="99"/>
    <w:unhideWhenUsed/>
    <w:rsid w:val="0085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8"/>
  </w:style>
  <w:style w:type="paragraph" w:styleId="Footer">
    <w:name w:val="footer"/>
    <w:basedOn w:val="Normal"/>
    <w:link w:val="FooterChar"/>
    <w:uiPriority w:val="99"/>
    <w:unhideWhenUsed/>
    <w:rsid w:val="0085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8"/>
  </w:style>
  <w:style w:type="character" w:styleId="Hyperlink">
    <w:name w:val="Hyperlink"/>
    <w:basedOn w:val="DefaultParagraphFont"/>
    <w:uiPriority w:val="99"/>
    <w:unhideWhenUsed/>
    <w:rsid w:val="00145A2B"/>
    <w:rPr>
      <w:color w:val="0000FF" w:themeColor="hyperlink"/>
      <w:u w:val="single"/>
    </w:rPr>
  </w:style>
  <w:style w:type="paragraph" w:styleId="FootnoteText">
    <w:name w:val="footnote text"/>
    <w:basedOn w:val="Normal"/>
    <w:link w:val="FootnoteTextChar"/>
    <w:rsid w:val="007726A4"/>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7726A4"/>
    <w:rPr>
      <w:rFonts w:ascii="Times New Roman" w:eastAsia="Times New Roman" w:hAnsi="Times New Roman" w:cs="Times New Roman"/>
      <w:sz w:val="20"/>
      <w:szCs w:val="20"/>
      <w:lang w:val="en-US"/>
    </w:rPr>
  </w:style>
  <w:style w:type="character" w:styleId="FootnoteReference">
    <w:name w:val="footnote reference"/>
    <w:uiPriority w:val="99"/>
    <w:rsid w:val="007726A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42F"/>
    <w:pPr>
      <w:ind w:left="720"/>
      <w:contextualSpacing/>
    </w:pPr>
  </w:style>
  <w:style w:type="paragraph" w:styleId="BalloonText">
    <w:name w:val="Balloon Text"/>
    <w:basedOn w:val="Normal"/>
    <w:link w:val="BalloonTextChar"/>
    <w:uiPriority w:val="99"/>
    <w:semiHidden/>
    <w:unhideWhenUsed/>
    <w:rsid w:val="0096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3D1"/>
    <w:rPr>
      <w:rFonts w:ascii="Tahoma" w:hAnsi="Tahoma" w:cs="Tahoma"/>
      <w:sz w:val="16"/>
      <w:szCs w:val="16"/>
    </w:rPr>
  </w:style>
  <w:style w:type="paragraph" w:styleId="Header">
    <w:name w:val="header"/>
    <w:basedOn w:val="Normal"/>
    <w:link w:val="HeaderChar"/>
    <w:uiPriority w:val="99"/>
    <w:unhideWhenUsed/>
    <w:rsid w:val="0085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8"/>
  </w:style>
  <w:style w:type="paragraph" w:styleId="Footer">
    <w:name w:val="footer"/>
    <w:basedOn w:val="Normal"/>
    <w:link w:val="FooterChar"/>
    <w:uiPriority w:val="99"/>
    <w:unhideWhenUsed/>
    <w:rsid w:val="0085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8"/>
  </w:style>
  <w:style w:type="character" w:styleId="Hyperlink">
    <w:name w:val="Hyperlink"/>
    <w:basedOn w:val="DefaultParagraphFont"/>
    <w:uiPriority w:val="99"/>
    <w:unhideWhenUsed/>
    <w:rsid w:val="00145A2B"/>
    <w:rPr>
      <w:color w:val="0000FF" w:themeColor="hyperlink"/>
      <w:u w:val="single"/>
    </w:rPr>
  </w:style>
  <w:style w:type="paragraph" w:styleId="FootnoteText">
    <w:name w:val="footnote text"/>
    <w:basedOn w:val="Normal"/>
    <w:link w:val="FootnoteTextChar"/>
    <w:rsid w:val="007726A4"/>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7726A4"/>
    <w:rPr>
      <w:rFonts w:ascii="Times New Roman" w:eastAsia="Times New Roman" w:hAnsi="Times New Roman" w:cs="Times New Roman"/>
      <w:sz w:val="20"/>
      <w:szCs w:val="20"/>
      <w:lang w:val="en-US"/>
    </w:rPr>
  </w:style>
  <w:style w:type="character" w:styleId="FootnoteReference">
    <w:name w:val="footnote reference"/>
    <w:uiPriority w:val="99"/>
    <w:rsid w:val="007726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642770">
      <w:bodyDiv w:val="1"/>
      <w:marLeft w:val="0"/>
      <w:marRight w:val="0"/>
      <w:marTop w:val="0"/>
      <w:marBottom w:val="0"/>
      <w:divBdr>
        <w:top w:val="none" w:sz="0" w:space="0" w:color="auto"/>
        <w:left w:val="none" w:sz="0" w:space="0" w:color="auto"/>
        <w:bottom w:val="none" w:sz="0" w:space="0" w:color="auto"/>
        <w:right w:val="none" w:sz="0" w:space="0" w:color="auto"/>
      </w:divBdr>
    </w:div>
    <w:div w:id="1217665066">
      <w:bodyDiv w:val="1"/>
      <w:marLeft w:val="0"/>
      <w:marRight w:val="0"/>
      <w:marTop w:val="0"/>
      <w:marBottom w:val="0"/>
      <w:divBdr>
        <w:top w:val="none" w:sz="0" w:space="0" w:color="auto"/>
        <w:left w:val="none" w:sz="0" w:space="0" w:color="auto"/>
        <w:bottom w:val="none" w:sz="0" w:space="0" w:color="auto"/>
        <w:right w:val="none" w:sz="0" w:space="0" w:color="auto"/>
      </w:divBdr>
    </w:div>
    <w:div w:id="1855873196">
      <w:bodyDiv w:val="1"/>
      <w:marLeft w:val="0"/>
      <w:marRight w:val="0"/>
      <w:marTop w:val="0"/>
      <w:marBottom w:val="0"/>
      <w:divBdr>
        <w:top w:val="none" w:sz="0" w:space="0" w:color="auto"/>
        <w:left w:val="none" w:sz="0" w:space="0" w:color="auto"/>
        <w:bottom w:val="none" w:sz="0" w:space="0" w:color="auto"/>
        <w:right w:val="none" w:sz="0" w:space="0" w:color="auto"/>
      </w:divBdr>
    </w:div>
    <w:div w:id="1987738278">
      <w:bodyDiv w:val="1"/>
      <w:marLeft w:val="0"/>
      <w:marRight w:val="0"/>
      <w:marTop w:val="0"/>
      <w:marBottom w:val="0"/>
      <w:divBdr>
        <w:top w:val="none" w:sz="0" w:space="0" w:color="auto"/>
        <w:left w:val="none" w:sz="0" w:space="0" w:color="auto"/>
        <w:bottom w:val="none" w:sz="0" w:space="0" w:color="auto"/>
        <w:right w:val="none" w:sz="0" w:space="0" w:color="auto"/>
      </w:divBdr>
    </w:div>
    <w:div w:id="211794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www.ontarioenergyboard.ca/oeb/Industry/Regulatory%20Proceedings/Applications%20Before%20the%20Board/Electricity%20Distribution%20Rates/2016%20Electricity%20Distribution%20Rate%20Applications"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E9476-FE35-41C5-A551-9A6C39E15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1093</Words>
  <Characters>6236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EB-2015-0101</vt:lpstr>
    </vt:vector>
  </TitlesOfParts>
  <Company>Sioux Lookout Hydro Inc.</Company>
  <LinksUpToDate>false</LinksUpToDate>
  <CharactersWithSpaces>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EB-2015-0101</dc:title>
  <dc:creator>Katherine Wang</dc:creator>
  <cp:lastModifiedBy>Katherine Wang</cp:lastModifiedBy>
  <cp:revision>2</cp:revision>
  <cp:lastPrinted>2015-12-22T15:20:00Z</cp:lastPrinted>
  <dcterms:created xsi:type="dcterms:W3CDTF">2015-12-22T15:33:00Z</dcterms:created>
  <dcterms:modified xsi:type="dcterms:W3CDTF">2015-12-22T15:33:00Z</dcterms:modified>
</cp:coreProperties>
</file>