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50" w:type="dxa"/>
        <w:tblBorders>
          <w:insideH w:val="none" w:sz="0" w:space="0" w:color="auto"/>
          <w:insideV w:val="none" w:sz="0" w:space="0" w:color="auto"/>
        </w:tblBorders>
        <w:tblLook w:val="04A0" w:firstRow="1" w:lastRow="0" w:firstColumn="1" w:lastColumn="0" w:noHBand="0" w:noVBand="1"/>
      </w:tblPr>
      <w:tblGrid>
        <w:gridCol w:w="2672"/>
        <w:gridCol w:w="473"/>
        <w:gridCol w:w="863"/>
        <w:gridCol w:w="1430"/>
        <w:gridCol w:w="574"/>
        <w:gridCol w:w="1248"/>
        <w:gridCol w:w="2550"/>
      </w:tblGrid>
      <w:tr w:rsidR="0094505E" w:rsidRPr="0092752E" w:rsidTr="001F778E">
        <w:trPr>
          <w:trHeight w:val="558"/>
        </w:trPr>
        <w:tc>
          <w:tcPr>
            <w:tcW w:w="9810" w:type="dxa"/>
            <w:gridSpan w:val="7"/>
            <w:shd w:val="clear" w:color="auto" w:fill="000000" w:themeFill="text1"/>
            <w:vAlign w:val="center"/>
          </w:tcPr>
          <w:p w:rsidR="0094505E" w:rsidRDefault="0094505E" w:rsidP="00B238FF">
            <w:pPr>
              <w:tabs>
                <w:tab w:val="center" w:pos="4455"/>
              </w:tabs>
              <w:spacing w:before="120"/>
              <w:jc w:val="center"/>
              <w:rPr>
                <w:rFonts w:ascii="Arial" w:hAnsi="Arial" w:cs="Arial"/>
                <w:b/>
                <w:color w:val="FFFFFF" w:themeColor="background1"/>
                <w:sz w:val="31"/>
                <w:szCs w:val="31"/>
                <w:highlight w:val="black"/>
              </w:rPr>
            </w:pPr>
            <w:r>
              <w:rPr>
                <w:rFonts w:ascii="Arial" w:hAnsi="Arial"/>
                <w:b/>
                <w:color w:val="FFFFFF" w:themeColor="background1"/>
                <w:sz w:val="31"/>
                <w:highlight w:val="black"/>
              </w:rPr>
              <w:t xml:space="preserve">AVIS DE LA COMMISSION DE L'ÉNERGIE DE L'ONTARIO </w:t>
            </w:r>
          </w:p>
          <w:p w:rsidR="0094505E" w:rsidRPr="0092752E" w:rsidRDefault="00424498" w:rsidP="00530495">
            <w:pPr>
              <w:tabs>
                <w:tab w:val="center" w:pos="4455"/>
              </w:tabs>
              <w:spacing w:after="120"/>
              <w:jc w:val="center"/>
              <w:rPr>
                <w:rFonts w:ascii="Arial" w:hAnsi="Arial" w:cs="Arial"/>
                <w:b/>
                <w:color w:val="FFFFFF" w:themeColor="background1"/>
                <w:sz w:val="31"/>
                <w:szCs w:val="31"/>
                <w:highlight w:val="black"/>
              </w:rPr>
            </w:pPr>
            <w:r>
              <w:rPr>
                <w:rFonts w:ascii="Arial" w:hAnsi="Arial"/>
                <w:b/>
                <w:color w:val="FFFFFF" w:themeColor="background1"/>
                <w:sz w:val="31"/>
                <w:highlight w:val="black"/>
              </w:rPr>
              <w:t>AUX CLIENTS DE ENBRIDGE GAS DISTRIBUTION INC.</w:t>
            </w:r>
          </w:p>
        </w:tc>
      </w:tr>
      <w:tr w:rsidR="0094505E" w:rsidRPr="00E33467" w:rsidTr="001F778E">
        <w:trPr>
          <w:trHeight w:val="400"/>
        </w:trPr>
        <w:tc>
          <w:tcPr>
            <w:tcW w:w="4008" w:type="dxa"/>
            <w:gridSpan w:val="3"/>
          </w:tcPr>
          <w:p w:rsidR="0094505E" w:rsidRPr="00AB00F8" w:rsidRDefault="0094505E" w:rsidP="009A0D58">
            <w:pPr>
              <w:rPr>
                <w:rFonts w:ascii="Arial" w:hAnsi="Arial" w:cs="Arial"/>
                <w:sz w:val="32"/>
                <w:szCs w:val="24"/>
              </w:rPr>
            </w:pPr>
          </w:p>
        </w:tc>
        <w:tc>
          <w:tcPr>
            <w:tcW w:w="5802" w:type="dxa"/>
            <w:gridSpan w:val="4"/>
            <w:vAlign w:val="center"/>
          </w:tcPr>
          <w:p w:rsidR="0094505E" w:rsidRPr="00E33467" w:rsidRDefault="0094505E" w:rsidP="001F778E">
            <w:pPr>
              <w:rPr>
                <w:rFonts w:ascii="Arial" w:hAnsi="Arial" w:cs="Arial"/>
              </w:rPr>
            </w:pPr>
          </w:p>
        </w:tc>
      </w:tr>
      <w:tr w:rsidR="0094505E" w:rsidRPr="00E33467" w:rsidTr="00FA2AC4">
        <w:trPr>
          <w:trHeight w:val="675"/>
        </w:trPr>
        <w:tc>
          <w:tcPr>
            <w:tcW w:w="9810" w:type="dxa"/>
            <w:gridSpan w:val="7"/>
          </w:tcPr>
          <w:p w:rsidR="0094505E" w:rsidRPr="006774D5" w:rsidRDefault="00530495" w:rsidP="00B238FF">
            <w:pPr>
              <w:spacing w:after="120"/>
              <w:jc w:val="center"/>
              <w:rPr>
                <w:rFonts w:ascii="Arial" w:hAnsi="Arial" w:cs="Arial"/>
                <w:b/>
                <w:sz w:val="28"/>
                <w:szCs w:val="28"/>
              </w:rPr>
            </w:pPr>
            <w:r>
              <w:rPr>
                <w:rFonts w:ascii="Arial" w:hAnsi="Arial"/>
                <w:b/>
                <w:sz w:val="28"/>
              </w:rPr>
              <w:t>Enbridge Gas Distribution Inc. a déposé une requête en vue d'obtenir l'approbation du tarif de son service de transport par l'oléoduc d'Albion.</w:t>
            </w:r>
          </w:p>
          <w:p w:rsidR="0094505E" w:rsidRDefault="003537B8" w:rsidP="003537B8">
            <w:pPr>
              <w:jc w:val="center"/>
              <w:rPr>
                <w:rFonts w:ascii="Arial" w:hAnsi="Arial" w:cs="Arial"/>
                <w:b/>
                <w:sz w:val="28"/>
                <w:szCs w:val="28"/>
              </w:rPr>
            </w:pPr>
            <w:r>
              <w:rPr>
                <w:rFonts w:ascii="Arial" w:hAnsi="Arial"/>
                <w:b/>
                <w:sz w:val="28"/>
              </w:rPr>
              <w:t>Apprenez-en plus. Donnez votre avis.</w:t>
            </w:r>
          </w:p>
        </w:tc>
      </w:tr>
      <w:tr w:rsidR="0094505E" w:rsidTr="00FA2AC4">
        <w:trPr>
          <w:trHeight w:val="99"/>
        </w:trPr>
        <w:tc>
          <w:tcPr>
            <w:tcW w:w="2672" w:type="dxa"/>
          </w:tcPr>
          <w:p w:rsidR="0094505E" w:rsidRDefault="0094505E" w:rsidP="009A0D58">
            <w:pPr>
              <w:rPr>
                <w:rFonts w:ascii="Arial" w:hAnsi="Arial" w:cs="Arial"/>
                <w:sz w:val="24"/>
                <w:szCs w:val="24"/>
              </w:rPr>
            </w:pPr>
          </w:p>
        </w:tc>
        <w:tc>
          <w:tcPr>
            <w:tcW w:w="2766" w:type="dxa"/>
            <w:gridSpan w:val="3"/>
          </w:tcPr>
          <w:p w:rsidR="0094505E" w:rsidRPr="00FA2AC4" w:rsidRDefault="0094505E" w:rsidP="009A0D58">
            <w:pPr>
              <w:rPr>
                <w:rFonts w:ascii="Arial" w:hAnsi="Arial" w:cs="Arial"/>
                <w:sz w:val="20"/>
                <w:szCs w:val="24"/>
              </w:rPr>
            </w:pPr>
          </w:p>
        </w:tc>
        <w:tc>
          <w:tcPr>
            <w:tcW w:w="1822" w:type="dxa"/>
            <w:gridSpan w:val="2"/>
          </w:tcPr>
          <w:p w:rsidR="0094505E" w:rsidRDefault="0094505E" w:rsidP="009A0D58">
            <w:pPr>
              <w:rPr>
                <w:rFonts w:ascii="Arial" w:hAnsi="Arial" w:cs="Arial"/>
                <w:sz w:val="24"/>
                <w:szCs w:val="24"/>
              </w:rPr>
            </w:pPr>
          </w:p>
        </w:tc>
        <w:tc>
          <w:tcPr>
            <w:tcW w:w="2550" w:type="dxa"/>
          </w:tcPr>
          <w:p w:rsidR="0094505E" w:rsidRDefault="0094505E" w:rsidP="009A0D58">
            <w:pPr>
              <w:rPr>
                <w:rFonts w:ascii="Arial" w:hAnsi="Arial" w:cs="Arial"/>
                <w:sz w:val="24"/>
                <w:szCs w:val="24"/>
              </w:rPr>
            </w:pPr>
          </w:p>
        </w:tc>
      </w:tr>
      <w:tr w:rsidR="0094505E" w:rsidTr="002A58B6">
        <w:trPr>
          <w:trHeight w:val="9081"/>
        </w:trPr>
        <w:tc>
          <w:tcPr>
            <w:tcW w:w="9810" w:type="dxa"/>
            <w:gridSpan w:val="7"/>
          </w:tcPr>
          <w:p w:rsidR="00614C2F" w:rsidRPr="00A05E1F" w:rsidRDefault="00530495" w:rsidP="003E3B91">
            <w:pPr>
              <w:pStyle w:val="Default"/>
              <w:rPr>
                <w:b/>
                <w:sz w:val="22"/>
                <w:szCs w:val="22"/>
              </w:rPr>
            </w:pPr>
            <w:r>
              <w:rPr>
                <w:b/>
                <w:sz w:val="22"/>
              </w:rPr>
              <w:t xml:space="preserve">Enbridge Gas Distribution Inc. a déposé une requête auprès de la Commission de l'énergie de l'Ontario en vue d'obtenir l'approbation du tarif proposé pour son service de transport par l'oléoduc de raccordement King’s North, de la station Parkway à la station Albion (Tarification 332), conformément à la règle sur le stockage et l'accès au transport (Storage and Transportation Access Rule) établie par la CEO. </w:t>
            </w:r>
          </w:p>
          <w:tbl>
            <w:tblPr>
              <w:tblW w:w="0" w:type="auto"/>
              <w:tblBorders>
                <w:top w:val="nil"/>
                <w:left w:val="nil"/>
                <w:bottom w:val="nil"/>
                <w:right w:val="nil"/>
              </w:tblBorders>
              <w:tblLook w:val="0000" w:firstRow="0" w:lastRow="0" w:firstColumn="0" w:lastColumn="0" w:noHBand="0" w:noVBand="0"/>
            </w:tblPr>
            <w:tblGrid>
              <w:gridCol w:w="222"/>
            </w:tblGrid>
            <w:tr w:rsidR="00614C2F" w:rsidRPr="00A05E1F">
              <w:trPr>
                <w:trHeight w:val="400"/>
              </w:trPr>
              <w:tc>
                <w:tcPr>
                  <w:tcW w:w="0" w:type="auto"/>
                </w:tcPr>
                <w:p w:rsidR="00614C2F" w:rsidRPr="00A05E1F" w:rsidRDefault="00614C2F" w:rsidP="00614C2F">
                  <w:pPr>
                    <w:pStyle w:val="Default"/>
                    <w:rPr>
                      <w:sz w:val="22"/>
                      <w:szCs w:val="22"/>
                    </w:rPr>
                  </w:pPr>
                </w:p>
              </w:tc>
            </w:tr>
          </w:tbl>
          <w:p w:rsidR="0035473B" w:rsidRDefault="00424498" w:rsidP="009A0D58">
            <w:pPr>
              <w:rPr>
                <w:rFonts w:ascii="Arial" w:hAnsi="Arial" w:cs="Arial"/>
                <w:b/>
                <w:sz w:val="20"/>
                <w:szCs w:val="20"/>
              </w:rPr>
            </w:pPr>
            <w:r>
              <w:rPr>
                <w:rFonts w:ascii="Arial" w:hAnsi="Arial"/>
                <w:b/>
                <w:sz w:val="20"/>
              </w:rPr>
              <w:t xml:space="preserve">LA COMMISSION DE L'ÉNERGIE DE L'ONTARIO VA TENIR UNE AUDIENCE PUBLIQUE </w:t>
            </w:r>
          </w:p>
          <w:p w:rsidR="003B2810" w:rsidRDefault="00A05E1F" w:rsidP="009A0D58">
            <w:pPr>
              <w:rPr>
                <w:rFonts w:ascii="Arial" w:hAnsi="Arial" w:cs="Arial"/>
                <w:sz w:val="20"/>
                <w:szCs w:val="20"/>
              </w:rPr>
            </w:pPr>
            <w:r>
              <w:rPr>
                <w:rFonts w:ascii="Arial" w:hAnsi="Arial"/>
                <w:sz w:val="20"/>
              </w:rPr>
              <w:t>La Commission de l’énergie de l’Ontario (CEO) tiendra une audience publique afin d'étudier la demande d'Enbridge. Nous demanderons à la société de justifier la demande d'approbation du tarif qu'elle propose pour son service de transport par l'oléoduc de raccordement King’s North, de la station Parkway à la station Albion (Tarification 332). Nous écouterons également les arguments des individus et des groupes représentant la clientèle d'Enbridge. À l'issue de cette audience, la CEO prendra une décision quant à l'approbation du tarif proposé.</w:t>
            </w:r>
          </w:p>
          <w:p w:rsidR="00A05E1F" w:rsidRDefault="00A05E1F" w:rsidP="009A0D58">
            <w:pPr>
              <w:rPr>
                <w:rFonts w:ascii="Arial" w:hAnsi="Arial" w:cs="Arial"/>
                <w:sz w:val="20"/>
                <w:szCs w:val="20"/>
              </w:rPr>
            </w:pPr>
          </w:p>
          <w:p w:rsidR="00266ABD" w:rsidRPr="00191E06" w:rsidRDefault="00266ABD" w:rsidP="00266ABD">
            <w:pPr>
              <w:rPr>
                <w:rFonts w:ascii="Arial" w:hAnsi="Arial" w:cs="Arial"/>
                <w:sz w:val="20"/>
                <w:szCs w:val="20"/>
              </w:rPr>
            </w:pPr>
            <w:r>
              <w:rPr>
                <w:rFonts w:ascii="Arial" w:hAnsi="Arial"/>
                <w:sz w:val="20"/>
              </w:rPr>
              <w:t xml:space="preserve">La Commission de l’énergie de l’Ontario est une agence publique indépendante et impartiale. Les décisions que nous prenons visent à servir au mieux l'intérêt public. Notre objectif est d'encourager le développement d'un secteur de l'énergie efficace et financièrement viable afin d'offrir des services énergétiques fiables à un prix raisonnable. </w:t>
            </w:r>
          </w:p>
          <w:p w:rsidR="0094505E" w:rsidRDefault="0094505E" w:rsidP="009A0D58">
            <w:pPr>
              <w:rPr>
                <w:rFonts w:ascii="Arial" w:hAnsi="Arial" w:cs="Arial"/>
                <w:sz w:val="20"/>
                <w:szCs w:val="20"/>
              </w:rPr>
            </w:pPr>
          </w:p>
          <w:p w:rsidR="00444CD9" w:rsidRPr="00191E06" w:rsidRDefault="00EF4954" w:rsidP="00444CD9">
            <w:pPr>
              <w:spacing w:line="276" w:lineRule="auto"/>
              <w:rPr>
                <w:rFonts w:ascii="Arial" w:hAnsi="Arial" w:cs="Arial"/>
                <w:b/>
                <w:sz w:val="20"/>
                <w:szCs w:val="20"/>
              </w:rPr>
            </w:pPr>
            <w:r>
              <w:rPr>
                <w:rFonts w:ascii="Arial" w:hAnsi="Arial"/>
                <w:b/>
                <w:sz w:val="20"/>
              </w:rPr>
              <w:t>INFORMEZ-VOUS ET DONNEZ VOTRE AVIS</w:t>
            </w:r>
          </w:p>
          <w:p w:rsidR="00444CD9" w:rsidRPr="00191E06" w:rsidRDefault="00444CD9" w:rsidP="00444CD9">
            <w:pPr>
              <w:spacing w:line="276" w:lineRule="auto"/>
              <w:rPr>
                <w:rFonts w:ascii="Arial" w:hAnsi="Arial" w:cs="Arial"/>
                <w:color w:val="262626" w:themeColor="text1" w:themeTint="D9"/>
                <w:sz w:val="20"/>
                <w:szCs w:val="20"/>
              </w:rPr>
            </w:pPr>
            <w:r>
              <w:rPr>
                <w:rFonts w:ascii="Arial" w:hAnsi="Arial"/>
                <w:color w:val="262626" w:themeColor="text1" w:themeTint="D9"/>
                <w:sz w:val="20"/>
              </w:rPr>
              <w:t xml:space="preserve">Vous avez le droit d'être informé au sujet de cette demande et de participer au processus. </w:t>
            </w:r>
          </w:p>
          <w:p w:rsidR="00444CD9" w:rsidRDefault="000C7C66" w:rsidP="00444CD9">
            <w:pPr>
              <w:pStyle w:val="ListParagraph"/>
              <w:numPr>
                <w:ilvl w:val="0"/>
                <w:numId w:val="1"/>
              </w:numPr>
              <w:spacing w:after="200" w:line="276" w:lineRule="auto"/>
              <w:rPr>
                <w:rFonts w:ascii="Arial" w:hAnsi="Arial" w:cs="Arial"/>
                <w:color w:val="262626" w:themeColor="text1" w:themeTint="D9"/>
                <w:sz w:val="20"/>
                <w:szCs w:val="20"/>
              </w:rPr>
            </w:pPr>
            <w:r>
              <w:rPr>
                <w:rFonts w:ascii="Arial" w:hAnsi="Arial"/>
                <w:color w:val="262626" w:themeColor="text1" w:themeTint="D9"/>
                <w:sz w:val="20"/>
              </w:rPr>
              <w:t xml:space="preserve">Vous pouvez examiner la demande d'Enbridge sur le site Web de la CEO dès maintenant; </w:t>
            </w:r>
          </w:p>
          <w:p w:rsidR="00444CD9" w:rsidRPr="001003EB" w:rsidRDefault="000C7C66" w:rsidP="00444CD9">
            <w:pPr>
              <w:pStyle w:val="ListParagraph"/>
              <w:numPr>
                <w:ilvl w:val="0"/>
                <w:numId w:val="1"/>
              </w:numPr>
              <w:spacing w:after="200" w:line="276" w:lineRule="auto"/>
              <w:rPr>
                <w:rFonts w:ascii="Arial" w:hAnsi="Arial" w:cs="Arial"/>
                <w:color w:val="262626" w:themeColor="text1" w:themeTint="D9"/>
                <w:sz w:val="20"/>
                <w:szCs w:val="20"/>
              </w:rPr>
            </w:pPr>
            <w:r>
              <w:rPr>
                <w:rFonts w:ascii="Arial" w:hAnsi="Arial"/>
                <w:color w:val="262626" w:themeColor="text1" w:themeTint="D9"/>
                <w:sz w:val="20"/>
              </w:rPr>
              <w:t xml:space="preserve">Vous pouvez déposer une lettre de commentaires qui sera prise en compte au cours de l'audience </w:t>
            </w:r>
          </w:p>
          <w:p w:rsidR="00444CD9" w:rsidRPr="00E36798" w:rsidRDefault="000C7C66" w:rsidP="00444CD9">
            <w:pPr>
              <w:pStyle w:val="ListParagraph"/>
              <w:numPr>
                <w:ilvl w:val="0"/>
                <w:numId w:val="1"/>
              </w:numPr>
              <w:spacing w:after="200" w:line="276" w:lineRule="auto"/>
              <w:rPr>
                <w:rFonts w:ascii="Arial" w:hAnsi="Arial" w:cs="Arial"/>
                <w:color w:val="262626" w:themeColor="text1" w:themeTint="D9"/>
                <w:sz w:val="20"/>
                <w:szCs w:val="20"/>
              </w:rPr>
            </w:pPr>
            <w:r>
              <w:rPr>
                <w:rFonts w:ascii="Arial" w:hAnsi="Arial"/>
                <w:color w:val="262626" w:themeColor="text1" w:themeTint="D9"/>
                <w:sz w:val="20"/>
              </w:rPr>
              <w:t xml:space="preserve">Vous pouvez participer activement au processus (à titre d’intervenant). Inscrivez-vous avant le </w:t>
            </w:r>
            <w:r w:rsidR="00657259">
              <w:rPr>
                <w:rFonts w:ascii="Arial" w:hAnsi="Arial"/>
                <w:color w:val="262626" w:themeColor="text1" w:themeTint="D9"/>
                <w:sz w:val="20"/>
              </w:rPr>
              <w:br/>
            </w:r>
            <w:bookmarkStart w:id="0" w:name="_GoBack"/>
            <w:r w:rsidR="00657259" w:rsidRPr="00657259">
              <w:rPr>
                <w:rFonts w:ascii="Arial" w:hAnsi="Arial"/>
                <w:b/>
                <w:color w:val="262626" w:themeColor="text1" w:themeTint="D9"/>
                <w:sz w:val="20"/>
              </w:rPr>
              <w:t>14 avril 2016</w:t>
            </w:r>
            <w:bookmarkEnd w:id="0"/>
            <w:r w:rsidR="00657259">
              <w:rPr>
                <w:rFonts w:ascii="Arial" w:hAnsi="Arial"/>
                <w:color w:val="262626" w:themeColor="text1" w:themeTint="D9"/>
                <w:sz w:val="20"/>
              </w:rPr>
              <w:t xml:space="preserve"> </w:t>
            </w:r>
            <w:r>
              <w:rPr>
                <w:rFonts w:ascii="Arial" w:hAnsi="Arial"/>
                <w:color w:val="262626" w:themeColor="text1" w:themeTint="D9"/>
                <w:sz w:val="20"/>
              </w:rPr>
              <w:t>faute de quoi</w:t>
            </w:r>
            <w:r>
              <w:rPr>
                <w:rFonts w:ascii="Arial" w:hAnsi="Arial"/>
                <w:b/>
                <w:color w:val="262626" w:themeColor="text1" w:themeTint="D9"/>
                <w:sz w:val="20"/>
              </w:rPr>
              <w:t xml:space="preserve"> </w:t>
            </w:r>
            <w:r>
              <w:rPr>
                <w:rFonts w:ascii="Arial" w:hAnsi="Arial"/>
                <w:color w:val="262626" w:themeColor="text1" w:themeTint="D9"/>
                <w:sz w:val="20"/>
              </w:rPr>
              <w:t>l'audience aura lieu sans votre participation et vous ne recevrez plus d'avis dans le cadre de la présente affaire.</w:t>
            </w:r>
          </w:p>
          <w:p w:rsidR="00444CD9" w:rsidRPr="00E36798" w:rsidRDefault="000C7C66" w:rsidP="00444CD9">
            <w:pPr>
              <w:pStyle w:val="ListParagraph"/>
              <w:numPr>
                <w:ilvl w:val="0"/>
                <w:numId w:val="1"/>
              </w:numPr>
              <w:spacing w:after="200" w:line="276" w:lineRule="auto"/>
              <w:rPr>
                <w:rFonts w:ascii="Arial" w:hAnsi="Arial" w:cs="Arial"/>
                <w:color w:val="262626" w:themeColor="text1" w:themeTint="D9"/>
                <w:sz w:val="20"/>
                <w:szCs w:val="20"/>
              </w:rPr>
            </w:pPr>
            <w:r>
              <w:rPr>
                <w:rFonts w:ascii="Arial" w:hAnsi="Arial"/>
                <w:color w:val="262626" w:themeColor="text1" w:themeTint="D9"/>
                <w:sz w:val="20"/>
              </w:rPr>
              <w:t xml:space="preserve">Vous pourrez examiner la décision rendue par la CEO à l'issue de la procédure, ainsi que ses justifications, sur notre site Web. </w:t>
            </w:r>
          </w:p>
          <w:p w:rsidR="009A0D58" w:rsidRPr="002B0883" w:rsidRDefault="00EF4954" w:rsidP="009A0D58">
            <w:pPr>
              <w:rPr>
                <w:rFonts w:ascii="Arial" w:hAnsi="Arial" w:cs="Arial"/>
                <w:b/>
                <w:sz w:val="20"/>
                <w:szCs w:val="20"/>
              </w:rPr>
            </w:pPr>
            <w:r>
              <w:rPr>
                <w:rFonts w:ascii="Arial" w:hAnsi="Arial"/>
                <w:b/>
                <w:sz w:val="20"/>
              </w:rPr>
              <w:t>APPRENEZ-EN PLUS</w:t>
            </w:r>
          </w:p>
          <w:p w:rsidR="0094505E" w:rsidRDefault="00F41F36" w:rsidP="009A0D58">
            <w:pPr>
              <w:rPr>
                <w:rFonts w:ascii="Arial" w:hAnsi="Arial" w:cs="Arial"/>
                <w:sz w:val="20"/>
                <w:szCs w:val="20"/>
              </w:rPr>
            </w:pPr>
            <w:r>
              <w:rPr>
                <w:rFonts w:ascii="Arial" w:hAnsi="Arial"/>
                <w:sz w:val="20"/>
              </w:rPr>
              <w:t xml:space="preserve">Notre numéro de dossier pour cette affaire est </w:t>
            </w:r>
            <w:r>
              <w:rPr>
                <w:rFonts w:ascii="Arial" w:hAnsi="Arial"/>
                <w:b/>
                <w:sz w:val="20"/>
              </w:rPr>
              <w:t>EB-2016-0028</w:t>
            </w:r>
            <w:r>
              <w:rPr>
                <w:rFonts w:ascii="Arial" w:hAnsi="Arial"/>
                <w:sz w:val="20"/>
              </w:rPr>
              <w:t>. Pour obtenir de plus amples renseignements sur les démarches à suivre pour participer à cette audience, notamment pour déposer une lettre avec vos commentaires ou pour participer en tant qu'intervenant, veuillez consulter le site Web de la CEO à</w:t>
            </w:r>
            <w:r>
              <w:rPr>
                <w:rFonts w:ascii="Arial" w:hAnsi="Arial"/>
                <w:i/>
                <w:sz w:val="20"/>
              </w:rPr>
              <w:t xml:space="preserve"> </w:t>
            </w:r>
            <w:r>
              <w:rPr>
                <w:rFonts w:ascii="Arial" w:hAnsi="Arial"/>
                <w:sz w:val="20"/>
              </w:rPr>
              <w:t xml:space="preserve">l'adresse : </w:t>
            </w:r>
            <w:hyperlink r:id="rId7">
              <w:r>
                <w:rPr>
                  <w:rStyle w:val="Hyperlink"/>
                  <w:rFonts w:ascii="Arial" w:hAnsi="Arial"/>
                  <w:sz w:val="20"/>
                </w:rPr>
                <w:t>www.ontarioenergyboard.ca/participate</w:t>
              </w:r>
            </w:hyperlink>
            <w:r>
              <w:rPr>
                <w:rFonts w:ascii="Arial" w:hAnsi="Arial"/>
                <w:sz w:val="20"/>
              </w:rPr>
              <w:t xml:space="preserve">. </w:t>
            </w:r>
            <w:r w:rsidR="00862829">
              <w:rPr>
                <w:rFonts w:ascii="Arial" w:hAnsi="Arial"/>
                <w:sz w:val="20"/>
              </w:rPr>
              <w:t>À</w:t>
            </w:r>
            <w:r>
              <w:rPr>
                <w:rFonts w:ascii="Arial" w:hAnsi="Arial"/>
                <w:sz w:val="20"/>
              </w:rPr>
              <w:t xml:space="preserve"> partir de cette page, vous pouvez également saisir le numéro de dossier </w:t>
            </w:r>
            <w:r>
              <w:rPr>
                <w:rFonts w:ascii="Arial" w:hAnsi="Arial"/>
                <w:b/>
                <w:sz w:val="20"/>
              </w:rPr>
              <w:t>EB-2016-0028</w:t>
            </w:r>
            <w:r>
              <w:rPr>
                <w:rFonts w:ascii="Arial" w:hAnsi="Arial"/>
                <w:sz w:val="20"/>
              </w:rPr>
              <w:t xml:space="preserve"> pour consulter tous les documents liés la présente affaire. </w:t>
            </w:r>
            <w:r>
              <w:rPr>
                <w:rStyle w:val="Hyperlink"/>
                <w:rFonts w:ascii="Arial" w:hAnsi="Arial"/>
                <w:color w:val="auto"/>
                <w:sz w:val="20"/>
                <w:u w:val="none"/>
              </w:rPr>
              <w:t>Pour toute question,</w:t>
            </w:r>
            <w:r>
              <w:rPr>
                <w:rFonts w:ascii="Arial" w:hAnsi="Arial"/>
                <w:sz w:val="20"/>
              </w:rPr>
              <w:t xml:space="preserve"> vous pouvez également communiquer avec notre centre des relations avec les consommateurs au 1-877-632-2727. </w:t>
            </w:r>
          </w:p>
          <w:p w:rsidR="00F174EA" w:rsidRDefault="00F174EA" w:rsidP="009A0D58">
            <w:pPr>
              <w:rPr>
                <w:rFonts w:ascii="Arial" w:hAnsi="Arial" w:cs="Arial"/>
                <w:sz w:val="20"/>
                <w:szCs w:val="20"/>
              </w:rPr>
            </w:pPr>
          </w:p>
          <w:p w:rsidR="002A58B6" w:rsidRPr="00312F38" w:rsidRDefault="00EF4954" w:rsidP="002A58B6">
            <w:pPr>
              <w:rPr>
                <w:rFonts w:ascii="Arial" w:hAnsi="Arial" w:cs="Arial"/>
                <w:b/>
                <w:sz w:val="20"/>
                <w:szCs w:val="20"/>
              </w:rPr>
            </w:pPr>
            <w:r>
              <w:rPr>
                <w:rFonts w:ascii="Arial" w:hAnsi="Arial"/>
                <w:b/>
                <w:sz w:val="20"/>
              </w:rPr>
              <w:t>AUDIENCES ORALES ET AUDIENCES ÉCRITES</w:t>
            </w:r>
          </w:p>
          <w:p w:rsidR="000C7C66" w:rsidRPr="002F26E1" w:rsidRDefault="002A58B6" w:rsidP="000C7C66">
            <w:pPr>
              <w:rPr>
                <w:rFonts w:ascii="Arial" w:hAnsi="Arial" w:cs="Arial"/>
                <w:sz w:val="20"/>
                <w:szCs w:val="20"/>
              </w:rPr>
            </w:pPr>
            <w:r>
              <w:rPr>
                <w:rFonts w:ascii="Arial" w:hAnsi="Arial"/>
                <w:sz w:val="20"/>
              </w:rPr>
              <w:t>Il existe deux types d'audiences à la CEO : les audiences écrites et les audiences orales. La CEO décidera ultérieurement de traiter l'affaire par voie d'audience orale ou écrite. Si vous pensez qu'une audience orale est nécessaire</w:t>
            </w:r>
            <w:proofErr w:type="gramStart"/>
            <w:r>
              <w:rPr>
                <w:rFonts w:ascii="Arial" w:hAnsi="Arial"/>
                <w:sz w:val="20"/>
              </w:rPr>
              <w:t>,vous</w:t>
            </w:r>
            <w:proofErr w:type="gramEnd"/>
            <w:r>
              <w:rPr>
                <w:rFonts w:ascii="Arial" w:hAnsi="Arial"/>
                <w:sz w:val="20"/>
              </w:rPr>
              <w:t xml:space="preserve"> pouvez fournir pour cela vos argum</w:t>
            </w:r>
            <w:r w:rsidR="00657259">
              <w:rPr>
                <w:rFonts w:ascii="Arial" w:hAnsi="Arial"/>
                <w:sz w:val="20"/>
              </w:rPr>
              <w:t xml:space="preserve">ents par écrit à la CEO avant le </w:t>
            </w:r>
            <w:r w:rsidR="00657259" w:rsidRPr="00657259">
              <w:rPr>
                <w:rFonts w:ascii="Arial" w:hAnsi="Arial"/>
                <w:b/>
                <w:sz w:val="20"/>
              </w:rPr>
              <w:t>14 avril 2016</w:t>
            </w:r>
            <w:r w:rsidR="00657259">
              <w:rPr>
                <w:rFonts w:ascii="Arial" w:hAnsi="Arial"/>
                <w:sz w:val="20"/>
              </w:rPr>
              <w:t xml:space="preserve">.  </w:t>
            </w:r>
            <w:r>
              <w:rPr>
                <w:rFonts w:ascii="Arial" w:hAnsi="Arial"/>
                <w:sz w:val="20"/>
              </w:rPr>
              <w:t xml:space="preserve"> </w:t>
            </w:r>
          </w:p>
          <w:p w:rsidR="002A58B6" w:rsidRDefault="002A58B6" w:rsidP="002A58B6">
            <w:pPr>
              <w:rPr>
                <w:rFonts w:ascii="Arial" w:hAnsi="Arial" w:cs="Arial"/>
                <w:sz w:val="20"/>
                <w:szCs w:val="20"/>
              </w:rPr>
            </w:pPr>
          </w:p>
          <w:p w:rsidR="002A58B6" w:rsidRPr="00312F38" w:rsidRDefault="00EF4954" w:rsidP="002A58B6">
            <w:pPr>
              <w:rPr>
                <w:rFonts w:ascii="Arial" w:hAnsi="Arial" w:cs="Arial"/>
                <w:b/>
                <w:sz w:val="20"/>
                <w:szCs w:val="20"/>
              </w:rPr>
            </w:pPr>
            <w:r>
              <w:rPr>
                <w:rFonts w:ascii="Arial" w:hAnsi="Arial"/>
                <w:b/>
                <w:sz w:val="20"/>
              </w:rPr>
              <w:t>PROTECTION DES RENSEIGNEMENTS PERSONNELS</w:t>
            </w:r>
          </w:p>
          <w:p w:rsidR="002A58B6" w:rsidRPr="002B0883" w:rsidRDefault="002A58B6" w:rsidP="002A58B6">
            <w:pPr>
              <w:rPr>
                <w:rFonts w:ascii="Arial" w:hAnsi="Arial" w:cs="Arial"/>
                <w:i/>
                <w:sz w:val="20"/>
                <w:szCs w:val="20"/>
              </w:rPr>
            </w:pPr>
            <w:r>
              <w:rPr>
                <w:rFonts w:ascii="Arial" w:hAnsi="Arial"/>
                <w:i/>
                <w:sz w:val="20"/>
              </w:rPr>
              <w:t xml:space="preserve">Si vous écrivez une lettre de commentaires, votre nom et le contenu de cette lettre apparaitront dans le dossier public et sur le site Web de la CEO. Toutefois, votre numéro de téléphone, votre adresse et votre adresse électronique ne seront pas rendus publics. Si vous représentez une entreprise, tous les renseignements de l'entreprise demeureront accessibles au public. Si vous participez à titre d'intervenant, tous vos renseignements personnels seront rendus publics. </w:t>
            </w:r>
          </w:p>
          <w:p w:rsidR="002A58B6" w:rsidRPr="002A58B6" w:rsidRDefault="002A58B6" w:rsidP="002A58B6">
            <w:pPr>
              <w:rPr>
                <w:rFonts w:ascii="Arial" w:hAnsi="Arial" w:cs="Arial"/>
                <w:sz w:val="20"/>
                <w:szCs w:val="20"/>
              </w:rPr>
            </w:pPr>
          </w:p>
          <w:p w:rsidR="0094505E" w:rsidRPr="002A58B6" w:rsidRDefault="002A58B6" w:rsidP="009A0D58">
            <w:pPr>
              <w:rPr>
                <w:rFonts w:ascii="Arial" w:hAnsi="Arial" w:cs="Arial"/>
                <w:i/>
                <w:sz w:val="20"/>
                <w:szCs w:val="20"/>
              </w:rPr>
            </w:pPr>
            <w:r>
              <w:rPr>
                <w:rFonts w:ascii="Arial" w:hAnsi="Arial"/>
                <w:i/>
                <w:sz w:val="20"/>
              </w:rPr>
              <w:t>Cette audience sur les tarifs sera tenue en vertu de l'article 36 de la Loi de 1998 sur la Commission de l'énergie de l'Ontario, L.O 1998, chap. 15 (annexe B).</w:t>
            </w:r>
          </w:p>
          <w:p w:rsidR="0094505E" w:rsidRPr="00E33467" w:rsidRDefault="0094505E" w:rsidP="007D24BD">
            <w:pPr>
              <w:jc w:val="center"/>
              <w:rPr>
                <w:rFonts w:ascii="Arial" w:hAnsi="Arial" w:cs="Arial"/>
                <w:b/>
                <w:sz w:val="20"/>
                <w:szCs w:val="20"/>
                <w:u w:val="single"/>
              </w:rPr>
            </w:pPr>
          </w:p>
        </w:tc>
      </w:tr>
      <w:tr w:rsidR="00FA2AC4" w:rsidTr="002A58B6">
        <w:trPr>
          <w:trHeight w:val="1665"/>
        </w:trPr>
        <w:tc>
          <w:tcPr>
            <w:tcW w:w="9810" w:type="dxa"/>
            <w:gridSpan w:val="7"/>
            <w:vAlign w:val="center"/>
          </w:tcPr>
          <w:p w:rsidR="00FA2AC4" w:rsidRPr="00F0222C" w:rsidRDefault="002A58B6" w:rsidP="002A58B6">
            <w:pPr>
              <w:jc w:val="center"/>
              <w:rPr>
                <w:rFonts w:ascii="Arial" w:hAnsi="Arial" w:cs="Arial"/>
                <w:i/>
                <w:sz w:val="18"/>
                <w:szCs w:val="18"/>
              </w:rPr>
            </w:pPr>
            <w:r>
              <w:rPr>
                <w:rFonts w:ascii="Arial" w:hAnsi="Arial" w:cs="Arial"/>
                <w:i/>
                <w:noProof/>
                <w:sz w:val="18"/>
                <w:szCs w:val="18"/>
                <w:lang w:val="en-US" w:eastAsia="en-US" w:bidi="ar-SA"/>
              </w:rPr>
              <w:drawing>
                <wp:inline distT="0" distB="0" distL="0" distR="0" wp14:anchorId="387AB4C6" wp14:editId="5675D6D9">
                  <wp:extent cx="978196" cy="93268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8196" cy="932683"/>
                          </a:xfrm>
                          <a:prstGeom prst="rect">
                            <a:avLst/>
                          </a:prstGeom>
                          <a:noFill/>
                        </pic:spPr>
                      </pic:pic>
                    </a:graphicData>
                  </a:graphic>
                </wp:inline>
              </w:drawing>
            </w:r>
          </w:p>
        </w:tc>
      </w:tr>
      <w:tr w:rsidR="0094505E" w:rsidTr="00FA2AC4">
        <w:trPr>
          <w:trHeight w:val="360"/>
        </w:trPr>
        <w:tc>
          <w:tcPr>
            <w:tcW w:w="3145" w:type="dxa"/>
            <w:gridSpan w:val="2"/>
            <w:shd w:val="clear" w:color="auto" w:fill="000000" w:themeFill="text1"/>
          </w:tcPr>
          <w:p w:rsidR="0094505E" w:rsidRDefault="0094505E" w:rsidP="009A0D58">
            <w:pPr>
              <w:rPr>
                <w:rFonts w:ascii="Arial" w:hAnsi="Arial" w:cs="Arial"/>
                <w:noProof/>
                <w:sz w:val="24"/>
                <w:szCs w:val="24"/>
              </w:rPr>
            </w:pPr>
          </w:p>
        </w:tc>
        <w:tc>
          <w:tcPr>
            <w:tcW w:w="2867" w:type="dxa"/>
            <w:gridSpan w:val="3"/>
            <w:shd w:val="clear" w:color="auto" w:fill="000000" w:themeFill="text1"/>
          </w:tcPr>
          <w:p w:rsidR="0094505E" w:rsidRDefault="0094505E" w:rsidP="009A0D58">
            <w:pPr>
              <w:rPr>
                <w:rFonts w:ascii="Arial" w:hAnsi="Arial" w:cs="Arial"/>
                <w:noProof/>
                <w:sz w:val="24"/>
                <w:szCs w:val="24"/>
              </w:rPr>
            </w:pPr>
          </w:p>
        </w:tc>
        <w:tc>
          <w:tcPr>
            <w:tcW w:w="3798" w:type="dxa"/>
            <w:gridSpan w:val="2"/>
            <w:shd w:val="clear" w:color="auto" w:fill="000000" w:themeFill="text1"/>
          </w:tcPr>
          <w:p w:rsidR="0094505E" w:rsidRPr="006E41FD" w:rsidRDefault="0094505E" w:rsidP="009A0D58">
            <w:pPr>
              <w:rPr>
                <w:rFonts w:ascii="Arial" w:hAnsi="Arial" w:cs="Arial"/>
                <w:noProof/>
                <w:sz w:val="14"/>
                <w:szCs w:val="24"/>
              </w:rPr>
            </w:pPr>
          </w:p>
        </w:tc>
      </w:tr>
    </w:tbl>
    <w:p w:rsidR="0094505E" w:rsidRPr="006636D1" w:rsidRDefault="0094505E" w:rsidP="0094505E"/>
    <w:p w:rsidR="00746080" w:rsidRPr="00EA0919" w:rsidRDefault="00746080">
      <w:pPr>
        <w:rPr>
          <w:rFonts w:ascii="Arial" w:hAnsi="Arial" w:cs="Arial"/>
          <w:sz w:val="24"/>
          <w:szCs w:val="24"/>
        </w:rPr>
      </w:pPr>
    </w:p>
    <w:sectPr w:rsidR="00746080" w:rsidRPr="00EA0919" w:rsidSect="009A0D58">
      <w:pgSz w:w="12240" w:h="20160" w:code="5"/>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13095"/>
    <w:multiLevelType w:val="hybridMultilevel"/>
    <w:tmpl w:val="02E2D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05E"/>
    <w:rsid w:val="00020C3C"/>
    <w:rsid w:val="00054A8F"/>
    <w:rsid w:val="00062B66"/>
    <w:rsid w:val="000668C4"/>
    <w:rsid w:val="0007183B"/>
    <w:rsid w:val="00083948"/>
    <w:rsid w:val="00085A7A"/>
    <w:rsid w:val="000C198C"/>
    <w:rsid w:val="000C7C66"/>
    <w:rsid w:val="000F06AC"/>
    <w:rsid w:val="001003EB"/>
    <w:rsid w:val="00110FBE"/>
    <w:rsid w:val="00170119"/>
    <w:rsid w:val="00173AF9"/>
    <w:rsid w:val="00191E06"/>
    <w:rsid w:val="00197D76"/>
    <w:rsid w:val="001C0F7C"/>
    <w:rsid w:val="001F778E"/>
    <w:rsid w:val="00203EAF"/>
    <w:rsid w:val="00244D70"/>
    <w:rsid w:val="00266ABD"/>
    <w:rsid w:val="00266C72"/>
    <w:rsid w:val="00283374"/>
    <w:rsid w:val="00286E13"/>
    <w:rsid w:val="002A58B6"/>
    <w:rsid w:val="002B0883"/>
    <w:rsid w:val="002D246A"/>
    <w:rsid w:val="00312F38"/>
    <w:rsid w:val="0031345B"/>
    <w:rsid w:val="003313C2"/>
    <w:rsid w:val="00336658"/>
    <w:rsid w:val="003515A4"/>
    <w:rsid w:val="003537B8"/>
    <w:rsid w:val="00353B18"/>
    <w:rsid w:val="0035473B"/>
    <w:rsid w:val="00361B0C"/>
    <w:rsid w:val="003852DD"/>
    <w:rsid w:val="003A6A32"/>
    <w:rsid w:val="003B1D40"/>
    <w:rsid w:val="003B2810"/>
    <w:rsid w:val="003E3B91"/>
    <w:rsid w:val="003F57DB"/>
    <w:rsid w:val="004012B9"/>
    <w:rsid w:val="00403191"/>
    <w:rsid w:val="00405273"/>
    <w:rsid w:val="00412DC6"/>
    <w:rsid w:val="00424498"/>
    <w:rsid w:val="00425AEC"/>
    <w:rsid w:val="00444CD9"/>
    <w:rsid w:val="004627D1"/>
    <w:rsid w:val="004B1F2F"/>
    <w:rsid w:val="004B43D1"/>
    <w:rsid w:val="004E1C88"/>
    <w:rsid w:val="00510FD6"/>
    <w:rsid w:val="00511AD3"/>
    <w:rsid w:val="00511B79"/>
    <w:rsid w:val="00515E5D"/>
    <w:rsid w:val="00530495"/>
    <w:rsid w:val="0053672A"/>
    <w:rsid w:val="00537553"/>
    <w:rsid w:val="00546CAC"/>
    <w:rsid w:val="00587533"/>
    <w:rsid w:val="00614C2F"/>
    <w:rsid w:val="006300CE"/>
    <w:rsid w:val="00635491"/>
    <w:rsid w:val="00657259"/>
    <w:rsid w:val="006951C9"/>
    <w:rsid w:val="00695BF9"/>
    <w:rsid w:val="006E339B"/>
    <w:rsid w:val="00700A14"/>
    <w:rsid w:val="0070423C"/>
    <w:rsid w:val="00705AF9"/>
    <w:rsid w:val="00742013"/>
    <w:rsid w:val="00746080"/>
    <w:rsid w:val="00766A08"/>
    <w:rsid w:val="007C4875"/>
    <w:rsid w:val="007D24BD"/>
    <w:rsid w:val="00862829"/>
    <w:rsid w:val="008F2EB1"/>
    <w:rsid w:val="0091220C"/>
    <w:rsid w:val="009173EF"/>
    <w:rsid w:val="00925C9D"/>
    <w:rsid w:val="00941F3D"/>
    <w:rsid w:val="0094505E"/>
    <w:rsid w:val="009A0D58"/>
    <w:rsid w:val="009E6783"/>
    <w:rsid w:val="009F23B3"/>
    <w:rsid w:val="009F74C3"/>
    <w:rsid w:val="00A05E1F"/>
    <w:rsid w:val="00A07024"/>
    <w:rsid w:val="00A1280C"/>
    <w:rsid w:val="00A71B44"/>
    <w:rsid w:val="00AA06D9"/>
    <w:rsid w:val="00AB34D3"/>
    <w:rsid w:val="00AD519D"/>
    <w:rsid w:val="00B238FF"/>
    <w:rsid w:val="00B24FAF"/>
    <w:rsid w:val="00B25576"/>
    <w:rsid w:val="00B33FCF"/>
    <w:rsid w:val="00B37BB4"/>
    <w:rsid w:val="00B67A5B"/>
    <w:rsid w:val="00B97F90"/>
    <w:rsid w:val="00BE6622"/>
    <w:rsid w:val="00C05E18"/>
    <w:rsid w:val="00C37485"/>
    <w:rsid w:val="00C90B74"/>
    <w:rsid w:val="00C932C6"/>
    <w:rsid w:val="00CD1750"/>
    <w:rsid w:val="00CE7176"/>
    <w:rsid w:val="00D20C17"/>
    <w:rsid w:val="00D85ED4"/>
    <w:rsid w:val="00D96ECC"/>
    <w:rsid w:val="00DB398C"/>
    <w:rsid w:val="00DB5AEB"/>
    <w:rsid w:val="00E077ED"/>
    <w:rsid w:val="00E1391C"/>
    <w:rsid w:val="00E204D7"/>
    <w:rsid w:val="00E36798"/>
    <w:rsid w:val="00E455D3"/>
    <w:rsid w:val="00E57BAE"/>
    <w:rsid w:val="00E64FA4"/>
    <w:rsid w:val="00E73477"/>
    <w:rsid w:val="00EA0919"/>
    <w:rsid w:val="00EB6898"/>
    <w:rsid w:val="00ED1203"/>
    <w:rsid w:val="00EE16E5"/>
    <w:rsid w:val="00EE5865"/>
    <w:rsid w:val="00EF4954"/>
    <w:rsid w:val="00F00FC6"/>
    <w:rsid w:val="00F174EA"/>
    <w:rsid w:val="00F2558C"/>
    <w:rsid w:val="00F41F36"/>
    <w:rsid w:val="00F81704"/>
    <w:rsid w:val="00FA2AC4"/>
    <w:rsid w:val="00FB5AD4"/>
    <w:rsid w:val="00FD683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fr-CA" w:bidi="fr-C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505E"/>
    <w:rPr>
      <w:color w:val="0000FF" w:themeColor="hyperlink"/>
      <w:u w:val="single"/>
    </w:rPr>
  </w:style>
  <w:style w:type="paragraph" w:styleId="BalloonText">
    <w:name w:val="Balloon Text"/>
    <w:basedOn w:val="Normal"/>
    <w:link w:val="BalloonTextChar"/>
    <w:uiPriority w:val="99"/>
    <w:semiHidden/>
    <w:unhideWhenUsed/>
    <w:rsid w:val="00945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05E"/>
    <w:rPr>
      <w:rFonts w:ascii="Tahoma" w:hAnsi="Tahoma" w:cs="Tahoma"/>
      <w:sz w:val="16"/>
      <w:szCs w:val="16"/>
    </w:rPr>
  </w:style>
  <w:style w:type="paragraph" w:styleId="ListParagraph">
    <w:name w:val="List Paragraph"/>
    <w:basedOn w:val="Normal"/>
    <w:uiPriority w:val="34"/>
    <w:qFormat/>
    <w:rsid w:val="008F2EB1"/>
    <w:pPr>
      <w:ind w:left="720"/>
      <w:contextualSpacing/>
    </w:pPr>
  </w:style>
  <w:style w:type="character" w:styleId="CommentReference">
    <w:name w:val="annotation reference"/>
    <w:basedOn w:val="DefaultParagraphFont"/>
    <w:uiPriority w:val="99"/>
    <w:semiHidden/>
    <w:unhideWhenUsed/>
    <w:rsid w:val="00515E5D"/>
    <w:rPr>
      <w:sz w:val="16"/>
      <w:szCs w:val="16"/>
    </w:rPr>
  </w:style>
  <w:style w:type="paragraph" w:styleId="CommentText">
    <w:name w:val="annotation text"/>
    <w:basedOn w:val="Normal"/>
    <w:link w:val="CommentTextChar"/>
    <w:uiPriority w:val="99"/>
    <w:semiHidden/>
    <w:unhideWhenUsed/>
    <w:rsid w:val="00515E5D"/>
    <w:pPr>
      <w:spacing w:line="240" w:lineRule="auto"/>
    </w:pPr>
    <w:rPr>
      <w:sz w:val="20"/>
      <w:szCs w:val="20"/>
    </w:rPr>
  </w:style>
  <w:style w:type="character" w:customStyle="1" w:styleId="CommentTextChar">
    <w:name w:val="Comment Text Char"/>
    <w:basedOn w:val="DefaultParagraphFont"/>
    <w:link w:val="CommentText"/>
    <w:uiPriority w:val="99"/>
    <w:semiHidden/>
    <w:rsid w:val="00515E5D"/>
    <w:rPr>
      <w:sz w:val="20"/>
      <w:szCs w:val="20"/>
    </w:rPr>
  </w:style>
  <w:style w:type="paragraph" w:styleId="CommentSubject">
    <w:name w:val="annotation subject"/>
    <w:basedOn w:val="CommentText"/>
    <w:next w:val="CommentText"/>
    <w:link w:val="CommentSubjectChar"/>
    <w:uiPriority w:val="99"/>
    <w:semiHidden/>
    <w:unhideWhenUsed/>
    <w:rsid w:val="00515E5D"/>
    <w:rPr>
      <w:b/>
      <w:bCs/>
    </w:rPr>
  </w:style>
  <w:style w:type="character" w:customStyle="1" w:styleId="CommentSubjectChar">
    <w:name w:val="Comment Subject Char"/>
    <w:basedOn w:val="CommentTextChar"/>
    <w:link w:val="CommentSubject"/>
    <w:uiPriority w:val="99"/>
    <w:semiHidden/>
    <w:rsid w:val="00515E5D"/>
    <w:rPr>
      <w:b/>
      <w:bCs/>
      <w:sz w:val="20"/>
      <w:szCs w:val="20"/>
    </w:rPr>
  </w:style>
  <w:style w:type="paragraph" w:customStyle="1" w:styleId="Default">
    <w:name w:val="Default"/>
    <w:rsid w:val="00614C2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fr-CA" w:bidi="fr-C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505E"/>
    <w:rPr>
      <w:color w:val="0000FF" w:themeColor="hyperlink"/>
      <w:u w:val="single"/>
    </w:rPr>
  </w:style>
  <w:style w:type="paragraph" w:styleId="BalloonText">
    <w:name w:val="Balloon Text"/>
    <w:basedOn w:val="Normal"/>
    <w:link w:val="BalloonTextChar"/>
    <w:uiPriority w:val="99"/>
    <w:semiHidden/>
    <w:unhideWhenUsed/>
    <w:rsid w:val="00945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05E"/>
    <w:rPr>
      <w:rFonts w:ascii="Tahoma" w:hAnsi="Tahoma" w:cs="Tahoma"/>
      <w:sz w:val="16"/>
      <w:szCs w:val="16"/>
    </w:rPr>
  </w:style>
  <w:style w:type="paragraph" w:styleId="ListParagraph">
    <w:name w:val="List Paragraph"/>
    <w:basedOn w:val="Normal"/>
    <w:uiPriority w:val="34"/>
    <w:qFormat/>
    <w:rsid w:val="008F2EB1"/>
    <w:pPr>
      <w:ind w:left="720"/>
      <w:contextualSpacing/>
    </w:pPr>
  </w:style>
  <w:style w:type="character" w:styleId="CommentReference">
    <w:name w:val="annotation reference"/>
    <w:basedOn w:val="DefaultParagraphFont"/>
    <w:uiPriority w:val="99"/>
    <w:semiHidden/>
    <w:unhideWhenUsed/>
    <w:rsid w:val="00515E5D"/>
    <w:rPr>
      <w:sz w:val="16"/>
      <w:szCs w:val="16"/>
    </w:rPr>
  </w:style>
  <w:style w:type="paragraph" w:styleId="CommentText">
    <w:name w:val="annotation text"/>
    <w:basedOn w:val="Normal"/>
    <w:link w:val="CommentTextChar"/>
    <w:uiPriority w:val="99"/>
    <w:semiHidden/>
    <w:unhideWhenUsed/>
    <w:rsid w:val="00515E5D"/>
    <w:pPr>
      <w:spacing w:line="240" w:lineRule="auto"/>
    </w:pPr>
    <w:rPr>
      <w:sz w:val="20"/>
      <w:szCs w:val="20"/>
    </w:rPr>
  </w:style>
  <w:style w:type="character" w:customStyle="1" w:styleId="CommentTextChar">
    <w:name w:val="Comment Text Char"/>
    <w:basedOn w:val="DefaultParagraphFont"/>
    <w:link w:val="CommentText"/>
    <w:uiPriority w:val="99"/>
    <w:semiHidden/>
    <w:rsid w:val="00515E5D"/>
    <w:rPr>
      <w:sz w:val="20"/>
      <w:szCs w:val="20"/>
    </w:rPr>
  </w:style>
  <w:style w:type="paragraph" w:styleId="CommentSubject">
    <w:name w:val="annotation subject"/>
    <w:basedOn w:val="CommentText"/>
    <w:next w:val="CommentText"/>
    <w:link w:val="CommentSubjectChar"/>
    <w:uiPriority w:val="99"/>
    <w:semiHidden/>
    <w:unhideWhenUsed/>
    <w:rsid w:val="00515E5D"/>
    <w:rPr>
      <w:b/>
      <w:bCs/>
    </w:rPr>
  </w:style>
  <w:style w:type="character" w:customStyle="1" w:styleId="CommentSubjectChar">
    <w:name w:val="Comment Subject Char"/>
    <w:basedOn w:val="CommentTextChar"/>
    <w:link w:val="CommentSubject"/>
    <w:uiPriority w:val="99"/>
    <w:semiHidden/>
    <w:rsid w:val="00515E5D"/>
    <w:rPr>
      <w:b/>
      <w:bCs/>
      <w:sz w:val="20"/>
      <w:szCs w:val="20"/>
    </w:rPr>
  </w:style>
  <w:style w:type="paragraph" w:customStyle="1" w:styleId="Default">
    <w:name w:val="Default"/>
    <w:rsid w:val="00614C2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ontarioenergyboard.ca/oeb/Industry/Regulatory%20Proceedings/Hearings/Participating%20in%20a%20Hearing/Participating%20in%20a%20Hearing_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51143-8D8F-4AFA-85E4-0378A0E3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Greenberg</dc:creator>
  <cp:lastModifiedBy>Lorraine Chiasson</cp:lastModifiedBy>
  <cp:revision>4</cp:revision>
  <cp:lastPrinted>2016-03-15T16:47:00Z</cp:lastPrinted>
  <dcterms:created xsi:type="dcterms:W3CDTF">2016-03-31T14:26:00Z</dcterms:created>
  <dcterms:modified xsi:type="dcterms:W3CDTF">2016-03-31T15:54:00Z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-1935780744</vt:i4>
  </property>
  <property fmtid="{D5CDD505-2E9C-101B-9397-08002B2CF9AE}" pid="3" name="_NewReviewCycle">
    <vt:lpwstr/>
  </property>
  <property fmtid="{D5CDD505-2E9C-101B-9397-08002B2CF9AE}" pid="4" name="_EmailSubject">
    <vt:lpwstr>notice and letter of direction for EB-2016-0028 Enbridge Gas Distribution Inc.</vt:lpwstr>
  </property>
  <property fmtid="{D5CDD505-2E9C-101B-9397-08002B2CF9AE}" pid="5" name="_AuthorEmail">
    <vt:lpwstr>Lorraine.Chiasson@enbridge.com</vt:lpwstr>
  </property>
  <property fmtid="{D5CDD505-2E9C-101B-9397-08002B2CF9AE}" pid="6" name="_AuthorEmailDisplayName">
    <vt:lpwstr>Lorraine Chiasson</vt:lpwstr>
  </property>
</Properties>
</file>