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FC4" w:rsidRPr="00725195" w:rsidRDefault="00281FC4" w:rsidP="007114A2">
      <w:pPr>
        <w:pStyle w:val="Heading8"/>
        <w:ind w:left="6480" w:firstLine="720"/>
        <w:rPr>
          <w:rFonts w:cs="Arial"/>
          <w:sz w:val="32"/>
          <w:szCs w:val="32"/>
        </w:rPr>
      </w:pPr>
      <w:r w:rsidRPr="00725195">
        <w:rPr>
          <w:rFonts w:cs="Arial"/>
          <w:sz w:val="32"/>
          <w:szCs w:val="32"/>
        </w:rPr>
        <w:t>EB-201</w:t>
      </w:r>
      <w:r w:rsidR="004F1598">
        <w:rPr>
          <w:rFonts w:cs="Arial"/>
          <w:sz w:val="32"/>
          <w:szCs w:val="32"/>
        </w:rPr>
        <w:t>6</w:t>
      </w:r>
      <w:r w:rsidRPr="00725195">
        <w:rPr>
          <w:rFonts w:cs="Arial"/>
          <w:sz w:val="32"/>
          <w:szCs w:val="32"/>
        </w:rPr>
        <w:t>-0</w:t>
      </w:r>
      <w:r w:rsidR="004F1598">
        <w:rPr>
          <w:rFonts w:cs="Arial"/>
          <w:sz w:val="32"/>
          <w:szCs w:val="32"/>
        </w:rPr>
        <w:t>050</w:t>
      </w:r>
    </w:p>
    <w:p w:rsidR="00281FC4" w:rsidRDefault="00281FC4" w:rsidP="00281FC4">
      <w:pPr>
        <w:ind w:left="5812"/>
        <w:rPr>
          <w:rFonts w:ascii="Arial" w:hAnsi="Arial" w:cs="Arial"/>
          <w:b/>
          <w:sz w:val="32"/>
          <w:szCs w:val="32"/>
        </w:rPr>
      </w:pPr>
    </w:p>
    <w:p w:rsidR="00281FC4" w:rsidRDefault="00281FC4" w:rsidP="00281FC4">
      <w:pPr>
        <w:pStyle w:val="Heading8"/>
        <w:tabs>
          <w:tab w:val="left" w:pos="5760"/>
        </w:tabs>
        <w:ind w:left="5760"/>
        <w:rPr>
          <w:sz w:val="36"/>
        </w:rPr>
      </w:pPr>
      <w:r>
        <w:rPr>
          <w:sz w:val="36"/>
        </w:rPr>
        <w:tab/>
      </w:r>
    </w:p>
    <w:p w:rsidR="00281FC4" w:rsidRPr="00725195" w:rsidRDefault="00281FC4" w:rsidP="00281FC4">
      <w:pPr>
        <w:jc w:val="center"/>
        <w:rPr>
          <w:rFonts w:ascii="Arial" w:hAnsi="Arial" w:cs="Arial"/>
          <w:b/>
          <w:sz w:val="40"/>
          <w:szCs w:val="40"/>
        </w:rPr>
      </w:pPr>
      <w:r w:rsidRPr="00725195">
        <w:rPr>
          <w:rFonts w:ascii="Arial" w:hAnsi="Arial" w:cs="Arial"/>
          <w:b/>
          <w:sz w:val="40"/>
          <w:szCs w:val="40"/>
        </w:rPr>
        <w:t>Ontario Energy Board</w:t>
      </w:r>
    </w:p>
    <w:p w:rsidR="00281FC4" w:rsidRDefault="00281FC4" w:rsidP="00281FC4">
      <w:pPr>
        <w:pStyle w:val="Heading8"/>
        <w:jc w:val="center"/>
        <w:rPr>
          <w:rFonts w:cs="Arial"/>
          <w:sz w:val="24"/>
        </w:rPr>
      </w:pPr>
    </w:p>
    <w:p w:rsidR="00281FC4" w:rsidRDefault="00281FC4" w:rsidP="00281FC4">
      <w:pPr>
        <w:pStyle w:val="Default"/>
      </w:pPr>
    </w:p>
    <w:p w:rsidR="00281FC4" w:rsidRPr="00183751" w:rsidRDefault="00281FC4" w:rsidP="00281FC4">
      <w:pPr>
        <w:jc w:val="center"/>
        <w:rPr>
          <w:rFonts w:ascii="Arial" w:hAnsi="Arial" w:cs="Arial"/>
          <w:sz w:val="40"/>
          <w:szCs w:val="40"/>
        </w:rPr>
      </w:pPr>
    </w:p>
    <w:p w:rsidR="00281FC4" w:rsidRPr="00C479D9" w:rsidRDefault="00281FC4" w:rsidP="00281FC4">
      <w:pPr>
        <w:autoSpaceDE w:val="0"/>
        <w:autoSpaceDN w:val="0"/>
        <w:adjustRightInd w:val="0"/>
        <w:ind w:left="1418" w:right="1410"/>
        <w:jc w:val="both"/>
        <w:rPr>
          <w:sz w:val="26"/>
          <w:szCs w:val="26"/>
          <w:lang w:eastAsia="en-CA"/>
        </w:rPr>
      </w:pPr>
      <w:r w:rsidRPr="00C479D9">
        <w:rPr>
          <w:b/>
          <w:bCs/>
          <w:sz w:val="26"/>
          <w:szCs w:val="26"/>
          <w:lang w:eastAsia="en-CA"/>
        </w:rPr>
        <w:t xml:space="preserve">IN THE MATTER OF </w:t>
      </w:r>
      <w:r w:rsidRPr="00C479D9">
        <w:rPr>
          <w:sz w:val="26"/>
          <w:szCs w:val="26"/>
          <w:lang w:eastAsia="en-CA"/>
        </w:rPr>
        <w:t xml:space="preserve">the </w:t>
      </w:r>
      <w:r w:rsidRPr="00C479D9">
        <w:rPr>
          <w:i/>
          <w:iCs/>
          <w:sz w:val="26"/>
          <w:szCs w:val="26"/>
          <w:lang w:eastAsia="en-CA"/>
        </w:rPr>
        <w:t>Ontario Energy Board Act, 1998</w:t>
      </w:r>
      <w:r w:rsidRPr="00C479D9">
        <w:rPr>
          <w:sz w:val="26"/>
          <w:szCs w:val="26"/>
          <w:lang w:eastAsia="en-CA"/>
        </w:rPr>
        <w:t>, S.O. 1998, c. 15, Sch. B, as amended;</w:t>
      </w:r>
    </w:p>
    <w:p w:rsidR="00281FC4" w:rsidRPr="00C479D9" w:rsidRDefault="00281FC4" w:rsidP="00281FC4">
      <w:pPr>
        <w:autoSpaceDE w:val="0"/>
        <w:autoSpaceDN w:val="0"/>
        <w:adjustRightInd w:val="0"/>
        <w:rPr>
          <w:b/>
          <w:bCs/>
          <w:sz w:val="26"/>
          <w:szCs w:val="26"/>
          <w:lang w:eastAsia="en-CA"/>
        </w:rPr>
      </w:pPr>
    </w:p>
    <w:p w:rsidR="002E7E02" w:rsidRDefault="002E7E02" w:rsidP="002E7E02">
      <w:pPr>
        <w:autoSpaceDE w:val="0"/>
        <w:autoSpaceDN w:val="0"/>
        <w:adjustRightInd w:val="0"/>
        <w:rPr>
          <w:b/>
          <w:bCs/>
          <w:sz w:val="28"/>
          <w:szCs w:val="28"/>
        </w:rPr>
      </w:pPr>
    </w:p>
    <w:p w:rsidR="00281FC4" w:rsidRDefault="002E7E02" w:rsidP="005059BF">
      <w:pPr>
        <w:autoSpaceDE w:val="0"/>
        <w:autoSpaceDN w:val="0"/>
        <w:adjustRightInd w:val="0"/>
        <w:ind w:left="1418" w:right="1422"/>
        <w:jc w:val="both"/>
      </w:pPr>
      <w:r>
        <w:rPr>
          <w:b/>
          <w:bCs/>
        </w:rPr>
        <w:t xml:space="preserve">AND IN THE MATTER OF </w:t>
      </w:r>
      <w:r>
        <w:rPr>
          <w:rFonts w:ascii="TimesNewRomanPSMT" w:hAnsi="TimesNewRomanPSMT" w:cs="TimesNewRomanPSMT"/>
        </w:rPr>
        <w:t xml:space="preserve">an application made pursuant to section 86(2)(b) of the </w:t>
      </w:r>
      <w:r>
        <w:rPr>
          <w:i/>
          <w:iCs/>
        </w:rPr>
        <w:t xml:space="preserve">Ontario Energy Board Act, 1998 </w:t>
      </w:r>
      <w:r>
        <w:rPr>
          <w:rFonts w:ascii="TimesNewRomanPSMT" w:hAnsi="TimesNewRomanPSMT" w:cs="TimesNewRomanPSMT"/>
        </w:rPr>
        <w:t>by Hydro One Inc. for leave to purchase all issued and outstanding voting securities of Great Lakes Power Transmission Inc.</w:t>
      </w:r>
    </w:p>
    <w:p w:rsidR="00281FC4" w:rsidRDefault="00281FC4" w:rsidP="002E7E02">
      <w:pPr>
        <w:pStyle w:val="Default"/>
        <w:ind w:left="1418"/>
      </w:pPr>
    </w:p>
    <w:p w:rsidR="00281FC4" w:rsidRDefault="00281FC4" w:rsidP="00281FC4">
      <w:pPr>
        <w:pStyle w:val="Default"/>
      </w:pPr>
    </w:p>
    <w:p w:rsidR="00281FC4" w:rsidRDefault="00281FC4" w:rsidP="00281FC4">
      <w:pPr>
        <w:pStyle w:val="Footer"/>
        <w:tabs>
          <w:tab w:val="clear" w:pos="4320"/>
          <w:tab w:val="clear" w:pos="8640"/>
        </w:tabs>
      </w:pPr>
    </w:p>
    <w:p w:rsidR="00281FC4" w:rsidRPr="00E5117B" w:rsidRDefault="00281FC4" w:rsidP="00281FC4">
      <w:pPr>
        <w:pStyle w:val="Heading1"/>
        <w:pBdr>
          <w:top w:val="single" w:sz="4" w:space="1" w:color="auto"/>
        </w:pBdr>
        <w:rPr>
          <w:rFonts w:ascii="Times New Roman" w:hAnsi="Times New Roman" w:cs="Times New Roman"/>
          <w:sz w:val="36"/>
          <w:szCs w:val="36"/>
        </w:rPr>
      </w:pPr>
    </w:p>
    <w:p w:rsidR="00281FC4" w:rsidRPr="00BB26BC" w:rsidRDefault="00A86579" w:rsidP="00281FC4">
      <w:pPr>
        <w:pStyle w:val="Heading1"/>
        <w:pBdr>
          <w:top w:val="single" w:sz="4" w:space="1" w:color="auto"/>
        </w:pBdr>
        <w:rPr>
          <w:rFonts w:ascii="Times New Roman" w:hAnsi="Times New Roman" w:cs="Times New Roman"/>
          <w:sz w:val="36"/>
          <w:szCs w:val="36"/>
        </w:rPr>
      </w:pPr>
      <w:r>
        <w:rPr>
          <w:rFonts w:ascii="Times New Roman" w:hAnsi="Times New Roman" w:cs="Times New Roman"/>
          <w:sz w:val="36"/>
          <w:szCs w:val="36"/>
        </w:rPr>
        <w:t xml:space="preserve">Notes for </w:t>
      </w:r>
      <w:r w:rsidR="005857DC" w:rsidRPr="00BB26BC">
        <w:rPr>
          <w:rFonts w:ascii="Times New Roman" w:hAnsi="Times New Roman" w:cs="Times New Roman"/>
          <w:sz w:val="36"/>
          <w:szCs w:val="36"/>
        </w:rPr>
        <w:t xml:space="preserve">Submissions </w:t>
      </w:r>
      <w:r w:rsidR="00281FC4" w:rsidRPr="00BB26BC">
        <w:rPr>
          <w:rFonts w:ascii="Times New Roman" w:hAnsi="Times New Roman" w:cs="Times New Roman"/>
          <w:sz w:val="36"/>
          <w:szCs w:val="36"/>
        </w:rPr>
        <w:t xml:space="preserve">of </w:t>
      </w:r>
    </w:p>
    <w:p w:rsidR="00281FC4" w:rsidRPr="00BB26BC" w:rsidRDefault="00281FC4" w:rsidP="00281FC4">
      <w:pPr>
        <w:pStyle w:val="Heading1"/>
        <w:pBdr>
          <w:top w:val="single" w:sz="4" w:space="1" w:color="auto"/>
        </w:pBdr>
        <w:rPr>
          <w:rFonts w:ascii="Times New Roman" w:hAnsi="Times New Roman" w:cs="Times New Roman"/>
          <w:sz w:val="36"/>
          <w:szCs w:val="36"/>
        </w:rPr>
      </w:pPr>
      <w:r w:rsidRPr="00BB26BC">
        <w:rPr>
          <w:rFonts w:ascii="Times New Roman" w:hAnsi="Times New Roman" w:cs="Times New Roman"/>
          <w:sz w:val="36"/>
          <w:szCs w:val="36"/>
        </w:rPr>
        <w:t>Energy Probe Research Foundation</w:t>
      </w:r>
    </w:p>
    <w:p w:rsidR="00281FC4" w:rsidRPr="00E5117B" w:rsidRDefault="00281FC4" w:rsidP="00281FC4">
      <w:pPr>
        <w:pStyle w:val="Heading8"/>
        <w:pBdr>
          <w:bottom w:val="single" w:sz="4" w:space="1" w:color="auto"/>
        </w:pBdr>
        <w:jc w:val="center"/>
        <w:rPr>
          <w:rFonts w:cs="Arial"/>
          <w:sz w:val="36"/>
          <w:szCs w:val="36"/>
        </w:rPr>
      </w:pPr>
    </w:p>
    <w:p w:rsidR="00281FC4" w:rsidRDefault="00281FC4" w:rsidP="00281FC4">
      <w:pPr>
        <w:pStyle w:val="Heading8"/>
        <w:jc w:val="center"/>
        <w:rPr>
          <w:rFonts w:ascii="Times New Roman" w:hAnsi="Times New Roman"/>
          <w:sz w:val="40"/>
        </w:rPr>
      </w:pPr>
    </w:p>
    <w:p w:rsidR="00281FC4" w:rsidRDefault="00281FC4" w:rsidP="00281FC4">
      <w:pPr>
        <w:pStyle w:val="Heading8"/>
        <w:jc w:val="center"/>
        <w:rPr>
          <w:rFonts w:ascii="Times New Roman" w:hAnsi="Times New Roman"/>
          <w:sz w:val="40"/>
        </w:rPr>
      </w:pPr>
    </w:p>
    <w:p w:rsidR="00281FC4" w:rsidRDefault="00281FC4" w:rsidP="00281FC4"/>
    <w:p w:rsidR="00281FC4" w:rsidRPr="00725195" w:rsidRDefault="00281FC4" w:rsidP="00281FC4"/>
    <w:p w:rsidR="00281FC4" w:rsidRPr="00183751" w:rsidRDefault="00281FC4" w:rsidP="00281FC4"/>
    <w:p w:rsidR="00281FC4" w:rsidRPr="00725195" w:rsidRDefault="00C85228" w:rsidP="00281FC4">
      <w:pPr>
        <w:pStyle w:val="Heading8"/>
        <w:jc w:val="center"/>
        <w:rPr>
          <w:rFonts w:ascii="Times New Roman" w:hAnsi="Times New Roman"/>
          <w:sz w:val="32"/>
          <w:szCs w:val="32"/>
        </w:rPr>
      </w:pPr>
      <w:r>
        <w:rPr>
          <w:rFonts w:ascii="Times New Roman" w:hAnsi="Times New Roman"/>
          <w:sz w:val="32"/>
          <w:szCs w:val="32"/>
        </w:rPr>
        <w:t>July 14</w:t>
      </w:r>
      <w:r w:rsidR="00281FC4" w:rsidRPr="00725195">
        <w:rPr>
          <w:rFonts w:ascii="Times New Roman" w:hAnsi="Times New Roman"/>
          <w:sz w:val="32"/>
          <w:szCs w:val="32"/>
        </w:rPr>
        <w:t>, 201</w:t>
      </w:r>
      <w:r w:rsidR="004F1598">
        <w:rPr>
          <w:rFonts w:ascii="Times New Roman" w:hAnsi="Times New Roman"/>
          <w:sz w:val="32"/>
          <w:szCs w:val="32"/>
        </w:rPr>
        <w:t>6</w:t>
      </w:r>
    </w:p>
    <w:p w:rsidR="00281FC4" w:rsidRDefault="00281FC4" w:rsidP="00281FC4">
      <w:pPr>
        <w:pStyle w:val="Heading8"/>
        <w:jc w:val="center"/>
        <w:rPr>
          <w:rFonts w:ascii="Times New Roman" w:hAnsi="Times New Roman"/>
          <w:sz w:val="36"/>
          <w:szCs w:val="36"/>
        </w:rPr>
      </w:pPr>
    </w:p>
    <w:p w:rsidR="00281FC4" w:rsidRDefault="00281FC4" w:rsidP="00281FC4">
      <w:pPr>
        <w:pStyle w:val="Default"/>
      </w:pPr>
    </w:p>
    <w:p w:rsidR="00665646" w:rsidRPr="00665646" w:rsidRDefault="00281FC4" w:rsidP="00665646">
      <w:pPr>
        <w:pStyle w:val="Heading8"/>
        <w:jc w:val="center"/>
        <w:rPr>
          <w:rFonts w:cs="Arial"/>
          <w:bCs w:val="0"/>
          <w:sz w:val="28"/>
          <w:szCs w:val="28"/>
          <w:lang w:eastAsia="en-CA"/>
        </w:rPr>
      </w:pPr>
      <w:r w:rsidRPr="00EF1B3B">
        <w:rPr>
          <w:rFonts w:ascii="Times New Roman" w:hAnsi="Times New Roman"/>
          <w:sz w:val="36"/>
          <w:szCs w:val="36"/>
        </w:rPr>
        <w:br w:type="page"/>
      </w:r>
    </w:p>
    <w:p w:rsidR="00665646" w:rsidRPr="00301512" w:rsidRDefault="00665646" w:rsidP="00665646">
      <w:pPr>
        <w:pStyle w:val="ListParagraph"/>
        <w:autoSpaceDE w:val="0"/>
        <w:autoSpaceDN w:val="0"/>
        <w:adjustRightInd w:val="0"/>
        <w:rPr>
          <w:rFonts w:ascii="Arial" w:hAnsi="Arial" w:cs="Arial"/>
          <w:b/>
          <w:u w:val="single"/>
        </w:rPr>
      </w:pPr>
      <w:r w:rsidRPr="00301512">
        <w:rPr>
          <w:rFonts w:ascii="Arial" w:hAnsi="Arial" w:cs="Arial"/>
          <w:b/>
          <w:u w:val="single"/>
        </w:rPr>
        <w:lastRenderedPageBreak/>
        <w:t>Outline of Energy Probe Submissions</w:t>
      </w:r>
    </w:p>
    <w:p w:rsidR="00665646" w:rsidRPr="007A7049" w:rsidRDefault="00EA4DBC" w:rsidP="00665646">
      <w:pPr>
        <w:pStyle w:val="ListParagraph"/>
        <w:autoSpaceDE w:val="0"/>
        <w:autoSpaceDN w:val="0"/>
        <w:adjustRightInd w:val="0"/>
        <w:rPr>
          <w:rFonts w:ascii="Arial" w:hAnsi="Arial" w:cs="Arial"/>
          <w:b/>
          <w:u w:val="single"/>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7A7049">
        <w:rPr>
          <w:rFonts w:ascii="Arial" w:hAnsi="Arial" w:cs="Arial"/>
          <w:b/>
          <w:u w:val="single"/>
        </w:rPr>
        <w:t>Page</w:t>
      </w:r>
    </w:p>
    <w:p w:rsidR="00517AE4" w:rsidRDefault="00517AE4" w:rsidP="005857DC">
      <w:pPr>
        <w:pStyle w:val="ListParagraph"/>
        <w:numPr>
          <w:ilvl w:val="0"/>
          <w:numId w:val="10"/>
        </w:numPr>
        <w:autoSpaceDE w:val="0"/>
        <w:autoSpaceDN w:val="0"/>
        <w:adjustRightInd w:val="0"/>
        <w:rPr>
          <w:rFonts w:ascii="Arial" w:hAnsi="Arial" w:cs="Arial"/>
          <w:b/>
        </w:rPr>
      </w:pPr>
      <w:r w:rsidRPr="00512725">
        <w:rPr>
          <w:rFonts w:ascii="Arial" w:hAnsi="Arial" w:cs="Arial"/>
          <w:b/>
        </w:rPr>
        <w:t>Application-Relief Sought</w:t>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t>3</w:t>
      </w:r>
      <w:r w:rsidR="0077544A">
        <w:rPr>
          <w:rFonts w:ascii="Arial" w:hAnsi="Arial" w:cs="Arial"/>
          <w:b/>
        </w:rPr>
        <w:tab/>
      </w:r>
    </w:p>
    <w:p w:rsidR="00EA4DBC" w:rsidRDefault="00EA4DBC" w:rsidP="00EA4DBC">
      <w:pPr>
        <w:pStyle w:val="ListParagraph"/>
        <w:autoSpaceDE w:val="0"/>
        <w:autoSpaceDN w:val="0"/>
        <w:adjustRightInd w:val="0"/>
        <w:rPr>
          <w:rFonts w:ascii="Arial" w:hAnsi="Arial" w:cs="Arial"/>
          <w:b/>
        </w:rPr>
      </w:pPr>
      <w:r>
        <w:rPr>
          <w:rFonts w:ascii="Arial" w:hAnsi="Arial" w:cs="Arial"/>
          <w:b/>
        </w:rPr>
        <w:t>Discussion</w:t>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t>3</w:t>
      </w:r>
    </w:p>
    <w:p w:rsidR="00301512" w:rsidRPr="00512725" w:rsidRDefault="00301512" w:rsidP="00EA4DBC">
      <w:pPr>
        <w:pStyle w:val="ListParagraph"/>
        <w:autoSpaceDE w:val="0"/>
        <w:autoSpaceDN w:val="0"/>
        <w:adjustRightInd w:val="0"/>
        <w:rPr>
          <w:rFonts w:ascii="Arial" w:hAnsi="Arial" w:cs="Arial"/>
          <w:b/>
        </w:rPr>
      </w:pPr>
    </w:p>
    <w:p w:rsidR="00665646" w:rsidRDefault="00665646" w:rsidP="005857DC">
      <w:pPr>
        <w:pStyle w:val="ListParagraph"/>
        <w:numPr>
          <w:ilvl w:val="0"/>
          <w:numId w:val="10"/>
        </w:numPr>
        <w:autoSpaceDE w:val="0"/>
        <w:autoSpaceDN w:val="0"/>
        <w:adjustRightInd w:val="0"/>
        <w:rPr>
          <w:rFonts w:ascii="Arial" w:hAnsi="Arial" w:cs="Arial"/>
          <w:b/>
        </w:rPr>
      </w:pPr>
      <w:r w:rsidRPr="00512725">
        <w:rPr>
          <w:rFonts w:ascii="Arial" w:hAnsi="Arial" w:cs="Arial"/>
          <w:b/>
        </w:rPr>
        <w:t>OEB Regulatory Frameworks</w:t>
      </w:r>
      <w:r w:rsidR="00512725" w:rsidRPr="00512725">
        <w:rPr>
          <w:rFonts w:ascii="Arial" w:hAnsi="Arial" w:cs="Arial"/>
          <w:b/>
        </w:rPr>
        <w:t xml:space="preserve"> </w:t>
      </w:r>
      <w:r w:rsidR="00EA4DBC">
        <w:rPr>
          <w:rFonts w:ascii="Arial" w:hAnsi="Arial" w:cs="Arial"/>
          <w:b/>
        </w:rPr>
        <w:t>–</w:t>
      </w:r>
      <w:r w:rsidR="00512725" w:rsidRPr="00512725">
        <w:rPr>
          <w:rFonts w:ascii="Arial" w:hAnsi="Arial" w:cs="Arial"/>
          <w:b/>
        </w:rPr>
        <w:t xml:space="preserve"> Transmission</w:t>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t>3</w:t>
      </w:r>
    </w:p>
    <w:p w:rsidR="00EA4DBC" w:rsidRDefault="00EA4DBC" w:rsidP="00EA4DBC">
      <w:pPr>
        <w:pStyle w:val="ListParagraph"/>
        <w:autoSpaceDE w:val="0"/>
        <w:autoSpaceDN w:val="0"/>
        <w:adjustRightInd w:val="0"/>
        <w:rPr>
          <w:rFonts w:ascii="Arial" w:hAnsi="Arial" w:cs="Arial"/>
          <w:b/>
        </w:rPr>
      </w:pPr>
      <w:r>
        <w:rPr>
          <w:rFonts w:ascii="Arial" w:hAnsi="Arial" w:cs="Arial"/>
          <w:b/>
        </w:rPr>
        <w:t>Discussion</w:t>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3D0F34">
        <w:rPr>
          <w:rFonts w:ascii="Arial" w:hAnsi="Arial" w:cs="Arial"/>
          <w:b/>
        </w:rPr>
        <w:t>5</w:t>
      </w:r>
    </w:p>
    <w:p w:rsidR="00301512" w:rsidRPr="00512725" w:rsidRDefault="00301512" w:rsidP="00EA4DBC">
      <w:pPr>
        <w:pStyle w:val="ListParagraph"/>
        <w:autoSpaceDE w:val="0"/>
        <w:autoSpaceDN w:val="0"/>
        <w:adjustRightInd w:val="0"/>
        <w:rPr>
          <w:rFonts w:ascii="Arial" w:hAnsi="Arial" w:cs="Arial"/>
          <w:b/>
        </w:rPr>
      </w:pPr>
    </w:p>
    <w:p w:rsidR="00665646" w:rsidRDefault="00665646" w:rsidP="005857DC">
      <w:pPr>
        <w:pStyle w:val="ListParagraph"/>
        <w:numPr>
          <w:ilvl w:val="0"/>
          <w:numId w:val="10"/>
        </w:numPr>
        <w:autoSpaceDE w:val="0"/>
        <w:autoSpaceDN w:val="0"/>
        <w:adjustRightInd w:val="0"/>
        <w:rPr>
          <w:rFonts w:ascii="Arial" w:hAnsi="Arial" w:cs="Arial"/>
          <w:b/>
        </w:rPr>
      </w:pPr>
      <w:r w:rsidRPr="00512725">
        <w:rPr>
          <w:rFonts w:ascii="Arial" w:hAnsi="Arial" w:cs="Arial"/>
          <w:b/>
        </w:rPr>
        <w:t>Public Interest –</w:t>
      </w:r>
      <w:r w:rsidR="00930CA4">
        <w:rPr>
          <w:rFonts w:ascii="Arial" w:hAnsi="Arial" w:cs="Arial"/>
          <w:b/>
        </w:rPr>
        <w:t>N</w:t>
      </w:r>
      <w:r w:rsidRPr="00512725">
        <w:rPr>
          <w:rFonts w:ascii="Arial" w:hAnsi="Arial" w:cs="Arial"/>
          <w:b/>
        </w:rPr>
        <w:t>o Harm Test</w:t>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3D0F34">
        <w:rPr>
          <w:rFonts w:ascii="Arial" w:hAnsi="Arial" w:cs="Arial"/>
          <w:b/>
        </w:rPr>
        <w:t>6</w:t>
      </w:r>
    </w:p>
    <w:p w:rsidR="00EA4DBC" w:rsidRDefault="00EA4DBC" w:rsidP="00EA4DBC">
      <w:pPr>
        <w:pStyle w:val="ListParagraph"/>
        <w:autoSpaceDE w:val="0"/>
        <w:autoSpaceDN w:val="0"/>
        <w:adjustRightInd w:val="0"/>
        <w:rPr>
          <w:rFonts w:ascii="Arial" w:hAnsi="Arial" w:cs="Arial"/>
          <w:b/>
        </w:rPr>
      </w:pPr>
      <w:r>
        <w:rPr>
          <w:rFonts w:ascii="Arial" w:hAnsi="Arial" w:cs="Arial"/>
          <w:b/>
        </w:rPr>
        <w:t>Discussion</w:t>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t>7</w:t>
      </w:r>
    </w:p>
    <w:p w:rsidR="00301512" w:rsidRPr="00EA4DBC" w:rsidRDefault="00301512" w:rsidP="00EA4DBC">
      <w:pPr>
        <w:pStyle w:val="ListParagraph"/>
        <w:autoSpaceDE w:val="0"/>
        <w:autoSpaceDN w:val="0"/>
        <w:adjustRightInd w:val="0"/>
        <w:rPr>
          <w:rFonts w:ascii="Arial" w:hAnsi="Arial" w:cs="Arial"/>
          <w:b/>
        </w:rPr>
      </w:pPr>
    </w:p>
    <w:p w:rsidR="00EA4DBC" w:rsidRDefault="00EA4DBC" w:rsidP="00EA4DBC">
      <w:pPr>
        <w:pStyle w:val="ListParagraph"/>
        <w:numPr>
          <w:ilvl w:val="0"/>
          <w:numId w:val="10"/>
        </w:numPr>
        <w:autoSpaceDE w:val="0"/>
        <w:autoSpaceDN w:val="0"/>
        <w:adjustRightInd w:val="0"/>
        <w:rPr>
          <w:rFonts w:ascii="Arial" w:hAnsi="Arial" w:cs="Arial"/>
          <w:b/>
        </w:rPr>
      </w:pPr>
      <w:r w:rsidRPr="00512725">
        <w:rPr>
          <w:rFonts w:ascii="Arial" w:hAnsi="Arial" w:cs="Arial"/>
          <w:b/>
        </w:rPr>
        <w:t>Rate Setting Proposal for GLPT</w:t>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t>7</w:t>
      </w:r>
    </w:p>
    <w:p w:rsidR="00EA4DBC" w:rsidRDefault="00EA4DBC" w:rsidP="00EA4DBC">
      <w:pPr>
        <w:pStyle w:val="ListParagraph"/>
        <w:autoSpaceDE w:val="0"/>
        <w:autoSpaceDN w:val="0"/>
        <w:adjustRightInd w:val="0"/>
        <w:rPr>
          <w:rFonts w:ascii="Arial" w:hAnsi="Arial" w:cs="Arial"/>
          <w:b/>
        </w:rPr>
      </w:pPr>
      <w:r>
        <w:rPr>
          <w:rFonts w:ascii="Arial" w:hAnsi="Arial" w:cs="Arial"/>
          <w:b/>
        </w:rPr>
        <w:t>Discussion</w:t>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t>9</w:t>
      </w:r>
    </w:p>
    <w:p w:rsidR="00301512" w:rsidRPr="00512725" w:rsidRDefault="00301512" w:rsidP="00EA4DBC">
      <w:pPr>
        <w:pStyle w:val="ListParagraph"/>
        <w:autoSpaceDE w:val="0"/>
        <w:autoSpaceDN w:val="0"/>
        <w:adjustRightInd w:val="0"/>
        <w:rPr>
          <w:rFonts w:ascii="Arial" w:hAnsi="Arial" w:cs="Arial"/>
          <w:b/>
        </w:rPr>
      </w:pPr>
    </w:p>
    <w:p w:rsidR="00EA4DBC" w:rsidRPr="00EA4DBC" w:rsidRDefault="00EA4DBC" w:rsidP="00EA4DBC">
      <w:pPr>
        <w:pStyle w:val="ListParagraph"/>
        <w:numPr>
          <w:ilvl w:val="0"/>
          <w:numId w:val="10"/>
        </w:numPr>
        <w:autoSpaceDE w:val="0"/>
        <w:autoSpaceDN w:val="0"/>
        <w:adjustRightInd w:val="0"/>
        <w:rPr>
          <w:rFonts w:ascii="Arial" w:hAnsi="Arial" w:cs="Arial"/>
          <w:b/>
        </w:rPr>
      </w:pPr>
      <w:r w:rsidRPr="00EA4DBC">
        <w:rPr>
          <w:rFonts w:ascii="Arial" w:hAnsi="Arial" w:cs="Arial"/>
          <w:b/>
          <w:bCs/>
        </w:rPr>
        <w:t xml:space="preserve">Hydro One Evidence on Reliability, Productivity and Cost Savings </w:t>
      </w:r>
      <w:r w:rsidR="0077544A">
        <w:rPr>
          <w:rFonts w:ascii="Arial" w:hAnsi="Arial" w:cs="Arial"/>
          <w:b/>
          <w:bCs/>
        </w:rPr>
        <w:tab/>
        <w:t>9</w:t>
      </w:r>
    </w:p>
    <w:p w:rsidR="00EA4DBC" w:rsidRDefault="00EA4DBC" w:rsidP="00EA4DBC">
      <w:pPr>
        <w:autoSpaceDE w:val="0"/>
        <w:autoSpaceDN w:val="0"/>
        <w:adjustRightInd w:val="0"/>
        <w:ind w:left="360" w:firstLine="360"/>
        <w:rPr>
          <w:rFonts w:ascii="Arial" w:hAnsi="Arial" w:cs="Arial"/>
          <w:b/>
        </w:rPr>
      </w:pPr>
      <w:r>
        <w:rPr>
          <w:rFonts w:ascii="Arial" w:hAnsi="Arial" w:cs="Arial"/>
          <w:b/>
        </w:rPr>
        <w:t>Discussion</w:t>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t>10/11</w:t>
      </w:r>
    </w:p>
    <w:p w:rsidR="00301512" w:rsidRPr="00EA4DBC" w:rsidRDefault="00301512" w:rsidP="00EA4DBC">
      <w:pPr>
        <w:autoSpaceDE w:val="0"/>
        <w:autoSpaceDN w:val="0"/>
        <w:adjustRightInd w:val="0"/>
        <w:ind w:left="360" w:firstLine="360"/>
        <w:rPr>
          <w:rFonts w:ascii="Arial" w:hAnsi="Arial" w:cs="Arial"/>
          <w:b/>
        </w:rPr>
      </w:pPr>
    </w:p>
    <w:p w:rsidR="00665646" w:rsidRDefault="00665646" w:rsidP="005857DC">
      <w:pPr>
        <w:pStyle w:val="ListParagraph"/>
        <w:numPr>
          <w:ilvl w:val="0"/>
          <w:numId w:val="10"/>
        </w:numPr>
        <w:autoSpaceDE w:val="0"/>
        <w:autoSpaceDN w:val="0"/>
        <w:adjustRightInd w:val="0"/>
        <w:rPr>
          <w:rFonts w:ascii="Arial" w:hAnsi="Arial" w:cs="Arial"/>
          <w:b/>
        </w:rPr>
      </w:pPr>
      <w:r w:rsidRPr="00512725">
        <w:rPr>
          <w:rFonts w:ascii="Arial" w:hAnsi="Arial" w:cs="Arial"/>
          <w:b/>
        </w:rPr>
        <w:t>Rate Outlook 2019-2027</w:t>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t>11</w:t>
      </w:r>
      <w:r w:rsidR="0077544A">
        <w:rPr>
          <w:rFonts w:ascii="Arial" w:hAnsi="Arial" w:cs="Arial"/>
          <w:b/>
        </w:rPr>
        <w:tab/>
      </w:r>
    </w:p>
    <w:p w:rsidR="00EA4DBC" w:rsidRDefault="00EA4DBC" w:rsidP="00EA4DBC">
      <w:pPr>
        <w:pStyle w:val="ListParagraph"/>
        <w:autoSpaceDE w:val="0"/>
        <w:autoSpaceDN w:val="0"/>
        <w:adjustRightInd w:val="0"/>
        <w:rPr>
          <w:rFonts w:ascii="Arial" w:hAnsi="Arial" w:cs="Arial"/>
          <w:b/>
        </w:rPr>
      </w:pPr>
      <w:r>
        <w:rPr>
          <w:rFonts w:ascii="Arial" w:hAnsi="Arial" w:cs="Arial"/>
          <w:b/>
        </w:rPr>
        <w:t>Discussion</w:t>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t>12</w:t>
      </w:r>
    </w:p>
    <w:p w:rsidR="00301512" w:rsidRDefault="00301512" w:rsidP="00EA4DBC">
      <w:pPr>
        <w:pStyle w:val="ListParagraph"/>
        <w:autoSpaceDE w:val="0"/>
        <w:autoSpaceDN w:val="0"/>
        <w:adjustRightInd w:val="0"/>
        <w:rPr>
          <w:rFonts w:ascii="Arial" w:hAnsi="Arial" w:cs="Arial"/>
          <w:b/>
        </w:rPr>
      </w:pPr>
    </w:p>
    <w:p w:rsidR="00665646" w:rsidRDefault="00301512" w:rsidP="00854EB7">
      <w:pPr>
        <w:pStyle w:val="ListParagraph"/>
        <w:numPr>
          <w:ilvl w:val="0"/>
          <w:numId w:val="10"/>
        </w:numPr>
        <w:autoSpaceDE w:val="0"/>
        <w:autoSpaceDN w:val="0"/>
        <w:adjustRightInd w:val="0"/>
        <w:rPr>
          <w:rFonts w:ascii="Arial" w:hAnsi="Arial" w:cs="Arial"/>
          <w:b/>
        </w:rPr>
      </w:pPr>
      <w:r>
        <w:rPr>
          <w:rFonts w:ascii="Arial" w:hAnsi="Arial" w:cs="Arial"/>
          <w:b/>
        </w:rPr>
        <w:t xml:space="preserve">Comments on </w:t>
      </w:r>
      <w:r w:rsidR="00854EB7" w:rsidRPr="00512725">
        <w:rPr>
          <w:rFonts w:ascii="Arial" w:hAnsi="Arial" w:cs="Arial"/>
          <w:b/>
        </w:rPr>
        <w:t>Hydro One GLPT AIC Conclusions</w:t>
      </w:r>
      <w:r w:rsidR="0077544A">
        <w:rPr>
          <w:rFonts w:ascii="Arial" w:hAnsi="Arial" w:cs="Arial"/>
          <w:b/>
        </w:rPr>
        <w:tab/>
      </w:r>
      <w:r w:rsidR="0077544A">
        <w:rPr>
          <w:rFonts w:ascii="Arial" w:hAnsi="Arial" w:cs="Arial"/>
          <w:b/>
        </w:rPr>
        <w:tab/>
      </w:r>
      <w:r w:rsidR="0077544A">
        <w:rPr>
          <w:rFonts w:ascii="Arial" w:hAnsi="Arial" w:cs="Arial"/>
          <w:b/>
        </w:rPr>
        <w:tab/>
      </w:r>
      <w:r w:rsidR="0077544A">
        <w:rPr>
          <w:rFonts w:ascii="Arial" w:hAnsi="Arial" w:cs="Arial"/>
          <w:b/>
        </w:rPr>
        <w:tab/>
        <w:t>12/13</w:t>
      </w:r>
    </w:p>
    <w:p w:rsidR="00301512" w:rsidRDefault="00301512" w:rsidP="00301512">
      <w:pPr>
        <w:pStyle w:val="ListParagraph"/>
        <w:autoSpaceDE w:val="0"/>
        <w:autoSpaceDN w:val="0"/>
        <w:adjustRightInd w:val="0"/>
        <w:rPr>
          <w:rFonts w:ascii="Arial" w:hAnsi="Arial" w:cs="Arial"/>
          <w:b/>
        </w:rPr>
      </w:pPr>
    </w:p>
    <w:p w:rsidR="00301512" w:rsidRPr="00301512" w:rsidRDefault="00301512" w:rsidP="00301512">
      <w:pPr>
        <w:pStyle w:val="ListParagraph"/>
        <w:numPr>
          <w:ilvl w:val="0"/>
          <w:numId w:val="10"/>
        </w:numPr>
        <w:spacing w:after="200" w:line="276" w:lineRule="auto"/>
        <w:rPr>
          <w:rFonts w:ascii="Arial" w:hAnsi="Arial" w:cs="Arial"/>
          <w:b/>
          <w:bCs/>
          <w:i/>
        </w:rPr>
      </w:pPr>
      <w:r w:rsidRPr="00301512">
        <w:rPr>
          <w:rFonts w:ascii="Arial" w:hAnsi="Arial" w:cs="Arial"/>
          <w:b/>
          <w:bCs/>
          <w:i/>
        </w:rPr>
        <w:t>Conclusions and Recommendations</w:t>
      </w:r>
      <w:r w:rsidR="0077544A">
        <w:rPr>
          <w:rFonts w:ascii="Arial" w:hAnsi="Arial" w:cs="Arial"/>
          <w:b/>
          <w:bCs/>
          <w:i/>
        </w:rPr>
        <w:tab/>
      </w:r>
      <w:r w:rsidR="0077544A">
        <w:rPr>
          <w:rFonts w:ascii="Arial" w:hAnsi="Arial" w:cs="Arial"/>
          <w:b/>
          <w:bCs/>
          <w:i/>
        </w:rPr>
        <w:tab/>
      </w:r>
      <w:r w:rsidR="0077544A">
        <w:rPr>
          <w:rFonts w:ascii="Arial" w:hAnsi="Arial" w:cs="Arial"/>
          <w:b/>
          <w:bCs/>
          <w:i/>
        </w:rPr>
        <w:tab/>
      </w:r>
      <w:r w:rsidR="0077544A">
        <w:rPr>
          <w:rFonts w:ascii="Arial" w:hAnsi="Arial" w:cs="Arial"/>
          <w:b/>
          <w:bCs/>
          <w:i/>
        </w:rPr>
        <w:tab/>
      </w:r>
      <w:r w:rsidR="0077544A">
        <w:rPr>
          <w:rFonts w:ascii="Arial" w:hAnsi="Arial" w:cs="Arial"/>
          <w:b/>
          <w:bCs/>
          <w:i/>
        </w:rPr>
        <w:tab/>
      </w:r>
      <w:r w:rsidR="0077544A">
        <w:rPr>
          <w:rFonts w:ascii="Arial" w:hAnsi="Arial" w:cs="Arial"/>
          <w:b/>
          <w:bCs/>
          <w:i/>
        </w:rPr>
        <w:tab/>
        <w:t>13</w:t>
      </w:r>
      <w:r w:rsidR="009A6845">
        <w:rPr>
          <w:rFonts w:ascii="Arial" w:hAnsi="Arial" w:cs="Arial"/>
          <w:b/>
          <w:bCs/>
          <w:i/>
        </w:rPr>
        <w:t>-15</w:t>
      </w:r>
    </w:p>
    <w:p w:rsidR="00301512" w:rsidRPr="00512725" w:rsidRDefault="00301512" w:rsidP="00301512">
      <w:pPr>
        <w:pStyle w:val="ListParagraph"/>
        <w:autoSpaceDE w:val="0"/>
        <w:autoSpaceDN w:val="0"/>
        <w:adjustRightInd w:val="0"/>
        <w:rPr>
          <w:rFonts w:ascii="Arial" w:hAnsi="Arial" w:cs="Arial"/>
          <w:b/>
        </w:rPr>
      </w:pPr>
    </w:p>
    <w:p w:rsidR="00854EB7" w:rsidRDefault="00854EB7" w:rsidP="00854EB7">
      <w:pPr>
        <w:autoSpaceDE w:val="0"/>
        <w:autoSpaceDN w:val="0"/>
        <w:adjustRightInd w:val="0"/>
        <w:rPr>
          <w:rFonts w:ascii="Arial" w:hAnsi="Arial" w:cs="Arial"/>
          <w:b/>
        </w:rPr>
      </w:pPr>
    </w:p>
    <w:p w:rsidR="0090702E" w:rsidRDefault="0090702E">
      <w:pPr>
        <w:spacing w:after="200" w:line="276" w:lineRule="auto"/>
        <w:rPr>
          <w:rFonts w:ascii="Arial" w:hAnsi="Arial" w:cs="Arial"/>
          <w:b/>
        </w:rPr>
      </w:pPr>
    </w:p>
    <w:p w:rsidR="00301512" w:rsidRDefault="00301512">
      <w:pPr>
        <w:spacing w:after="200" w:line="276" w:lineRule="auto"/>
        <w:rPr>
          <w:rFonts w:ascii="Arial" w:hAnsi="Arial" w:cs="Arial"/>
          <w:b/>
        </w:rPr>
      </w:pPr>
      <w:r>
        <w:rPr>
          <w:rFonts w:ascii="Arial" w:hAnsi="Arial" w:cs="Arial"/>
          <w:b/>
        </w:rPr>
        <w:br w:type="page"/>
      </w:r>
    </w:p>
    <w:p w:rsidR="0090702E" w:rsidRDefault="0090702E">
      <w:pPr>
        <w:spacing w:after="200" w:line="276" w:lineRule="auto"/>
        <w:rPr>
          <w:rFonts w:ascii="Arial" w:hAnsi="Arial" w:cs="Arial"/>
          <w:b/>
        </w:rPr>
      </w:pPr>
    </w:p>
    <w:p w:rsidR="00517AE4" w:rsidRPr="00512725" w:rsidRDefault="00517AE4" w:rsidP="00517AE4">
      <w:pPr>
        <w:pStyle w:val="ListParagraph"/>
        <w:numPr>
          <w:ilvl w:val="0"/>
          <w:numId w:val="7"/>
        </w:numPr>
        <w:autoSpaceDE w:val="0"/>
        <w:autoSpaceDN w:val="0"/>
        <w:adjustRightInd w:val="0"/>
        <w:rPr>
          <w:rFonts w:ascii="Arial" w:hAnsi="Arial" w:cs="Arial"/>
          <w:b/>
        </w:rPr>
      </w:pPr>
      <w:r w:rsidRPr="00512725">
        <w:rPr>
          <w:rFonts w:ascii="Arial" w:hAnsi="Arial" w:cs="Arial"/>
          <w:b/>
        </w:rPr>
        <w:t>Application-Relief Sought</w:t>
      </w:r>
    </w:p>
    <w:p w:rsidR="00517AE4" w:rsidRPr="00512725" w:rsidRDefault="00517AE4" w:rsidP="00517AE4">
      <w:pPr>
        <w:autoSpaceDE w:val="0"/>
        <w:autoSpaceDN w:val="0"/>
        <w:adjustRightInd w:val="0"/>
        <w:rPr>
          <w:rFonts w:ascii="Arial" w:hAnsi="Arial" w:cs="Arial"/>
          <w:b/>
        </w:rPr>
      </w:pPr>
    </w:p>
    <w:p w:rsidR="005857DC" w:rsidRPr="00512725" w:rsidRDefault="005857DC" w:rsidP="005059BF">
      <w:pPr>
        <w:tabs>
          <w:tab w:val="left" w:pos="567"/>
        </w:tabs>
        <w:autoSpaceDE w:val="0"/>
        <w:autoSpaceDN w:val="0"/>
        <w:adjustRightInd w:val="0"/>
        <w:rPr>
          <w:rFonts w:ascii="Arial" w:hAnsi="Arial" w:cs="Arial"/>
        </w:rPr>
      </w:pPr>
      <w:r w:rsidRPr="00512725">
        <w:rPr>
          <w:rFonts w:ascii="Arial" w:hAnsi="Arial" w:cs="Arial"/>
        </w:rPr>
        <w:t xml:space="preserve">1.1 </w:t>
      </w:r>
      <w:r w:rsidR="005059BF">
        <w:rPr>
          <w:rFonts w:ascii="Arial" w:hAnsi="Arial" w:cs="Arial"/>
        </w:rPr>
        <w:tab/>
      </w:r>
      <w:r w:rsidRPr="00512725">
        <w:rPr>
          <w:rFonts w:ascii="Arial" w:hAnsi="Arial" w:cs="Arial"/>
        </w:rPr>
        <w:t xml:space="preserve">Hydro One Transmission requests the following </w:t>
      </w:r>
    </w:p>
    <w:p w:rsidR="00932305" w:rsidRPr="00512725" w:rsidRDefault="00932305" w:rsidP="005857DC">
      <w:pPr>
        <w:autoSpaceDE w:val="0"/>
        <w:autoSpaceDN w:val="0"/>
        <w:adjustRightInd w:val="0"/>
        <w:ind w:left="720"/>
        <w:rPr>
          <w:rFonts w:ascii="Arial" w:hAnsi="Arial" w:cs="Arial"/>
        </w:rPr>
      </w:pPr>
      <w:r w:rsidRPr="00512725">
        <w:rPr>
          <w:rFonts w:ascii="Arial" w:hAnsi="Arial" w:cs="Arial"/>
        </w:rPr>
        <w:t>1. In accordance with section 86(2)</w:t>
      </w:r>
      <w:r w:rsidR="005059BF">
        <w:rPr>
          <w:rFonts w:ascii="Arial" w:hAnsi="Arial" w:cs="Arial"/>
        </w:rPr>
        <w:t xml:space="preserve"> </w:t>
      </w:r>
      <w:r w:rsidRPr="00512725">
        <w:rPr>
          <w:rFonts w:ascii="Arial" w:hAnsi="Arial" w:cs="Arial"/>
        </w:rPr>
        <w:t>(b) of the Act:</w:t>
      </w:r>
    </w:p>
    <w:p w:rsidR="00932305" w:rsidRPr="00512725" w:rsidRDefault="00932305" w:rsidP="005857DC">
      <w:pPr>
        <w:autoSpaceDE w:val="0"/>
        <w:autoSpaceDN w:val="0"/>
        <w:adjustRightInd w:val="0"/>
        <w:ind w:left="720"/>
        <w:rPr>
          <w:rFonts w:ascii="Arial" w:hAnsi="Arial" w:cs="Arial"/>
        </w:rPr>
      </w:pPr>
      <w:r w:rsidRPr="00512725">
        <w:rPr>
          <w:rFonts w:ascii="Arial" w:hAnsi="Arial" w:cs="Arial"/>
          <w:sz w:val="16"/>
          <w:szCs w:val="16"/>
        </w:rPr>
        <w:t xml:space="preserve"> </w:t>
      </w:r>
      <w:r w:rsidRPr="00512725">
        <w:rPr>
          <w:rFonts w:ascii="Arial" w:hAnsi="Arial" w:cs="Arial"/>
        </w:rPr>
        <w:t>a. Leave to purchase all outstanding voting securities of GLPT.</w:t>
      </w:r>
    </w:p>
    <w:p w:rsidR="00932305" w:rsidRPr="00512725" w:rsidRDefault="00932305" w:rsidP="005857DC">
      <w:pPr>
        <w:autoSpaceDE w:val="0"/>
        <w:autoSpaceDN w:val="0"/>
        <w:adjustRightInd w:val="0"/>
        <w:ind w:left="720"/>
        <w:rPr>
          <w:rFonts w:ascii="Arial" w:hAnsi="Arial" w:cs="Arial"/>
        </w:rPr>
      </w:pPr>
      <w:r w:rsidRPr="00512725">
        <w:rPr>
          <w:rFonts w:ascii="Arial" w:hAnsi="Arial" w:cs="Arial"/>
          <w:sz w:val="16"/>
          <w:szCs w:val="16"/>
        </w:rPr>
        <w:t xml:space="preserve"> </w:t>
      </w:r>
      <w:r w:rsidRPr="00512725">
        <w:rPr>
          <w:rFonts w:ascii="Arial" w:hAnsi="Arial" w:cs="Arial"/>
        </w:rPr>
        <w:t>b. Acceptance of the proposed rate rebasing deferral period</w:t>
      </w:r>
    </w:p>
    <w:p w:rsidR="00932305" w:rsidRPr="00512725" w:rsidRDefault="00932305" w:rsidP="005857DC">
      <w:pPr>
        <w:autoSpaceDE w:val="0"/>
        <w:autoSpaceDN w:val="0"/>
        <w:adjustRightInd w:val="0"/>
        <w:ind w:left="720"/>
        <w:rPr>
          <w:rFonts w:ascii="Arial" w:hAnsi="Arial" w:cs="Arial"/>
        </w:rPr>
      </w:pPr>
      <w:r w:rsidRPr="00512725">
        <w:rPr>
          <w:rFonts w:ascii="Arial" w:hAnsi="Arial" w:cs="Arial"/>
          <w:sz w:val="16"/>
          <w:szCs w:val="16"/>
        </w:rPr>
        <w:t xml:space="preserve"> </w:t>
      </w:r>
      <w:r w:rsidRPr="00512725">
        <w:rPr>
          <w:rFonts w:ascii="Arial" w:hAnsi="Arial" w:cs="Arial"/>
        </w:rPr>
        <w:t>c. Acceptance of the proposed earnings sharing mechanism</w:t>
      </w:r>
    </w:p>
    <w:p w:rsidR="00517AE4" w:rsidRPr="00512725" w:rsidRDefault="005059BF" w:rsidP="005059BF">
      <w:pPr>
        <w:tabs>
          <w:tab w:val="left" w:pos="709"/>
        </w:tabs>
        <w:autoSpaceDE w:val="0"/>
        <w:autoSpaceDN w:val="0"/>
        <w:adjustRightInd w:val="0"/>
        <w:ind w:left="993" w:hanging="273"/>
        <w:rPr>
          <w:rFonts w:ascii="Arial" w:hAnsi="Arial" w:cs="Arial"/>
          <w:b/>
        </w:rPr>
      </w:pPr>
      <w:r>
        <w:rPr>
          <w:rFonts w:ascii="Arial" w:hAnsi="Arial" w:cs="Arial"/>
        </w:rPr>
        <w:t xml:space="preserve"> </w:t>
      </w:r>
      <w:r w:rsidR="00932305" w:rsidRPr="00512725">
        <w:rPr>
          <w:rFonts w:ascii="Arial" w:hAnsi="Arial" w:cs="Arial"/>
        </w:rPr>
        <w:t>d. Acceptance of the proposed methodology to calculate GLPT’s 2019 revenue</w:t>
      </w:r>
      <w:r>
        <w:rPr>
          <w:rFonts w:ascii="Arial" w:hAnsi="Arial" w:cs="Arial"/>
        </w:rPr>
        <w:t xml:space="preserve"> </w:t>
      </w:r>
      <w:r w:rsidR="00932305" w:rsidRPr="00512725">
        <w:rPr>
          <w:rFonts w:ascii="Arial" w:hAnsi="Arial" w:cs="Arial"/>
        </w:rPr>
        <w:t>requirement and for each subsequent year during the rate rebasing deferral period</w:t>
      </w:r>
    </w:p>
    <w:p w:rsidR="00517AE4" w:rsidRPr="00512725" w:rsidRDefault="00517AE4" w:rsidP="005857DC">
      <w:pPr>
        <w:autoSpaceDE w:val="0"/>
        <w:autoSpaceDN w:val="0"/>
        <w:adjustRightInd w:val="0"/>
        <w:ind w:left="720"/>
        <w:rPr>
          <w:rFonts w:ascii="Arial" w:hAnsi="Arial" w:cs="Arial"/>
          <w:b/>
        </w:rPr>
      </w:pPr>
    </w:p>
    <w:p w:rsidR="005857DC" w:rsidRPr="00512725" w:rsidRDefault="005857DC" w:rsidP="00932305">
      <w:pPr>
        <w:pStyle w:val="ListParagraph"/>
        <w:autoSpaceDE w:val="0"/>
        <w:autoSpaceDN w:val="0"/>
        <w:adjustRightInd w:val="0"/>
        <w:ind w:left="0"/>
        <w:rPr>
          <w:rFonts w:ascii="Arial" w:hAnsi="Arial" w:cs="Arial"/>
          <w:b/>
        </w:rPr>
      </w:pPr>
      <w:r w:rsidRPr="00512725">
        <w:rPr>
          <w:rFonts w:ascii="Arial" w:hAnsi="Arial" w:cs="Arial"/>
          <w:b/>
        </w:rPr>
        <w:t>Discussion</w:t>
      </w:r>
    </w:p>
    <w:p w:rsidR="00854EB7" w:rsidRPr="00512725" w:rsidRDefault="00854EB7" w:rsidP="00932305">
      <w:pPr>
        <w:pStyle w:val="ListParagraph"/>
        <w:autoSpaceDE w:val="0"/>
        <w:autoSpaceDN w:val="0"/>
        <w:adjustRightInd w:val="0"/>
        <w:ind w:left="0"/>
        <w:rPr>
          <w:rFonts w:ascii="Arial" w:hAnsi="Arial" w:cs="Arial"/>
          <w:b/>
        </w:rPr>
      </w:pPr>
    </w:p>
    <w:p w:rsidR="00517AE4" w:rsidRPr="00512725" w:rsidRDefault="00932305" w:rsidP="00932305">
      <w:pPr>
        <w:pStyle w:val="ListParagraph"/>
        <w:autoSpaceDE w:val="0"/>
        <w:autoSpaceDN w:val="0"/>
        <w:adjustRightInd w:val="0"/>
        <w:ind w:left="0"/>
        <w:rPr>
          <w:rFonts w:ascii="Arial" w:hAnsi="Arial" w:cs="Arial"/>
          <w:b/>
        </w:rPr>
      </w:pPr>
      <w:r w:rsidRPr="00512725">
        <w:rPr>
          <w:rFonts w:ascii="Arial" w:hAnsi="Arial" w:cs="Arial"/>
          <w:b/>
        </w:rPr>
        <w:t>W</w:t>
      </w:r>
      <w:r w:rsidR="00CC0824" w:rsidRPr="00512725">
        <w:rPr>
          <w:rFonts w:ascii="Arial" w:hAnsi="Arial" w:cs="Arial"/>
          <w:b/>
        </w:rPr>
        <w:t>e</w:t>
      </w:r>
      <w:r w:rsidRPr="00512725">
        <w:rPr>
          <w:rFonts w:ascii="Arial" w:hAnsi="Arial" w:cs="Arial"/>
          <w:b/>
        </w:rPr>
        <w:t xml:space="preserve"> will have submissions on items b, c, and d and also on the rate-setting </w:t>
      </w:r>
      <w:r w:rsidR="00854EB7" w:rsidRPr="00512725">
        <w:rPr>
          <w:rFonts w:ascii="Arial" w:hAnsi="Arial" w:cs="Arial"/>
          <w:b/>
        </w:rPr>
        <w:t xml:space="preserve">methodology </w:t>
      </w:r>
      <w:r w:rsidRPr="00512725">
        <w:rPr>
          <w:rFonts w:ascii="Arial" w:hAnsi="Arial" w:cs="Arial"/>
          <w:b/>
        </w:rPr>
        <w:t xml:space="preserve">starting with </w:t>
      </w:r>
      <w:r w:rsidR="00CC0824" w:rsidRPr="00512725">
        <w:rPr>
          <w:rFonts w:ascii="Arial" w:hAnsi="Arial" w:cs="Arial"/>
          <w:b/>
        </w:rPr>
        <w:t xml:space="preserve">the </w:t>
      </w:r>
      <w:r w:rsidR="00CF70E2">
        <w:rPr>
          <w:rFonts w:ascii="Arial" w:hAnsi="Arial" w:cs="Arial"/>
          <w:b/>
        </w:rPr>
        <w:t xml:space="preserve">planned </w:t>
      </w:r>
      <w:r w:rsidR="00C57A46">
        <w:rPr>
          <w:rFonts w:ascii="Arial" w:hAnsi="Arial" w:cs="Arial"/>
          <w:b/>
        </w:rPr>
        <w:t xml:space="preserve">GLPT </w:t>
      </w:r>
      <w:r w:rsidR="00CC0824" w:rsidRPr="00512725">
        <w:rPr>
          <w:rFonts w:ascii="Arial" w:hAnsi="Arial" w:cs="Arial"/>
          <w:b/>
        </w:rPr>
        <w:t>2017/18 C</w:t>
      </w:r>
      <w:r w:rsidRPr="00512725">
        <w:rPr>
          <w:rFonts w:ascii="Arial" w:hAnsi="Arial" w:cs="Arial"/>
          <w:b/>
        </w:rPr>
        <w:t xml:space="preserve">ost of </w:t>
      </w:r>
      <w:r w:rsidR="00CC0824" w:rsidRPr="00512725">
        <w:rPr>
          <w:rFonts w:ascii="Arial" w:hAnsi="Arial" w:cs="Arial"/>
          <w:b/>
        </w:rPr>
        <w:t>S</w:t>
      </w:r>
      <w:r w:rsidRPr="00512725">
        <w:rPr>
          <w:rFonts w:ascii="Arial" w:hAnsi="Arial" w:cs="Arial"/>
          <w:b/>
        </w:rPr>
        <w:t xml:space="preserve">ervice </w:t>
      </w:r>
      <w:r w:rsidR="00CC0824" w:rsidRPr="00512725">
        <w:rPr>
          <w:rFonts w:ascii="Arial" w:hAnsi="Arial" w:cs="Arial"/>
          <w:b/>
        </w:rPr>
        <w:t xml:space="preserve">application </w:t>
      </w:r>
      <w:r w:rsidRPr="00512725">
        <w:rPr>
          <w:rFonts w:ascii="Arial" w:hAnsi="Arial" w:cs="Arial"/>
          <w:b/>
        </w:rPr>
        <w:t>followed</w:t>
      </w:r>
      <w:r w:rsidR="00CC0824" w:rsidRPr="00512725">
        <w:rPr>
          <w:rFonts w:ascii="Arial" w:hAnsi="Arial" w:cs="Arial"/>
          <w:b/>
        </w:rPr>
        <w:t xml:space="preserve"> by an indexing of the Revenue R</w:t>
      </w:r>
      <w:r w:rsidRPr="00512725">
        <w:rPr>
          <w:rFonts w:ascii="Arial" w:hAnsi="Arial" w:cs="Arial"/>
          <w:b/>
        </w:rPr>
        <w:t xml:space="preserve">equirement </w:t>
      </w:r>
      <w:r w:rsidR="00CC0824" w:rsidRPr="00512725">
        <w:rPr>
          <w:rFonts w:ascii="Arial" w:hAnsi="Arial" w:cs="Arial"/>
          <w:b/>
        </w:rPr>
        <w:t>for 2019 forward.</w:t>
      </w:r>
    </w:p>
    <w:p w:rsidR="00932305" w:rsidRPr="00512725" w:rsidRDefault="00932305" w:rsidP="00932305">
      <w:pPr>
        <w:pStyle w:val="ListParagraph"/>
        <w:autoSpaceDE w:val="0"/>
        <w:autoSpaceDN w:val="0"/>
        <w:adjustRightInd w:val="0"/>
        <w:ind w:left="0"/>
        <w:rPr>
          <w:rFonts w:ascii="Arial" w:hAnsi="Arial" w:cs="Arial"/>
          <w:b/>
        </w:rPr>
      </w:pPr>
    </w:p>
    <w:p w:rsidR="00854EB7" w:rsidRPr="00512725" w:rsidRDefault="00854EB7" w:rsidP="00854EB7">
      <w:pPr>
        <w:autoSpaceDE w:val="0"/>
        <w:autoSpaceDN w:val="0"/>
        <w:adjustRightInd w:val="0"/>
        <w:rPr>
          <w:rFonts w:ascii="Arial" w:hAnsi="Arial" w:cs="Arial"/>
          <w:b/>
        </w:rPr>
      </w:pPr>
      <w:r w:rsidRPr="00512725">
        <w:rPr>
          <w:rFonts w:ascii="Arial" w:hAnsi="Arial" w:cs="Arial"/>
          <w:b/>
        </w:rPr>
        <w:t xml:space="preserve">We will not make any submissions regarding the Financial </w:t>
      </w:r>
      <w:r w:rsidR="00C57A46">
        <w:rPr>
          <w:rFonts w:ascii="Arial" w:hAnsi="Arial" w:cs="Arial"/>
          <w:b/>
        </w:rPr>
        <w:t>a</w:t>
      </w:r>
      <w:r w:rsidRPr="00512725">
        <w:rPr>
          <w:rFonts w:ascii="Arial" w:hAnsi="Arial" w:cs="Arial"/>
          <w:b/>
        </w:rPr>
        <w:t xml:space="preserve">spects of the Transaction between Hydro One and Great Lakes Power and their affiliates. </w:t>
      </w:r>
    </w:p>
    <w:p w:rsidR="00854EB7" w:rsidRPr="00512725" w:rsidRDefault="00854EB7" w:rsidP="00854EB7">
      <w:pPr>
        <w:autoSpaceDE w:val="0"/>
        <w:autoSpaceDN w:val="0"/>
        <w:adjustRightInd w:val="0"/>
        <w:rPr>
          <w:rFonts w:ascii="Arial" w:hAnsi="Arial" w:cs="Arial"/>
          <w:b/>
        </w:rPr>
      </w:pPr>
      <w:r w:rsidRPr="00512725">
        <w:rPr>
          <w:rFonts w:ascii="Arial" w:hAnsi="Arial" w:cs="Arial"/>
          <w:b/>
        </w:rPr>
        <w:t xml:space="preserve">This is because both Hydro One and Great Lakes Power indicate that any incremental costs related to the Acquisition will not, now, or in future, be </w:t>
      </w:r>
      <w:r w:rsidR="00301512">
        <w:rPr>
          <w:rFonts w:ascii="Arial" w:hAnsi="Arial" w:cs="Arial"/>
          <w:b/>
        </w:rPr>
        <w:t xml:space="preserve">(directly) </w:t>
      </w:r>
      <w:r w:rsidRPr="00512725">
        <w:rPr>
          <w:rFonts w:ascii="Arial" w:hAnsi="Arial" w:cs="Arial"/>
          <w:b/>
        </w:rPr>
        <w:t xml:space="preserve">recovered from Ratepayers </w:t>
      </w:r>
    </w:p>
    <w:p w:rsidR="00854EB7" w:rsidRPr="00512725" w:rsidRDefault="00854EB7" w:rsidP="00932305">
      <w:pPr>
        <w:pStyle w:val="ListParagraph"/>
        <w:autoSpaceDE w:val="0"/>
        <w:autoSpaceDN w:val="0"/>
        <w:adjustRightInd w:val="0"/>
        <w:ind w:left="0"/>
        <w:rPr>
          <w:rFonts w:ascii="Arial" w:hAnsi="Arial" w:cs="Arial"/>
          <w:b/>
        </w:rPr>
      </w:pPr>
    </w:p>
    <w:p w:rsidR="00932305" w:rsidRPr="00512725" w:rsidRDefault="00932305" w:rsidP="00932305">
      <w:pPr>
        <w:pStyle w:val="ListParagraph"/>
        <w:autoSpaceDE w:val="0"/>
        <w:autoSpaceDN w:val="0"/>
        <w:adjustRightInd w:val="0"/>
        <w:ind w:left="0"/>
        <w:rPr>
          <w:rFonts w:ascii="Arial" w:hAnsi="Arial" w:cs="Arial"/>
          <w:b/>
        </w:rPr>
      </w:pPr>
      <w:r w:rsidRPr="00512725">
        <w:rPr>
          <w:rFonts w:ascii="Arial" w:hAnsi="Arial" w:cs="Arial"/>
          <w:b/>
        </w:rPr>
        <w:t xml:space="preserve">The </w:t>
      </w:r>
      <w:r w:rsidR="005059BF" w:rsidRPr="00512725">
        <w:rPr>
          <w:rFonts w:ascii="Arial" w:hAnsi="Arial" w:cs="Arial"/>
          <w:b/>
        </w:rPr>
        <w:t>context for the Application</w:t>
      </w:r>
      <w:r w:rsidR="005059BF">
        <w:rPr>
          <w:rFonts w:ascii="Arial" w:hAnsi="Arial" w:cs="Arial"/>
          <w:b/>
        </w:rPr>
        <w:t xml:space="preserve"> </w:t>
      </w:r>
      <w:r w:rsidR="005059BF" w:rsidRPr="00512725">
        <w:rPr>
          <w:rFonts w:ascii="Arial" w:hAnsi="Arial" w:cs="Arial"/>
          <w:b/>
        </w:rPr>
        <w:t>and for our submissions is</w:t>
      </w:r>
      <w:r w:rsidR="00CC0824" w:rsidRPr="00512725">
        <w:rPr>
          <w:rFonts w:ascii="Arial" w:hAnsi="Arial" w:cs="Arial"/>
          <w:b/>
        </w:rPr>
        <w:t xml:space="preserve"> the applicable OEB R</w:t>
      </w:r>
      <w:r w:rsidRPr="00512725">
        <w:rPr>
          <w:rFonts w:ascii="Arial" w:hAnsi="Arial" w:cs="Arial"/>
          <w:b/>
        </w:rPr>
        <w:t>egulatory Frameworks</w:t>
      </w:r>
      <w:r w:rsidR="000810E9">
        <w:rPr>
          <w:rFonts w:ascii="Arial" w:hAnsi="Arial" w:cs="Arial"/>
          <w:b/>
        </w:rPr>
        <w:t xml:space="preserve"> as applicable to Transmission</w:t>
      </w:r>
      <w:r w:rsidRPr="00512725">
        <w:rPr>
          <w:rFonts w:ascii="Arial" w:hAnsi="Arial" w:cs="Arial"/>
          <w:b/>
        </w:rPr>
        <w:t>.</w:t>
      </w:r>
    </w:p>
    <w:p w:rsidR="00267D4F" w:rsidRPr="00512725" w:rsidRDefault="00267D4F" w:rsidP="00932305">
      <w:pPr>
        <w:pStyle w:val="ListParagraph"/>
        <w:autoSpaceDE w:val="0"/>
        <w:autoSpaceDN w:val="0"/>
        <w:adjustRightInd w:val="0"/>
        <w:ind w:left="0"/>
        <w:rPr>
          <w:rFonts w:ascii="Arial" w:hAnsi="Arial" w:cs="Arial"/>
          <w:b/>
        </w:rPr>
      </w:pPr>
    </w:p>
    <w:p w:rsidR="00932305" w:rsidRPr="00512725" w:rsidRDefault="00932305" w:rsidP="00932305">
      <w:pPr>
        <w:pStyle w:val="ListParagraph"/>
        <w:autoSpaceDE w:val="0"/>
        <w:autoSpaceDN w:val="0"/>
        <w:adjustRightInd w:val="0"/>
        <w:ind w:left="0"/>
        <w:rPr>
          <w:rFonts w:ascii="Arial" w:hAnsi="Arial" w:cs="Arial"/>
          <w:b/>
        </w:rPr>
      </w:pPr>
      <w:r w:rsidRPr="00512725">
        <w:rPr>
          <w:rFonts w:ascii="Arial" w:hAnsi="Arial" w:cs="Arial"/>
          <w:b/>
        </w:rPr>
        <w:t xml:space="preserve"> </w:t>
      </w:r>
    </w:p>
    <w:p w:rsidR="00D81E8C" w:rsidRPr="00512725" w:rsidRDefault="00D81E8C" w:rsidP="00517AE4">
      <w:pPr>
        <w:pStyle w:val="ListParagraph"/>
        <w:numPr>
          <w:ilvl w:val="0"/>
          <w:numId w:val="7"/>
        </w:numPr>
        <w:autoSpaceDE w:val="0"/>
        <w:autoSpaceDN w:val="0"/>
        <w:adjustRightInd w:val="0"/>
        <w:rPr>
          <w:rFonts w:ascii="Arial" w:hAnsi="Arial" w:cs="Arial"/>
          <w:b/>
        </w:rPr>
      </w:pPr>
      <w:r w:rsidRPr="00512725">
        <w:rPr>
          <w:rFonts w:ascii="Arial" w:hAnsi="Arial" w:cs="Arial"/>
          <w:b/>
        </w:rPr>
        <w:t>OEB Regulatory Frameworks</w:t>
      </w:r>
      <w:r w:rsidR="00512725" w:rsidRPr="00512725">
        <w:rPr>
          <w:rFonts w:ascii="Arial" w:hAnsi="Arial" w:cs="Arial"/>
          <w:b/>
        </w:rPr>
        <w:t xml:space="preserve"> - Transmission</w:t>
      </w:r>
    </w:p>
    <w:p w:rsidR="00F86D09" w:rsidRPr="00512725" w:rsidRDefault="00F86D09" w:rsidP="00887F1F">
      <w:pPr>
        <w:autoSpaceDE w:val="0"/>
        <w:autoSpaceDN w:val="0"/>
        <w:adjustRightInd w:val="0"/>
        <w:rPr>
          <w:rFonts w:ascii="Arial" w:hAnsi="Arial" w:cs="Arial"/>
        </w:rPr>
      </w:pPr>
    </w:p>
    <w:p w:rsidR="00887F1F" w:rsidRPr="00512725" w:rsidRDefault="00517AE4" w:rsidP="00B25903">
      <w:pPr>
        <w:tabs>
          <w:tab w:val="left" w:pos="567"/>
        </w:tabs>
        <w:autoSpaceDE w:val="0"/>
        <w:autoSpaceDN w:val="0"/>
        <w:adjustRightInd w:val="0"/>
        <w:rPr>
          <w:rFonts w:ascii="Arial" w:hAnsi="Arial" w:cs="Arial"/>
          <w:i/>
          <w:iCs/>
        </w:rPr>
      </w:pPr>
      <w:r w:rsidRPr="00512725">
        <w:rPr>
          <w:rFonts w:ascii="Arial" w:hAnsi="Arial" w:cs="Arial"/>
        </w:rPr>
        <w:t>2</w:t>
      </w:r>
      <w:r w:rsidR="004B42E7" w:rsidRPr="00512725">
        <w:rPr>
          <w:rFonts w:ascii="Arial" w:hAnsi="Arial" w:cs="Arial"/>
        </w:rPr>
        <w:t xml:space="preserve">.1 </w:t>
      </w:r>
      <w:r w:rsidR="00B25903">
        <w:rPr>
          <w:rFonts w:ascii="Arial" w:hAnsi="Arial" w:cs="Arial"/>
        </w:rPr>
        <w:tab/>
      </w:r>
      <w:r w:rsidR="00887F1F" w:rsidRPr="00512725">
        <w:rPr>
          <w:rFonts w:ascii="Arial" w:hAnsi="Arial" w:cs="Arial"/>
        </w:rPr>
        <w:t xml:space="preserve">HOI’s </w:t>
      </w:r>
      <w:r w:rsidR="00AB4B06" w:rsidRPr="00512725">
        <w:rPr>
          <w:rFonts w:ascii="Arial" w:hAnsi="Arial" w:cs="Arial"/>
        </w:rPr>
        <w:t>A</w:t>
      </w:r>
      <w:r w:rsidR="00887F1F" w:rsidRPr="00512725">
        <w:rPr>
          <w:rFonts w:ascii="Arial" w:hAnsi="Arial" w:cs="Arial"/>
        </w:rPr>
        <w:t xml:space="preserve">pplication has been prepared to comply with the Board’s new </w:t>
      </w:r>
      <w:r w:rsidR="00887F1F" w:rsidRPr="00512725">
        <w:rPr>
          <w:rFonts w:ascii="Arial" w:hAnsi="Arial" w:cs="Arial"/>
          <w:i/>
          <w:iCs/>
        </w:rPr>
        <w:t>Handbook to</w:t>
      </w:r>
    </w:p>
    <w:p w:rsidR="00887F1F" w:rsidRDefault="00887F1F" w:rsidP="00887F1F">
      <w:pPr>
        <w:autoSpaceDE w:val="0"/>
        <w:autoSpaceDN w:val="0"/>
        <w:adjustRightInd w:val="0"/>
        <w:rPr>
          <w:rFonts w:ascii="Arial" w:hAnsi="Arial" w:cs="Arial"/>
        </w:rPr>
      </w:pPr>
      <w:r w:rsidRPr="00512725">
        <w:rPr>
          <w:rFonts w:ascii="Arial" w:hAnsi="Arial" w:cs="Arial"/>
          <w:i/>
          <w:iCs/>
        </w:rPr>
        <w:t xml:space="preserve">Electricity Distributor and Transmitter Consolidations </w:t>
      </w:r>
      <w:r w:rsidRPr="00512725">
        <w:rPr>
          <w:rFonts w:ascii="Arial" w:hAnsi="Arial" w:cs="Arial"/>
        </w:rPr>
        <w:t xml:space="preserve">(“Handbook”) dated January19, 2016. </w:t>
      </w:r>
      <w:r w:rsidR="00FF6A50" w:rsidRPr="00512725">
        <w:rPr>
          <w:rFonts w:ascii="Arial" w:hAnsi="Arial" w:cs="Arial"/>
        </w:rPr>
        <w:t xml:space="preserve"> </w:t>
      </w:r>
      <w:r w:rsidRPr="00512725">
        <w:rPr>
          <w:rFonts w:ascii="Arial" w:hAnsi="Arial" w:cs="Arial"/>
        </w:rPr>
        <w:t>In so doing, HOI notes among other things, it was mindful of the language found at page 11 which notes that rate-setting following a consolidation will not be addressed in an</w:t>
      </w:r>
      <w:r w:rsidR="00AE7D46">
        <w:rPr>
          <w:rFonts w:ascii="Arial" w:hAnsi="Arial" w:cs="Arial"/>
        </w:rPr>
        <w:t xml:space="preserve"> </w:t>
      </w:r>
      <w:r w:rsidRPr="00512725">
        <w:rPr>
          <w:rFonts w:ascii="Arial" w:hAnsi="Arial" w:cs="Arial"/>
        </w:rPr>
        <w:t>application for approval of a consolidation transaction, unless there is a rate proposal</w:t>
      </w:r>
      <w:r w:rsidR="00AE7D46">
        <w:rPr>
          <w:rFonts w:ascii="Arial" w:hAnsi="Arial" w:cs="Arial"/>
        </w:rPr>
        <w:t xml:space="preserve"> </w:t>
      </w:r>
      <w:r w:rsidRPr="00512725">
        <w:rPr>
          <w:rFonts w:ascii="Arial" w:hAnsi="Arial" w:cs="Arial"/>
        </w:rPr>
        <w:t>that is an integral aspect of the consolidation</w:t>
      </w:r>
      <w:r w:rsidR="00AE7D46">
        <w:rPr>
          <w:rStyle w:val="FootnoteReference"/>
          <w:rFonts w:ascii="Arial" w:hAnsi="Arial" w:cs="Arial"/>
        </w:rPr>
        <w:footnoteReference w:id="1"/>
      </w:r>
      <w:r w:rsidRPr="00512725">
        <w:rPr>
          <w:rFonts w:ascii="Arial" w:hAnsi="Arial" w:cs="Arial"/>
        </w:rPr>
        <w:t xml:space="preserve">. </w:t>
      </w:r>
    </w:p>
    <w:p w:rsidR="00CF70E2" w:rsidRDefault="00CF70E2" w:rsidP="00887F1F">
      <w:pPr>
        <w:autoSpaceDE w:val="0"/>
        <w:autoSpaceDN w:val="0"/>
        <w:adjustRightInd w:val="0"/>
        <w:rPr>
          <w:rFonts w:ascii="Arial" w:hAnsi="Arial" w:cs="Arial"/>
        </w:rPr>
      </w:pPr>
    </w:p>
    <w:p w:rsidR="00887F1F" w:rsidRDefault="00DC4121" w:rsidP="00B25903">
      <w:pPr>
        <w:tabs>
          <w:tab w:val="left" w:pos="567"/>
        </w:tabs>
        <w:autoSpaceDE w:val="0"/>
        <w:autoSpaceDN w:val="0"/>
        <w:adjustRightInd w:val="0"/>
        <w:rPr>
          <w:rFonts w:ascii="Arial" w:hAnsi="Arial" w:cs="Arial"/>
          <w:b/>
          <w:i/>
          <w:sz w:val="22"/>
          <w:szCs w:val="22"/>
        </w:rPr>
      </w:pPr>
      <w:r w:rsidRPr="00966B0F">
        <w:rPr>
          <w:rFonts w:ascii="Arial" w:hAnsi="Arial" w:cs="Arial"/>
          <w:sz w:val="22"/>
          <w:szCs w:val="22"/>
        </w:rPr>
        <w:t xml:space="preserve">2.2 </w:t>
      </w:r>
      <w:r w:rsidR="00B25903">
        <w:rPr>
          <w:rFonts w:ascii="Arial" w:hAnsi="Arial" w:cs="Arial"/>
          <w:sz w:val="22"/>
          <w:szCs w:val="22"/>
        </w:rPr>
        <w:tab/>
      </w:r>
      <w:r w:rsidR="00887F1F" w:rsidRPr="00966B0F">
        <w:rPr>
          <w:rFonts w:ascii="Arial" w:hAnsi="Arial" w:cs="Arial"/>
          <w:sz w:val="22"/>
          <w:szCs w:val="22"/>
        </w:rPr>
        <w:t>The Application also addresses rate</w:t>
      </w:r>
      <w:r w:rsidR="00665646" w:rsidRPr="00966B0F">
        <w:rPr>
          <w:rFonts w:ascii="Arial" w:hAnsi="Arial" w:cs="Arial"/>
          <w:sz w:val="22"/>
          <w:szCs w:val="22"/>
        </w:rPr>
        <w:t>-setting</w:t>
      </w:r>
      <w:r w:rsidR="00887F1F" w:rsidRPr="00966B0F">
        <w:rPr>
          <w:rFonts w:ascii="Arial" w:hAnsi="Arial" w:cs="Arial"/>
          <w:sz w:val="22"/>
          <w:szCs w:val="22"/>
        </w:rPr>
        <w:t xml:space="preserve"> considerations in the context of the </w:t>
      </w:r>
      <w:r w:rsidR="00887F1F" w:rsidRPr="00966B0F">
        <w:rPr>
          <w:rFonts w:ascii="Arial" w:hAnsi="Arial" w:cs="Arial"/>
          <w:b/>
          <w:i/>
          <w:sz w:val="22"/>
          <w:szCs w:val="22"/>
        </w:rPr>
        <w:t xml:space="preserve">Filing Requirements for Electricity Transmitters </w:t>
      </w:r>
      <w:r w:rsidR="00CC0824" w:rsidRPr="00966B0F">
        <w:rPr>
          <w:rFonts w:ascii="Arial" w:hAnsi="Arial" w:cs="Arial"/>
          <w:b/>
          <w:i/>
          <w:sz w:val="22"/>
          <w:szCs w:val="22"/>
        </w:rPr>
        <w:t xml:space="preserve">dated </w:t>
      </w:r>
      <w:r w:rsidR="00966B0F" w:rsidRPr="00966B0F">
        <w:rPr>
          <w:rFonts w:ascii="Arial" w:hAnsi="Arial" w:cs="Arial"/>
          <w:b/>
          <w:i/>
          <w:sz w:val="22"/>
          <w:szCs w:val="22"/>
        </w:rPr>
        <w:t>February 11</w:t>
      </w:r>
      <w:r w:rsidR="00CC0824" w:rsidRPr="00966B0F">
        <w:rPr>
          <w:rFonts w:ascii="Arial" w:hAnsi="Arial" w:cs="Arial"/>
          <w:b/>
          <w:i/>
          <w:sz w:val="22"/>
          <w:szCs w:val="22"/>
        </w:rPr>
        <w:t>,</w:t>
      </w:r>
      <w:r w:rsidR="00887F1F" w:rsidRPr="00966B0F">
        <w:rPr>
          <w:rFonts w:ascii="Arial" w:hAnsi="Arial" w:cs="Arial"/>
          <w:b/>
          <w:i/>
          <w:sz w:val="22"/>
          <w:szCs w:val="22"/>
        </w:rPr>
        <w:t xml:space="preserve"> 2016.</w:t>
      </w:r>
    </w:p>
    <w:p w:rsidR="006B171B" w:rsidRDefault="006B171B" w:rsidP="00887F1F">
      <w:pPr>
        <w:autoSpaceDE w:val="0"/>
        <w:autoSpaceDN w:val="0"/>
        <w:adjustRightInd w:val="0"/>
        <w:rPr>
          <w:rFonts w:ascii="Arial" w:hAnsi="Arial" w:cs="Arial"/>
          <w:b/>
          <w:i/>
          <w:sz w:val="22"/>
          <w:szCs w:val="22"/>
        </w:rPr>
      </w:pPr>
    </w:p>
    <w:p w:rsidR="006B171B" w:rsidRPr="006B171B" w:rsidRDefault="006B171B" w:rsidP="00B25903">
      <w:pPr>
        <w:pStyle w:val="Default"/>
        <w:tabs>
          <w:tab w:val="left" w:pos="567"/>
        </w:tabs>
        <w:rPr>
          <w:rFonts w:eastAsia="Times New Roman"/>
          <w:sz w:val="23"/>
          <w:szCs w:val="23"/>
          <w:lang w:val="en-CA" w:eastAsia="en-US"/>
        </w:rPr>
      </w:pPr>
      <w:r w:rsidRPr="006B171B">
        <w:rPr>
          <w:sz w:val="22"/>
          <w:szCs w:val="22"/>
        </w:rPr>
        <w:t>2.3</w:t>
      </w:r>
      <w:r>
        <w:rPr>
          <w:sz w:val="22"/>
          <w:szCs w:val="22"/>
        </w:rPr>
        <w:t xml:space="preserve"> </w:t>
      </w:r>
      <w:r w:rsidR="00B25903">
        <w:rPr>
          <w:sz w:val="22"/>
          <w:szCs w:val="22"/>
        </w:rPr>
        <w:tab/>
      </w:r>
      <w:r>
        <w:rPr>
          <w:sz w:val="22"/>
          <w:szCs w:val="22"/>
        </w:rPr>
        <w:t xml:space="preserve">The </w:t>
      </w:r>
      <w:r w:rsidR="00A86579">
        <w:rPr>
          <w:sz w:val="22"/>
          <w:szCs w:val="22"/>
        </w:rPr>
        <w:t xml:space="preserve">Filing </w:t>
      </w:r>
      <w:r>
        <w:rPr>
          <w:sz w:val="22"/>
          <w:szCs w:val="22"/>
        </w:rPr>
        <w:t xml:space="preserve">Guidelines allow for an initial two year Cost of Service Application to be followed by </w:t>
      </w:r>
      <w:r>
        <w:rPr>
          <w:sz w:val="23"/>
          <w:szCs w:val="23"/>
        </w:rPr>
        <w:t>a Custom IR or Revenue Cap index Plan</w:t>
      </w:r>
      <w:r>
        <w:rPr>
          <w:rStyle w:val="FootnoteReference"/>
          <w:sz w:val="23"/>
          <w:szCs w:val="23"/>
        </w:rPr>
        <w:footnoteReference w:id="2"/>
      </w:r>
      <w:r>
        <w:rPr>
          <w:sz w:val="23"/>
          <w:szCs w:val="23"/>
        </w:rPr>
        <w:t xml:space="preserve">. </w:t>
      </w:r>
      <w:r w:rsidRPr="006B171B">
        <w:rPr>
          <w:rFonts w:eastAsia="Times New Roman"/>
          <w:sz w:val="23"/>
          <w:szCs w:val="23"/>
          <w:lang w:val="en-CA" w:eastAsia="en-US"/>
        </w:rPr>
        <w:t xml:space="preserve">The OEB will nevertheless expect two elements of the RRFE policy to begin to be incorporated into all applications for </w:t>
      </w:r>
      <w:r w:rsidRPr="006B171B">
        <w:rPr>
          <w:rFonts w:eastAsia="Times New Roman"/>
          <w:sz w:val="23"/>
          <w:szCs w:val="23"/>
          <w:lang w:val="en-CA" w:eastAsia="en-US"/>
        </w:rPr>
        <w:lastRenderedPageBreak/>
        <w:t xml:space="preserve">transmission revenue requirements: enhanced reporting on customer </w:t>
      </w:r>
      <w:r w:rsidR="005059BF" w:rsidRPr="006B171B">
        <w:rPr>
          <w:rFonts w:eastAsia="Times New Roman"/>
          <w:sz w:val="23"/>
          <w:szCs w:val="23"/>
          <w:lang w:val="en-CA" w:eastAsia="en-US"/>
        </w:rPr>
        <w:t>engagement</w:t>
      </w:r>
      <w:r w:rsidRPr="006B171B">
        <w:rPr>
          <w:rFonts w:eastAsia="Times New Roman"/>
          <w:sz w:val="23"/>
          <w:szCs w:val="23"/>
          <w:lang w:val="en-CA" w:eastAsia="en-US"/>
        </w:rPr>
        <w:t xml:space="preserve"> and a proposed scorecard to measure performance. Performance monitoring and reporting are key elements in moving towards an outcomes-based regulatory framework. </w:t>
      </w:r>
    </w:p>
    <w:p w:rsidR="006B171B" w:rsidRPr="006B171B" w:rsidRDefault="006B171B" w:rsidP="006B171B">
      <w:pPr>
        <w:autoSpaceDE w:val="0"/>
        <w:autoSpaceDN w:val="0"/>
        <w:adjustRightInd w:val="0"/>
        <w:rPr>
          <w:rFonts w:ascii="Arial" w:hAnsi="Arial" w:cs="Arial"/>
          <w:sz w:val="22"/>
          <w:szCs w:val="22"/>
        </w:rPr>
      </w:pPr>
      <w:r w:rsidRPr="006B171B">
        <w:rPr>
          <w:rFonts w:ascii="Arial" w:hAnsi="Arial" w:cs="Arial"/>
          <w:color w:val="000000"/>
          <w:sz w:val="23"/>
          <w:szCs w:val="23"/>
        </w:rPr>
        <w:t>In addition, the OEB will require evidence on asset condition, planning and prioritization of capital expenditures to be presented in a Transmission System Plan, consolidated into a dedicated exhibit in the application.</w:t>
      </w:r>
    </w:p>
    <w:p w:rsidR="00FD1E1E" w:rsidRPr="00512725" w:rsidRDefault="00FD1E1E" w:rsidP="00887F1F">
      <w:pPr>
        <w:autoSpaceDE w:val="0"/>
        <w:autoSpaceDN w:val="0"/>
        <w:adjustRightInd w:val="0"/>
        <w:rPr>
          <w:rFonts w:ascii="Arial" w:hAnsi="Arial" w:cs="Arial"/>
          <w:b/>
          <w:i/>
        </w:rPr>
      </w:pPr>
    </w:p>
    <w:p w:rsidR="00FD1E1E" w:rsidRPr="00512725" w:rsidRDefault="00DC4121" w:rsidP="00B25903">
      <w:pPr>
        <w:tabs>
          <w:tab w:val="left" w:pos="567"/>
        </w:tabs>
        <w:autoSpaceDE w:val="0"/>
        <w:autoSpaceDN w:val="0"/>
        <w:adjustRightInd w:val="0"/>
        <w:rPr>
          <w:rFonts w:ascii="Arial" w:hAnsi="Arial" w:cs="Arial"/>
        </w:rPr>
      </w:pPr>
      <w:r w:rsidRPr="00512725">
        <w:rPr>
          <w:rFonts w:ascii="Arial" w:hAnsi="Arial" w:cs="Arial"/>
        </w:rPr>
        <w:t>2.</w:t>
      </w:r>
      <w:r w:rsidR="006B171B">
        <w:rPr>
          <w:rFonts w:ascii="Arial" w:hAnsi="Arial" w:cs="Arial"/>
        </w:rPr>
        <w:t>4</w:t>
      </w:r>
      <w:r w:rsidRPr="00512725">
        <w:rPr>
          <w:rFonts w:ascii="Arial" w:hAnsi="Arial" w:cs="Arial"/>
        </w:rPr>
        <w:t xml:space="preserve"> </w:t>
      </w:r>
      <w:r w:rsidR="00B25903">
        <w:rPr>
          <w:rFonts w:ascii="Arial" w:hAnsi="Arial" w:cs="Arial"/>
        </w:rPr>
        <w:tab/>
      </w:r>
      <w:r w:rsidR="00CC0824" w:rsidRPr="00512725">
        <w:rPr>
          <w:rFonts w:ascii="Arial" w:hAnsi="Arial" w:cs="Arial"/>
        </w:rPr>
        <w:t>Board Staff has asked about the conformity of the Application</w:t>
      </w:r>
      <w:r w:rsidR="00C4583A">
        <w:rPr>
          <w:rFonts w:ascii="Arial" w:hAnsi="Arial" w:cs="Arial"/>
        </w:rPr>
        <w:t xml:space="preserve"> to the new Guidelines</w:t>
      </w:r>
      <w:r w:rsidR="00AE7D46">
        <w:rPr>
          <w:rStyle w:val="FootnoteReference"/>
          <w:rFonts w:ascii="Arial" w:hAnsi="Arial" w:cs="Arial"/>
        </w:rPr>
        <w:footnoteReference w:id="3"/>
      </w:r>
      <w:r w:rsidR="00C4583A">
        <w:rPr>
          <w:rFonts w:ascii="Arial" w:hAnsi="Arial" w:cs="Arial"/>
        </w:rPr>
        <w:t>.</w:t>
      </w:r>
    </w:p>
    <w:p w:rsidR="00FD1E1E" w:rsidRPr="00512725" w:rsidRDefault="00FD1E1E" w:rsidP="00FD1E1E">
      <w:pPr>
        <w:autoSpaceDE w:val="0"/>
        <w:autoSpaceDN w:val="0"/>
        <w:adjustRightInd w:val="0"/>
        <w:rPr>
          <w:rFonts w:ascii="Arial" w:hAnsi="Arial" w:cs="Arial"/>
          <w:b/>
          <w:i/>
        </w:rPr>
      </w:pPr>
      <w:r w:rsidRPr="00512725">
        <w:rPr>
          <w:rFonts w:ascii="Arial" w:hAnsi="Arial" w:cs="Arial"/>
        </w:rPr>
        <w:t>The Filing Requirements set out two new transmission revenue plan options. One of these</w:t>
      </w:r>
      <w:r w:rsidR="00966B0F">
        <w:rPr>
          <w:rFonts w:ascii="Arial" w:hAnsi="Arial" w:cs="Arial"/>
        </w:rPr>
        <w:t xml:space="preserve"> </w:t>
      </w:r>
      <w:r w:rsidRPr="00512725">
        <w:rPr>
          <w:rFonts w:ascii="Arial" w:hAnsi="Arial" w:cs="Arial"/>
        </w:rPr>
        <w:t>is an incentive-based revenue index plan of five years, comprising an initial application to</w:t>
      </w:r>
      <w:r w:rsidR="00AE7D46">
        <w:rPr>
          <w:rFonts w:ascii="Arial" w:hAnsi="Arial" w:cs="Arial"/>
        </w:rPr>
        <w:t xml:space="preserve"> </w:t>
      </w:r>
      <w:r w:rsidRPr="00512725">
        <w:rPr>
          <w:rFonts w:ascii="Arial" w:hAnsi="Arial" w:cs="Arial"/>
        </w:rPr>
        <w:t xml:space="preserve">establish a revenue requirement </w:t>
      </w:r>
      <w:r w:rsidRPr="005246FC">
        <w:rPr>
          <w:rFonts w:ascii="Arial" w:hAnsi="Arial" w:cs="Arial"/>
          <w:b/>
          <w:i/>
        </w:rPr>
        <w:t>based on a single test year cost of service application</w:t>
      </w:r>
      <w:r w:rsidRPr="00512725">
        <w:rPr>
          <w:rFonts w:ascii="Arial" w:hAnsi="Arial" w:cs="Arial"/>
        </w:rPr>
        <w:t>,</w:t>
      </w:r>
      <w:r w:rsidR="00966B0F">
        <w:rPr>
          <w:rFonts w:ascii="Arial" w:hAnsi="Arial" w:cs="Arial"/>
        </w:rPr>
        <w:t xml:space="preserve"> </w:t>
      </w:r>
      <w:r w:rsidRPr="00512725">
        <w:rPr>
          <w:rFonts w:ascii="Arial" w:hAnsi="Arial" w:cs="Arial"/>
        </w:rPr>
        <w:t>followed by incentive-based and indexed adjustments to revenue requirement for the</w:t>
      </w:r>
      <w:r w:rsidR="00AE7D46">
        <w:rPr>
          <w:rFonts w:ascii="Arial" w:hAnsi="Arial" w:cs="Arial"/>
        </w:rPr>
        <w:t xml:space="preserve"> </w:t>
      </w:r>
      <w:r w:rsidRPr="00512725">
        <w:rPr>
          <w:rFonts w:ascii="Arial" w:hAnsi="Arial" w:cs="Arial"/>
        </w:rPr>
        <w:t>balance of the term. Analogous to a Price Cap for distributors, this “Revenue Cap index”</w:t>
      </w:r>
      <w:r w:rsidR="00966B0F">
        <w:rPr>
          <w:rFonts w:ascii="Arial" w:hAnsi="Arial" w:cs="Arial"/>
        </w:rPr>
        <w:t xml:space="preserve"> </w:t>
      </w:r>
      <w:r w:rsidRPr="00512725">
        <w:rPr>
          <w:rFonts w:ascii="Arial" w:hAnsi="Arial" w:cs="Arial"/>
        </w:rPr>
        <w:t>approach includes expectations for the development of an index, as well as productivity</w:t>
      </w:r>
      <w:r w:rsidR="005246FC">
        <w:rPr>
          <w:rFonts w:ascii="Arial" w:hAnsi="Arial" w:cs="Arial"/>
        </w:rPr>
        <w:t xml:space="preserve"> </w:t>
      </w:r>
      <w:r w:rsidRPr="00512725">
        <w:rPr>
          <w:rFonts w:ascii="Arial" w:hAnsi="Arial" w:cs="Arial"/>
        </w:rPr>
        <w:t xml:space="preserve">and stretch commitments. The OEB invites transmitters to propose </w:t>
      </w:r>
      <w:r w:rsidRPr="005246FC">
        <w:rPr>
          <w:rFonts w:ascii="Arial" w:hAnsi="Arial" w:cs="Arial"/>
          <w:b/>
          <w:i/>
        </w:rPr>
        <w:t>and substantiate</w:t>
      </w:r>
      <w:r w:rsidRPr="00512725">
        <w:rPr>
          <w:rFonts w:ascii="Arial" w:hAnsi="Arial" w:cs="Arial"/>
        </w:rPr>
        <w:t xml:space="preserve"> the</w:t>
      </w:r>
      <w:r w:rsidR="005246FC">
        <w:rPr>
          <w:rFonts w:ascii="Arial" w:hAnsi="Arial" w:cs="Arial"/>
        </w:rPr>
        <w:t xml:space="preserve"> </w:t>
      </w:r>
      <w:r w:rsidRPr="00512725">
        <w:rPr>
          <w:rFonts w:ascii="Arial" w:hAnsi="Arial" w:cs="Arial"/>
        </w:rPr>
        <w:t>appropriate method and commitments for these elements.</w:t>
      </w:r>
    </w:p>
    <w:p w:rsidR="00887F1F" w:rsidRPr="00512725" w:rsidRDefault="00887F1F" w:rsidP="00887F1F">
      <w:pPr>
        <w:autoSpaceDE w:val="0"/>
        <w:autoSpaceDN w:val="0"/>
        <w:adjustRightInd w:val="0"/>
        <w:rPr>
          <w:rFonts w:ascii="Arial" w:hAnsi="Arial" w:cs="Arial"/>
          <w:b/>
          <w:i/>
        </w:rPr>
      </w:pPr>
    </w:p>
    <w:p w:rsidR="00FD1E1E" w:rsidRPr="00512725" w:rsidRDefault="00DC4121" w:rsidP="00B25903">
      <w:pPr>
        <w:tabs>
          <w:tab w:val="left" w:pos="567"/>
        </w:tabs>
        <w:autoSpaceDE w:val="0"/>
        <w:autoSpaceDN w:val="0"/>
        <w:adjustRightInd w:val="0"/>
        <w:rPr>
          <w:rFonts w:ascii="Arial" w:hAnsi="Arial" w:cs="Arial"/>
        </w:rPr>
      </w:pPr>
      <w:r w:rsidRPr="00512725">
        <w:rPr>
          <w:rFonts w:ascii="Arial" w:hAnsi="Arial" w:cs="Arial"/>
        </w:rPr>
        <w:t>2.</w:t>
      </w:r>
      <w:r w:rsidR="006B171B">
        <w:rPr>
          <w:rFonts w:ascii="Arial" w:hAnsi="Arial" w:cs="Arial"/>
        </w:rPr>
        <w:t>5</w:t>
      </w:r>
      <w:r w:rsidRPr="00512725">
        <w:rPr>
          <w:rFonts w:ascii="Arial" w:hAnsi="Arial" w:cs="Arial"/>
        </w:rPr>
        <w:t xml:space="preserve"> </w:t>
      </w:r>
      <w:r w:rsidR="00B25903">
        <w:rPr>
          <w:rFonts w:ascii="Arial" w:hAnsi="Arial" w:cs="Arial"/>
        </w:rPr>
        <w:tab/>
      </w:r>
      <w:r w:rsidR="00CC0824" w:rsidRPr="00512725">
        <w:rPr>
          <w:rFonts w:ascii="Arial" w:hAnsi="Arial" w:cs="Arial"/>
        </w:rPr>
        <w:t>In its</w:t>
      </w:r>
      <w:r w:rsidR="005246FC">
        <w:rPr>
          <w:rFonts w:ascii="Arial" w:hAnsi="Arial" w:cs="Arial"/>
        </w:rPr>
        <w:t xml:space="preserve"> IR</w:t>
      </w:r>
      <w:r w:rsidR="00CC0824" w:rsidRPr="00512725">
        <w:rPr>
          <w:rFonts w:ascii="Arial" w:hAnsi="Arial" w:cs="Arial"/>
        </w:rPr>
        <w:t xml:space="preserve"> Response</w:t>
      </w:r>
      <w:r w:rsidR="006B171B">
        <w:rPr>
          <w:rFonts w:ascii="Arial" w:hAnsi="Arial" w:cs="Arial"/>
        </w:rPr>
        <w:t>,</w:t>
      </w:r>
      <w:r w:rsidR="00CC0824" w:rsidRPr="00512725">
        <w:rPr>
          <w:rFonts w:ascii="Arial" w:hAnsi="Arial" w:cs="Arial"/>
        </w:rPr>
        <w:t xml:space="preserve"> </w:t>
      </w:r>
      <w:r w:rsidR="00FD1E1E" w:rsidRPr="00512725">
        <w:rPr>
          <w:rFonts w:ascii="Arial" w:hAnsi="Arial" w:cs="Arial"/>
        </w:rPr>
        <w:t>HOI states it has not completed this analysis because HOI is not seeking approval of a</w:t>
      </w:r>
      <w:r w:rsidR="00CC0824" w:rsidRPr="00512725">
        <w:rPr>
          <w:rFonts w:ascii="Arial" w:hAnsi="Arial" w:cs="Arial"/>
        </w:rPr>
        <w:t xml:space="preserve"> </w:t>
      </w:r>
      <w:r w:rsidR="00FD1E1E" w:rsidRPr="00512725">
        <w:rPr>
          <w:rFonts w:ascii="Arial" w:hAnsi="Arial" w:cs="Arial"/>
        </w:rPr>
        <w:t xml:space="preserve">revenue requirement amount under s.78 of the </w:t>
      </w:r>
      <w:r w:rsidR="00FD1E1E" w:rsidRPr="00512725">
        <w:rPr>
          <w:rFonts w:ascii="Arial" w:hAnsi="Arial" w:cs="Arial"/>
          <w:i/>
          <w:iCs/>
        </w:rPr>
        <w:t xml:space="preserve">OEB Act, 1998 </w:t>
      </w:r>
      <w:r w:rsidR="00FD1E1E" w:rsidRPr="00512725">
        <w:rPr>
          <w:rFonts w:ascii="Arial" w:hAnsi="Arial" w:cs="Arial"/>
        </w:rPr>
        <w:t>in this Application.</w:t>
      </w:r>
    </w:p>
    <w:p w:rsidR="00FD1E1E" w:rsidRDefault="00FD1E1E" w:rsidP="00FD1E1E">
      <w:pPr>
        <w:autoSpaceDE w:val="0"/>
        <w:autoSpaceDN w:val="0"/>
        <w:adjustRightInd w:val="0"/>
        <w:rPr>
          <w:rFonts w:ascii="Arial" w:hAnsi="Arial" w:cs="Arial"/>
        </w:rPr>
      </w:pPr>
      <w:r w:rsidRPr="00512725">
        <w:rPr>
          <w:rFonts w:ascii="Arial" w:hAnsi="Arial" w:cs="Arial"/>
        </w:rPr>
        <w:t xml:space="preserve">The relief sought </w:t>
      </w:r>
      <w:r w:rsidR="00CC0824" w:rsidRPr="00512725">
        <w:rPr>
          <w:rFonts w:ascii="Arial" w:hAnsi="Arial" w:cs="Arial"/>
        </w:rPr>
        <w:t xml:space="preserve">(by HOI) </w:t>
      </w:r>
      <w:r w:rsidRPr="00512725">
        <w:rPr>
          <w:rFonts w:ascii="Arial" w:hAnsi="Arial" w:cs="Arial"/>
        </w:rPr>
        <w:t>is acceptance of the methodology used to determine the revenue</w:t>
      </w:r>
      <w:r w:rsidR="005246FC">
        <w:rPr>
          <w:rFonts w:ascii="Arial" w:hAnsi="Arial" w:cs="Arial"/>
        </w:rPr>
        <w:t xml:space="preserve"> </w:t>
      </w:r>
      <w:r w:rsidRPr="00512725">
        <w:rPr>
          <w:rFonts w:ascii="Arial" w:hAnsi="Arial" w:cs="Arial"/>
        </w:rPr>
        <w:t>requirement amount for GLPT in the deferred rebasing period proposed between</w:t>
      </w:r>
      <w:r w:rsidR="005246FC">
        <w:rPr>
          <w:rFonts w:ascii="Arial" w:hAnsi="Arial" w:cs="Arial"/>
        </w:rPr>
        <w:t xml:space="preserve"> </w:t>
      </w:r>
      <w:r w:rsidRPr="00512725">
        <w:rPr>
          <w:rFonts w:ascii="Arial" w:hAnsi="Arial" w:cs="Arial"/>
        </w:rPr>
        <w:t xml:space="preserve">2019 and 2026. </w:t>
      </w:r>
    </w:p>
    <w:p w:rsidR="006B171B" w:rsidRDefault="006B171B" w:rsidP="00FD1E1E">
      <w:pPr>
        <w:autoSpaceDE w:val="0"/>
        <w:autoSpaceDN w:val="0"/>
        <w:adjustRightInd w:val="0"/>
        <w:rPr>
          <w:rFonts w:ascii="Arial" w:hAnsi="Arial" w:cs="Arial"/>
        </w:rPr>
      </w:pPr>
    </w:p>
    <w:p w:rsidR="00267D4F" w:rsidRPr="00512725" w:rsidRDefault="00267D4F" w:rsidP="00B25903">
      <w:pPr>
        <w:tabs>
          <w:tab w:val="left" w:pos="567"/>
        </w:tabs>
        <w:autoSpaceDE w:val="0"/>
        <w:autoSpaceDN w:val="0"/>
        <w:adjustRightInd w:val="0"/>
        <w:rPr>
          <w:rFonts w:ascii="Arial" w:hAnsi="Arial" w:cs="Arial"/>
        </w:rPr>
      </w:pPr>
      <w:r w:rsidRPr="00512725">
        <w:rPr>
          <w:rFonts w:ascii="Arial" w:hAnsi="Arial" w:cs="Arial"/>
        </w:rPr>
        <w:t>2.</w:t>
      </w:r>
      <w:r w:rsidR="006B171B">
        <w:rPr>
          <w:rFonts w:ascii="Arial" w:hAnsi="Arial" w:cs="Arial"/>
        </w:rPr>
        <w:t>6</w:t>
      </w:r>
      <w:r w:rsidRPr="00512725">
        <w:rPr>
          <w:rFonts w:ascii="Arial" w:hAnsi="Arial" w:cs="Arial"/>
        </w:rPr>
        <w:t xml:space="preserve"> </w:t>
      </w:r>
      <w:r w:rsidR="00B25903">
        <w:rPr>
          <w:rFonts w:ascii="Arial" w:hAnsi="Arial" w:cs="Arial"/>
        </w:rPr>
        <w:tab/>
      </w:r>
      <w:r w:rsidRPr="00512725">
        <w:rPr>
          <w:rFonts w:ascii="Arial" w:hAnsi="Arial" w:cs="Arial"/>
        </w:rPr>
        <w:t>In 2016, GLPT intends to file a rate application for approval of its 2017 and 2018 revenue</w:t>
      </w:r>
      <w:r w:rsidR="00A4774B">
        <w:rPr>
          <w:rFonts w:ascii="Arial" w:hAnsi="Arial" w:cs="Arial"/>
        </w:rPr>
        <w:t xml:space="preserve"> </w:t>
      </w:r>
      <w:r w:rsidRPr="00512725">
        <w:rPr>
          <w:rFonts w:ascii="Arial" w:hAnsi="Arial" w:cs="Arial"/>
        </w:rPr>
        <w:t>requirements. For 2019 and each subsequent year of the rebasing deferral period, GLPT will</w:t>
      </w:r>
      <w:r w:rsidRPr="00512725">
        <w:rPr>
          <w:rFonts w:ascii="Arial" w:hAnsi="Arial" w:cs="Arial"/>
          <w:sz w:val="16"/>
          <w:szCs w:val="16"/>
        </w:rPr>
        <w:t xml:space="preserve"> </w:t>
      </w:r>
      <w:r w:rsidRPr="00512725">
        <w:rPr>
          <w:rFonts w:ascii="Arial" w:hAnsi="Arial" w:cs="Arial"/>
        </w:rPr>
        <w:t>calculate the annual revenue requirement by using GLPT’s prior year revenue requirement and</w:t>
      </w:r>
      <w:r w:rsidR="00A4774B">
        <w:rPr>
          <w:rFonts w:ascii="Arial" w:hAnsi="Arial" w:cs="Arial"/>
        </w:rPr>
        <w:t xml:space="preserve"> </w:t>
      </w:r>
      <w:r w:rsidRPr="00512725">
        <w:rPr>
          <w:rFonts w:ascii="Arial" w:hAnsi="Arial" w:cs="Arial"/>
        </w:rPr>
        <w:t>adjusting this amount with an inflation factor, similar to the rate proposed in Chapter 3 of the Distribution Filing Requirements, and also requests the use of an ICM.</w:t>
      </w:r>
    </w:p>
    <w:p w:rsidR="00267D4F" w:rsidRPr="00512725" w:rsidRDefault="00267D4F" w:rsidP="00267D4F">
      <w:pPr>
        <w:autoSpaceDE w:val="0"/>
        <w:autoSpaceDN w:val="0"/>
        <w:adjustRightInd w:val="0"/>
        <w:rPr>
          <w:rFonts w:ascii="Arial" w:hAnsi="Arial" w:cs="Arial"/>
        </w:rPr>
      </w:pPr>
      <w:r w:rsidRPr="00512725">
        <w:rPr>
          <w:rFonts w:ascii="Arial" w:hAnsi="Arial" w:cs="Arial"/>
        </w:rPr>
        <w:t>Hy</w:t>
      </w:r>
      <w:r w:rsidR="00A4774B">
        <w:rPr>
          <w:rFonts w:ascii="Arial" w:hAnsi="Arial" w:cs="Arial"/>
        </w:rPr>
        <w:t>dr</w:t>
      </w:r>
      <w:r w:rsidRPr="00512725">
        <w:rPr>
          <w:rFonts w:ascii="Arial" w:hAnsi="Arial" w:cs="Arial"/>
        </w:rPr>
        <w:t>o One states this is consistent with OEB policy. HOI also proposes</w:t>
      </w:r>
      <w:r w:rsidRPr="00512725">
        <w:rPr>
          <w:rFonts w:ascii="Arial" w:hAnsi="Arial" w:cs="Arial"/>
          <w:sz w:val="16"/>
          <w:szCs w:val="16"/>
        </w:rPr>
        <w:t xml:space="preserve"> </w:t>
      </w:r>
      <w:r w:rsidRPr="00512725">
        <w:rPr>
          <w:rFonts w:ascii="Arial" w:hAnsi="Arial" w:cs="Arial"/>
        </w:rPr>
        <w:t>having the productivity and stretch factor set at 0%,</w:t>
      </w:r>
    </w:p>
    <w:p w:rsidR="00267D4F" w:rsidRPr="00512725" w:rsidRDefault="00267D4F" w:rsidP="00267D4F">
      <w:pPr>
        <w:autoSpaceDE w:val="0"/>
        <w:autoSpaceDN w:val="0"/>
        <w:adjustRightInd w:val="0"/>
        <w:rPr>
          <w:rFonts w:ascii="Arial" w:hAnsi="Arial" w:cs="Arial"/>
          <w:sz w:val="16"/>
          <w:szCs w:val="16"/>
        </w:rPr>
      </w:pPr>
    </w:p>
    <w:p w:rsidR="001E4D76" w:rsidRPr="00512725" w:rsidRDefault="00267D4F" w:rsidP="00B25903">
      <w:pPr>
        <w:tabs>
          <w:tab w:val="left" w:pos="567"/>
        </w:tabs>
        <w:autoSpaceDE w:val="0"/>
        <w:autoSpaceDN w:val="0"/>
        <w:adjustRightInd w:val="0"/>
        <w:rPr>
          <w:rFonts w:ascii="Arial" w:hAnsi="Arial" w:cs="Arial"/>
        </w:rPr>
      </w:pPr>
      <w:r w:rsidRPr="00A4774B">
        <w:rPr>
          <w:rFonts w:ascii="Arial" w:hAnsi="Arial" w:cs="Arial"/>
          <w:sz w:val="16"/>
          <w:szCs w:val="16"/>
        </w:rPr>
        <w:t xml:space="preserve"> </w:t>
      </w:r>
      <w:r w:rsidR="00A4774B">
        <w:rPr>
          <w:rFonts w:ascii="Arial" w:hAnsi="Arial" w:cs="Arial"/>
        </w:rPr>
        <w:t>2.</w:t>
      </w:r>
      <w:r w:rsidR="006B171B">
        <w:rPr>
          <w:rFonts w:ascii="Arial" w:hAnsi="Arial" w:cs="Arial"/>
        </w:rPr>
        <w:t xml:space="preserve">7 </w:t>
      </w:r>
      <w:r w:rsidR="00B25903">
        <w:rPr>
          <w:rFonts w:ascii="Arial" w:hAnsi="Arial" w:cs="Arial"/>
        </w:rPr>
        <w:tab/>
      </w:r>
      <w:r w:rsidRPr="00A4774B">
        <w:rPr>
          <w:rFonts w:ascii="Arial" w:hAnsi="Arial" w:cs="Arial"/>
        </w:rPr>
        <w:t>The purchase agreement for the proposed transaction is not contingent upon the OEB</w:t>
      </w:r>
      <w:r w:rsidRPr="00A4774B">
        <w:rPr>
          <w:rFonts w:ascii="Arial" w:hAnsi="Arial" w:cs="Arial"/>
          <w:sz w:val="16"/>
          <w:szCs w:val="16"/>
        </w:rPr>
        <w:t xml:space="preserve"> </w:t>
      </w:r>
      <w:r w:rsidRPr="00A4774B">
        <w:rPr>
          <w:rFonts w:ascii="Arial" w:hAnsi="Arial" w:cs="Arial"/>
        </w:rPr>
        <w:t xml:space="preserve">accepting the proposed methodology. </w:t>
      </w:r>
      <w:r w:rsidR="00A4774B" w:rsidRPr="00A4774B">
        <w:rPr>
          <w:rFonts w:ascii="Arial" w:hAnsi="Arial" w:cs="Arial"/>
        </w:rPr>
        <w:t>However, one of the business and regulatory</w:t>
      </w:r>
      <w:r w:rsidR="00A4774B" w:rsidRPr="00A4774B">
        <w:rPr>
          <w:rFonts w:ascii="Arial" w:hAnsi="Arial" w:cs="Arial"/>
          <w:sz w:val="16"/>
          <w:szCs w:val="16"/>
        </w:rPr>
        <w:t xml:space="preserve"> </w:t>
      </w:r>
      <w:r w:rsidR="00A4774B" w:rsidRPr="00A4774B">
        <w:rPr>
          <w:rFonts w:ascii="Arial" w:hAnsi="Arial" w:cs="Arial"/>
        </w:rPr>
        <w:t>objectives that HOI is trying to achieve is certainty over the methodology used to</w:t>
      </w:r>
      <w:r w:rsidR="00A4774B">
        <w:rPr>
          <w:rFonts w:ascii="Arial" w:hAnsi="Arial" w:cs="Arial"/>
        </w:rPr>
        <w:t xml:space="preserve"> </w:t>
      </w:r>
      <w:r w:rsidR="00A4774B" w:rsidRPr="00A4774B">
        <w:rPr>
          <w:rFonts w:ascii="Arial" w:hAnsi="Arial" w:cs="Arial"/>
        </w:rPr>
        <w:t>determine revenue requirements during the deferred rebasing period. This would not</w:t>
      </w:r>
      <w:r w:rsidR="00A4774B">
        <w:rPr>
          <w:rFonts w:ascii="Arial" w:hAnsi="Arial" w:cs="Arial"/>
        </w:rPr>
        <w:t xml:space="preserve"> </w:t>
      </w:r>
      <w:r w:rsidR="00A4774B" w:rsidRPr="00A4774B">
        <w:rPr>
          <w:rFonts w:ascii="Arial" w:hAnsi="Arial" w:cs="Arial"/>
        </w:rPr>
        <w:t>be achieved if the methodology is not dealt with as part of this application. HOI sees</w:t>
      </w:r>
      <w:r w:rsidR="00A4774B" w:rsidRPr="00A4774B">
        <w:rPr>
          <w:rFonts w:ascii="Arial" w:hAnsi="Arial" w:cs="Arial"/>
          <w:sz w:val="16"/>
          <w:szCs w:val="16"/>
        </w:rPr>
        <w:t xml:space="preserve"> </w:t>
      </w:r>
      <w:r w:rsidR="00A4774B" w:rsidRPr="00A4774B">
        <w:rPr>
          <w:rFonts w:ascii="Arial" w:hAnsi="Arial" w:cs="Arial"/>
        </w:rPr>
        <w:t>these objectives as being beneficial not only to its interests, but also to the interests of</w:t>
      </w:r>
      <w:r w:rsidR="00A4774B">
        <w:rPr>
          <w:rFonts w:ascii="Arial" w:hAnsi="Arial" w:cs="Arial"/>
        </w:rPr>
        <w:t xml:space="preserve"> </w:t>
      </w:r>
      <w:r w:rsidR="00A4774B" w:rsidRPr="00A4774B">
        <w:rPr>
          <w:rFonts w:ascii="Arial" w:hAnsi="Arial" w:cs="Arial"/>
        </w:rPr>
        <w:t>ratepayers</w:t>
      </w:r>
      <w:r w:rsidR="005246FC">
        <w:rPr>
          <w:rStyle w:val="FootnoteReference"/>
          <w:rFonts w:ascii="Arial" w:hAnsi="Arial" w:cs="Arial"/>
        </w:rPr>
        <w:footnoteReference w:id="4"/>
      </w:r>
      <w:r w:rsidR="00A4774B" w:rsidRPr="00A4774B">
        <w:rPr>
          <w:rFonts w:ascii="Arial" w:hAnsi="Arial" w:cs="Arial"/>
        </w:rPr>
        <w:t>.</w:t>
      </w:r>
    </w:p>
    <w:p w:rsidR="00267D4F" w:rsidRDefault="00267D4F" w:rsidP="00FD1E1E">
      <w:pPr>
        <w:autoSpaceDE w:val="0"/>
        <w:autoSpaceDN w:val="0"/>
        <w:adjustRightInd w:val="0"/>
        <w:rPr>
          <w:rFonts w:ascii="Arial" w:hAnsi="Arial" w:cs="Arial"/>
        </w:rPr>
      </w:pPr>
    </w:p>
    <w:p w:rsidR="0090702E" w:rsidRDefault="0090702E" w:rsidP="00FD1E1E">
      <w:pPr>
        <w:autoSpaceDE w:val="0"/>
        <w:autoSpaceDN w:val="0"/>
        <w:adjustRightInd w:val="0"/>
        <w:rPr>
          <w:rFonts w:ascii="Arial" w:hAnsi="Arial" w:cs="Arial"/>
        </w:rPr>
      </w:pPr>
    </w:p>
    <w:p w:rsidR="0090702E" w:rsidRDefault="0090702E" w:rsidP="00FD1E1E">
      <w:pPr>
        <w:autoSpaceDE w:val="0"/>
        <w:autoSpaceDN w:val="0"/>
        <w:adjustRightInd w:val="0"/>
        <w:rPr>
          <w:rFonts w:ascii="Arial" w:hAnsi="Arial" w:cs="Arial"/>
        </w:rPr>
      </w:pPr>
    </w:p>
    <w:p w:rsidR="0090702E" w:rsidRPr="00512725" w:rsidRDefault="0090702E" w:rsidP="00FD1E1E">
      <w:pPr>
        <w:autoSpaceDE w:val="0"/>
        <w:autoSpaceDN w:val="0"/>
        <w:adjustRightInd w:val="0"/>
        <w:rPr>
          <w:rFonts w:ascii="Arial" w:hAnsi="Arial" w:cs="Arial"/>
        </w:rPr>
      </w:pPr>
    </w:p>
    <w:p w:rsidR="00CC0824" w:rsidRPr="00512725" w:rsidRDefault="00DC4121" w:rsidP="00B25903">
      <w:pPr>
        <w:tabs>
          <w:tab w:val="left" w:pos="567"/>
        </w:tabs>
        <w:autoSpaceDE w:val="0"/>
        <w:autoSpaceDN w:val="0"/>
        <w:adjustRightInd w:val="0"/>
        <w:rPr>
          <w:rFonts w:ascii="Arial" w:hAnsi="Arial" w:cs="Arial"/>
        </w:rPr>
      </w:pPr>
      <w:r w:rsidRPr="00512725">
        <w:rPr>
          <w:rFonts w:ascii="Arial" w:hAnsi="Arial" w:cs="Arial"/>
        </w:rPr>
        <w:t>2.</w:t>
      </w:r>
      <w:r w:rsidR="006B171B">
        <w:rPr>
          <w:rFonts w:ascii="Arial" w:hAnsi="Arial" w:cs="Arial"/>
        </w:rPr>
        <w:t>8</w:t>
      </w:r>
      <w:r w:rsidRPr="00512725">
        <w:rPr>
          <w:rFonts w:ascii="Arial" w:hAnsi="Arial" w:cs="Arial"/>
        </w:rPr>
        <w:t xml:space="preserve"> </w:t>
      </w:r>
      <w:r w:rsidR="00B25903">
        <w:rPr>
          <w:rFonts w:ascii="Arial" w:hAnsi="Arial" w:cs="Arial"/>
        </w:rPr>
        <w:tab/>
      </w:r>
      <w:r w:rsidR="00CC0824" w:rsidRPr="00512725">
        <w:rPr>
          <w:rFonts w:ascii="Arial" w:hAnsi="Arial" w:cs="Arial"/>
        </w:rPr>
        <w:t xml:space="preserve">HOI also states that </w:t>
      </w:r>
      <w:r w:rsidR="00FD1E1E" w:rsidRPr="00512725">
        <w:rPr>
          <w:rFonts w:ascii="Arial" w:hAnsi="Arial" w:cs="Arial"/>
        </w:rPr>
        <w:t>The Handbook also requires implementation of an earnings sharing mechanism</w:t>
      </w:r>
      <w:r w:rsidR="00FD1E1E" w:rsidRPr="00512725">
        <w:rPr>
          <w:rFonts w:ascii="Arial" w:hAnsi="Arial" w:cs="Arial"/>
          <w:sz w:val="16"/>
          <w:szCs w:val="16"/>
        </w:rPr>
        <w:t xml:space="preserve"> </w:t>
      </w:r>
      <w:r w:rsidR="00FD1E1E" w:rsidRPr="00512725">
        <w:rPr>
          <w:rFonts w:ascii="Arial" w:hAnsi="Arial" w:cs="Arial"/>
        </w:rPr>
        <w:t>(“ESM”) in order to protect customers and ensure that they share in any benefits from</w:t>
      </w:r>
      <w:r w:rsidR="00CC0824" w:rsidRPr="00512725">
        <w:rPr>
          <w:rFonts w:ascii="Arial" w:hAnsi="Arial" w:cs="Arial"/>
        </w:rPr>
        <w:t xml:space="preserve"> </w:t>
      </w:r>
      <w:r w:rsidR="00FD1E1E" w:rsidRPr="00512725">
        <w:rPr>
          <w:rFonts w:ascii="Arial" w:hAnsi="Arial" w:cs="Arial"/>
        </w:rPr>
        <w:t>consolidation during the deferred rebasing period</w:t>
      </w:r>
      <w:r w:rsidR="00FD1E1E" w:rsidRPr="00512725">
        <w:rPr>
          <w:rFonts w:ascii="Arial" w:hAnsi="Arial" w:cs="Arial"/>
          <w:sz w:val="16"/>
          <w:szCs w:val="16"/>
        </w:rPr>
        <w:t xml:space="preserve">2 </w:t>
      </w:r>
      <w:r w:rsidR="00FD1E1E" w:rsidRPr="00512725">
        <w:rPr>
          <w:rFonts w:ascii="Arial" w:hAnsi="Arial" w:cs="Arial"/>
        </w:rPr>
        <w:t xml:space="preserve">which HOI has proposed. </w:t>
      </w:r>
    </w:p>
    <w:p w:rsidR="00DB040F" w:rsidRPr="00512725" w:rsidRDefault="00DB040F" w:rsidP="00267D4F">
      <w:pPr>
        <w:autoSpaceDE w:val="0"/>
        <w:autoSpaceDN w:val="0"/>
        <w:adjustRightInd w:val="0"/>
        <w:rPr>
          <w:rFonts w:ascii="Arial" w:hAnsi="Arial" w:cs="Arial"/>
        </w:rPr>
      </w:pPr>
      <w:r w:rsidRPr="00512725">
        <w:rPr>
          <w:rFonts w:ascii="Arial" w:hAnsi="Arial" w:cs="Arial"/>
        </w:rPr>
        <w:t>It then proceeds to state</w:t>
      </w:r>
      <w:r w:rsidR="00267D4F" w:rsidRPr="00512725">
        <w:rPr>
          <w:rFonts w:ascii="Arial" w:hAnsi="Arial" w:cs="Arial"/>
        </w:rPr>
        <w:t>:</w:t>
      </w:r>
    </w:p>
    <w:p w:rsidR="00FD1E1E" w:rsidRPr="00512725" w:rsidRDefault="00FD1E1E" w:rsidP="00DB040F">
      <w:pPr>
        <w:autoSpaceDE w:val="0"/>
        <w:autoSpaceDN w:val="0"/>
        <w:adjustRightInd w:val="0"/>
        <w:ind w:left="720"/>
        <w:rPr>
          <w:rFonts w:ascii="Arial" w:hAnsi="Arial" w:cs="Arial"/>
        </w:rPr>
      </w:pPr>
      <w:r w:rsidRPr="00512725">
        <w:rPr>
          <w:rFonts w:ascii="Arial" w:hAnsi="Arial" w:cs="Arial"/>
        </w:rPr>
        <w:t>Due to</w:t>
      </w:r>
      <w:r w:rsidRPr="00512725">
        <w:rPr>
          <w:rFonts w:ascii="Arial" w:hAnsi="Arial" w:cs="Arial"/>
          <w:sz w:val="16"/>
          <w:szCs w:val="16"/>
        </w:rPr>
        <w:t xml:space="preserve"> </w:t>
      </w:r>
      <w:r w:rsidRPr="00512725">
        <w:rPr>
          <w:rFonts w:ascii="Arial" w:hAnsi="Arial" w:cs="Arial"/>
        </w:rPr>
        <w:t>the implementation of an ESM during the extended deferred rebasing period, the</w:t>
      </w:r>
      <w:r w:rsidR="00A4774B">
        <w:rPr>
          <w:rFonts w:ascii="Arial" w:hAnsi="Arial" w:cs="Arial"/>
        </w:rPr>
        <w:t xml:space="preserve"> </w:t>
      </w:r>
      <w:r w:rsidRPr="00512725">
        <w:rPr>
          <w:rFonts w:ascii="Arial" w:hAnsi="Arial" w:cs="Arial"/>
        </w:rPr>
        <w:t>productivity and stretch factors proposed by HOI are zero, for the following reasons:</w:t>
      </w:r>
    </w:p>
    <w:p w:rsidR="00FD1E1E" w:rsidRPr="00886CF4" w:rsidRDefault="00FD1E1E" w:rsidP="00886CF4">
      <w:pPr>
        <w:pStyle w:val="ListParagraph"/>
        <w:numPr>
          <w:ilvl w:val="0"/>
          <w:numId w:val="13"/>
        </w:numPr>
        <w:autoSpaceDE w:val="0"/>
        <w:autoSpaceDN w:val="0"/>
        <w:adjustRightInd w:val="0"/>
        <w:rPr>
          <w:rFonts w:ascii="Arial" w:hAnsi="Arial" w:cs="Arial"/>
        </w:rPr>
      </w:pPr>
      <w:r w:rsidRPr="00886CF4">
        <w:rPr>
          <w:rFonts w:ascii="Arial" w:hAnsi="Arial" w:cs="Arial"/>
        </w:rPr>
        <w:t>Per the Board’s MAAD policy</w:t>
      </w:r>
      <w:r w:rsidRPr="00886CF4">
        <w:rPr>
          <w:rFonts w:ascii="Arial" w:hAnsi="Arial" w:cs="Arial"/>
          <w:sz w:val="16"/>
          <w:szCs w:val="16"/>
        </w:rPr>
        <w:t xml:space="preserve">3 </w:t>
      </w:r>
      <w:r w:rsidRPr="00886CF4">
        <w:rPr>
          <w:rFonts w:ascii="Arial" w:hAnsi="Arial" w:cs="Arial"/>
        </w:rPr>
        <w:t>the achieved savings realized in the deferred</w:t>
      </w:r>
      <w:r w:rsidRPr="00886CF4">
        <w:rPr>
          <w:rFonts w:ascii="Arial" w:hAnsi="Arial" w:cs="Arial"/>
          <w:sz w:val="16"/>
          <w:szCs w:val="16"/>
        </w:rPr>
        <w:t xml:space="preserve"> </w:t>
      </w:r>
      <w:r w:rsidRPr="00886CF4">
        <w:rPr>
          <w:rFonts w:ascii="Arial" w:hAnsi="Arial" w:cs="Arial"/>
        </w:rPr>
        <w:t>rebasing period are to the benefit of the consolidating shareholder.</w:t>
      </w:r>
    </w:p>
    <w:p w:rsidR="00FD1E1E" w:rsidRPr="00886CF4" w:rsidRDefault="00FD1E1E" w:rsidP="00886CF4">
      <w:pPr>
        <w:pStyle w:val="ListParagraph"/>
        <w:numPr>
          <w:ilvl w:val="0"/>
          <w:numId w:val="13"/>
        </w:numPr>
        <w:autoSpaceDE w:val="0"/>
        <w:autoSpaceDN w:val="0"/>
        <w:adjustRightInd w:val="0"/>
        <w:rPr>
          <w:rFonts w:ascii="Arial" w:hAnsi="Arial" w:cs="Arial"/>
        </w:rPr>
      </w:pPr>
      <w:r w:rsidRPr="00886CF4">
        <w:rPr>
          <w:rFonts w:ascii="Arial" w:hAnsi="Arial" w:cs="Arial"/>
        </w:rPr>
        <w:t>Currently the OEB does not have any established revenue adjustment</w:t>
      </w:r>
      <w:r w:rsidR="005059BF">
        <w:rPr>
          <w:rFonts w:ascii="Arial" w:hAnsi="Arial" w:cs="Arial"/>
        </w:rPr>
        <w:t xml:space="preserve"> </w:t>
      </w:r>
    </w:p>
    <w:p w:rsidR="00DC4121" w:rsidRPr="00512725" w:rsidRDefault="00FD1E1E" w:rsidP="00886CF4">
      <w:pPr>
        <w:autoSpaceDE w:val="0"/>
        <w:autoSpaceDN w:val="0"/>
        <w:adjustRightInd w:val="0"/>
        <w:ind w:left="360" w:firstLine="720"/>
        <w:rPr>
          <w:rFonts w:ascii="Arial" w:hAnsi="Arial" w:cs="Arial"/>
        </w:rPr>
      </w:pPr>
      <w:r w:rsidRPr="00512725">
        <w:rPr>
          <w:rFonts w:ascii="Arial" w:hAnsi="Arial" w:cs="Arial"/>
        </w:rPr>
        <w:t>mechanism for transmission</w:t>
      </w:r>
      <w:r w:rsidR="00B25903">
        <w:rPr>
          <w:rFonts w:ascii="Arial" w:hAnsi="Arial" w:cs="Arial"/>
        </w:rPr>
        <w:t>.</w:t>
      </w:r>
    </w:p>
    <w:p w:rsidR="00D338F4" w:rsidRDefault="00D338F4" w:rsidP="00FD1E1E">
      <w:pPr>
        <w:autoSpaceDE w:val="0"/>
        <w:autoSpaceDN w:val="0"/>
        <w:adjustRightInd w:val="0"/>
        <w:rPr>
          <w:rFonts w:ascii="Arial" w:hAnsi="Arial" w:cs="Arial"/>
          <w:b/>
        </w:rPr>
      </w:pPr>
    </w:p>
    <w:p w:rsidR="00FD1E1E" w:rsidRPr="00886CF4" w:rsidRDefault="00FD1E1E" w:rsidP="00FD1E1E">
      <w:pPr>
        <w:autoSpaceDE w:val="0"/>
        <w:autoSpaceDN w:val="0"/>
        <w:adjustRightInd w:val="0"/>
        <w:rPr>
          <w:rFonts w:ascii="Arial" w:hAnsi="Arial" w:cs="Arial"/>
          <w:b/>
        </w:rPr>
      </w:pPr>
      <w:r w:rsidRPr="00886CF4">
        <w:rPr>
          <w:rFonts w:ascii="Arial" w:hAnsi="Arial" w:cs="Arial"/>
          <w:b/>
        </w:rPr>
        <w:t>Discussion</w:t>
      </w:r>
    </w:p>
    <w:p w:rsidR="0096715E" w:rsidRPr="00512725" w:rsidRDefault="0096715E" w:rsidP="004B42E7">
      <w:pPr>
        <w:autoSpaceDE w:val="0"/>
        <w:autoSpaceDN w:val="0"/>
        <w:adjustRightInd w:val="0"/>
        <w:rPr>
          <w:rFonts w:ascii="Arial" w:hAnsi="Arial" w:cs="Arial"/>
          <w:b/>
          <w:i/>
        </w:rPr>
      </w:pPr>
    </w:p>
    <w:p w:rsidR="00CF70E2" w:rsidRDefault="00886CF4" w:rsidP="004B42E7">
      <w:pPr>
        <w:autoSpaceDE w:val="0"/>
        <w:autoSpaceDN w:val="0"/>
        <w:adjustRightInd w:val="0"/>
        <w:rPr>
          <w:rFonts w:ascii="Arial" w:hAnsi="Arial" w:cs="Arial"/>
          <w:b/>
          <w:i/>
        </w:rPr>
      </w:pPr>
      <w:r>
        <w:rPr>
          <w:rFonts w:ascii="Arial" w:hAnsi="Arial" w:cs="Arial"/>
          <w:b/>
          <w:i/>
        </w:rPr>
        <w:t>W</w:t>
      </w:r>
      <w:r w:rsidR="0096715E" w:rsidRPr="00512725">
        <w:rPr>
          <w:rFonts w:ascii="Arial" w:hAnsi="Arial" w:cs="Arial"/>
          <w:b/>
          <w:i/>
        </w:rPr>
        <w:t xml:space="preserve">e do not accept that </w:t>
      </w:r>
      <w:r w:rsidR="00817326">
        <w:rPr>
          <w:rFonts w:ascii="Arial" w:hAnsi="Arial" w:cs="Arial"/>
          <w:b/>
          <w:i/>
        </w:rPr>
        <w:t xml:space="preserve">the </w:t>
      </w:r>
      <w:r w:rsidR="0096715E" w:rsidRPr="00512725">
        <w:rPr>
          <w:rFonts w:ascii="Arial" w:hAnsi="Arial" w:cs="Arial"/>
          <w:b/>
          <w:i/>
        </w:rPr>
        <w:t>Hydro One</w:t>
      </w:r>
      <w:r w:rsidR="001E4D76" w:rsidRPr="00512725">
        <w:rPr>
          <w:rFonts w:ascii="Arial" w:hAnsi="Arial" w:cs="Arial"/>
          <w:b/>
          <w:i/>
        </w:rPr>
        <w:t>/</w:t>
      </w:r>
      <w:r w:rsidR="0096715E" w:rsidRPr="00512725">
        <w:rPr>
          <w:rFonts w:ascii="Arial" w:hAnsi="Arial" w:cs="Arial"/>
          <w:b/>
          <w:i/>
        </w:rPr>
        <w:t xml:space="preserve">GPLT </w:t>
      </w:r>
      <w:r w:rsidR="001E4D76" w:rsidRPr="00512725">
        <w:rPr>
          <w:rFonts w:ascii="Arial" w:hAnsi="Arial" w:cs="Arial"/>
          <w:b/>
          <w:i/>
        </w:rPr>
        <w:t xml:space="preserve">application </w:t>
      </w:r>
      <w:r w:rsidR="0096715E" w:rsidRPr="00512725">
        <w:rPr>
          <w:rFonts w:ascii="Arial" w:hAnsi="Arial" w:cs="Arial"/>
          <w:b/>
          <w:i/>
        </w:rPr>
        <w:t>conform</w:t>
      </w:r>
      <w:r w:rsidR="00A86579">
        <w:rPr>
          <w:rFonts w:ascii="Arial" w:hAnsi="Arial" w:cs="Arial"/>
          <w:b/>
          <w:i/>
        </w:rPr>
        <w:t>s</w:t>
      </w:r>
      <w:r w:rsidR="0090702E">
        <w:rPr>
          <w:rFonts w:ascii="Arial" w:hAnsi="Arial" w:cs="Arial"/>
          <w:b/>
          <w:i/>
        </w:rPr>
        <w:t xml:space="preserve"> </w:t>
      </w:r>
      <w:r w:rsidR="005059BF" w:rsidRPr="00512725">
        <w:rPr>
          <w:rFonts w:ascii="Arial" w:hAnsi="Arial" w:cs="Arial"/>
          <w:b/>
          <w:i/>
        </w:rPr>
        <w:t>to</w:t>
      </w:r>
      <w:r w:rsidR="005947B2" w:rsidRPr="00512725">
        <w:rPr>
          <w:rFonts w:ascii="Arial" w:hAnsi="Arial" w:cs="Arial"/>
          <w:b/>
          <w:i/>
        </w:rPr>
        <w:t xml:space="preserve"> the</w:t>
      </w:r>
      <w:r w:rsidR="0096715E" w:rsidRPr="00512725">
        <w:rPr>
          <w:rFonts w:ascii="Arial" w:hAnsi="Arial" w:cs="Arial"/>
          <w:b/>
          <w:i/>
        </w:rPr>
        <w:t xml:space="preserve"> </w:t>
      </w:r>
      <w:r w:rsidR="002110E5" w:rsidRPr="00512725">
        <w:rPr>
          <w:rFonts w:ascii="Arial" w:hAnsi="Arial" w:cs="Arial"/>
          <w:b/>
          <w:i/>
        </w:rPr>
        <w:t xml:space="preserve">intent of the RRFE </w:t>
      </w:r>
      <w:r w:rsidR="00267D4F" w:rsidRPr="00512725">
        <w:rPr>
          <w:rFonts w:ascii="Arial" w:hAnsi="Arial" w:cs="Arial"/>
          <w:b/>
          <w:i/>
        </w:rPr>
        <w:t xml:space="preserve">or requirements </w:t>
      </w:r>
      <w:r w:rsidR="002110E5" w:rsidRPr="00512725">
        <w:rPr>
          <w:rFonts w:ascii="Arial" w:hAnsi="Arial" w:cs="Arial"/>
          <w:b/>
          <w:i/>
        </w:rPr>
        <w:t xml:space="preserve">as set out in </w:t>
      </w:r>
      <w:r w:rsidR="0096715E" w:rsidRPr="00512725">
        <w:rPr>
          <w:rFonts w:ascii="Arial" w:hAnsi="Arial" w:cs="Arial"/>
          <w:b/>
          <w:i/>
        </w:rPr>
        <w:t xml:space="preserve">the </w:t>
      </w:r>
      <w:r w:rsidR="00CF70E2">
        <w:rPr>
          <w:rFonts w:ascii="Arial" w:hAnsi="Arial" w:cs="Arial"/>
          <w:b/>
          <w:i/>
        </w:rPr>
        <w:t xml:space="preserve">Handbook on Consolidation or </w:t>
      </w:r>
      <w:r w:rsidR="0096715E" w:rsidRPr="00512725">
        <w:rPr>
          <w:rFonts w:ascii="Arial" w:hAnsi="Arial" w:cs="Arial"/>
          <w:b/>
          <w:i/>
        </w:rPr>
        <w:t xml:space="preserve">Filing Requirements for Electricity Transmitters. </w:t>
      </w:r>
    </w:p>
    <w:p w:rsidR="00A86579" w:rsidRDefault="00A86579" w:rsidP="004B42E7">
      <w:pPr>
        <w:autoSpaceDE w:val="0"/>
        <w:autoSpaceDN w:val="0"/>
        <w:adjustRightInd w:val="0"/>
        <w:rPr>
          <w:rFonts w:ascii="Arial" w:hAnsi="Arial" w:cs="Arial"/>
          <w:b/>
          <w:i/>
        </w:rPr>
      </w:pPr>
    </w:p>
    <w:p w:rsidR="00CF70E2" w:rsidRDefault="00CF70E2" w:rsidP="004B42E7">
      <w:pPr>
        <w:autoSpaceDE w:val="0"/>
        <w:autoSpaceDN w:val="0"/>
        <w:adjustRightInd w:val="0"/>
        <w:rPr>
          <w:rFonts w:ascii="Arial" w:hAnsi="Arial" w:cs="Arial"/>
          <w:b/>
          <w:i/>
        </w:rPr>
      </w:pPr>
      <w:r>
        <w:rPr>
          <w:rFonts w:ascii="Arial" w:hAnsi="Arial" w:cs="Arial"/>
          <w:b/>
          <w:i/>
        </w:rPr>
        <w:t xml:space="preserve">The Handbook indicates that following a </w:t>
      </w:r>
      <w:r w:rsidR="00A86579">
        <w:rPr>
          <w:rFonts w:ascii="Arial" w:hAnsi="Arial" w:cs="Arial"/>
          <w:b/>
          <w:i/>
        </w:rPr>
        <w:t>C</w:t>
      </w:r>
      <w:r>
        <w:rPr>
          <w:rFonts w:ascii="Arial" w:hAnsi="Arial" w:cs="Arial"/>
          <w:b/>
          <w:i/>
        </w:rPr>
        <w:t>onsolidation rates there can be a deferral period, which for distributors is up to 10 years</w:t>
      </w:r>
      <w:r w:rsidR="0090702E">
        <w:rPr>
          <w:rFonts w:ascii="Arial" w:hAnsi="Arial" w:cs="Arial"/>
          <w:b/>
          <w:i/>
        </w:rPr>
        <w:t>.</w:t>
      </w:r>
    </w:p>
    <w:p w:rsidR="00CF70E2" w:rsidRDefault="00CF70E2" w:rsidP="004B42E7">
      <w:pPr>
        <w:autoSpaceDE w:val="0"/>
        <w:autoSpaceDN w:val="0"/>
        <w:adjustRightInd w:val="0"/>
        <w:rPr>
          <w:rFonts w:ascii="Arial" w:hAnsi="Arial" w:cs="Arial"/>
          <w:b/>
          <w:i/>
        </w:rPr>
      </w:pPr>
    </w:p>
    <w:p w:rsidR="002E4B16" w:rsidRDefault="002E4B16" w:rsidP="004B42E7">
      <w:pPr>
        <w:autoSpaceDE w:val="0"/>
        <w:autoSpaceDN w:val="0"/>
        <w:adjustRightInd w:val="0"/>
        <w:rPr>
          <w:rFonts w:ascii="Arial" w:hAnsi="Arial" w:cs="Arial"/>
          <w:b/>
          <w:i/>
        </w:rPr>
      </w:pPr>
      <w:r>
        <w:rPr>
          <w:rFonts w:ascii="Arial" w:hAnsi="Arial" w:cs="Arial"/>
          <w:b/>
          <w:i/>
        </w:rPr>
        <w:t>In fact</w:t>
      </w:r>
      <w:r w:rsidR="00A86579">
        <w:rPr>
          <w:rFonts w:ascii="Arial" w:hAnsi="Arial" w:cs="Arial"/>
          <w:b/>
          <w:i/>
        </w:rPr>
        <w:t>,</w:t>
      </w:r>
      <w:r>
        <w:rPr>
          <w:rFonts w:ascii="Arial" w:hAnsi="Arial" w:cs="Arial"/>
          <w:b/>
          <w:i/>
        </w:rPr>
        <w:t xml:space="preserve"> Hydro One</w:t>
      </w:r>
      <w:r w:rsidR="0090702E">
        <w:rPr>
          <w:rFonts w:ascii="Arial" w:hAnsi="Arial" w:cs="Arial"/>
          <w:b/>
          <w:i/>
        </w:rPr>
        <w:t>/</w:t>
      </w:r>
      <w:r>
        <w:rPr>
          <w:rFonts w:ascii="Arial" w:hAnsi="Arial" w:cs="Arial"/>
          <w:b/>
          <w:i/>
        </w:rPr>
        <w:t xml:space="preserve">GLPT </w:t>
      </w:r>
      <w:r w:rsidR="005059BF">
        <w:rPr>
          <w:rFonts w:ascii="Arial" w:hAnsi="Arial" w:cs="Arial"/>
          <w:b/>
          <w:i/>
        </w:rPr>
        <w:t>is</w:t>
      </w:r>
      <w:r>
        <w:rPr>
          <w:rFonts w:ascii="Arial" w:hAnsi="Arial" w:cs="Arial"/>
          <w:b/>
          <w:i/>
        </w:rPr>
        <w:t xml:space="preserve"> planning to file a Cost of Service application for 2017/18. The issue that the Board needs to consider is when should the deferral period begin and how long should the </w:t>
      </w:r>
      <w:r w:rsidR="00A86579">
        <w:rPr>
          <w:rFonts w:ascii="Arial" w:hAnsi="Arial" w:cs="Arial"/>
          <w:b/>
          <w:i/>
        </w:rPr>
        <w:t xml:space="preserve">deferral </w:t>
      </w:r>
      <w:r>
        <w:rPr>
          <w:rFonts w:ascii="Arial" w:hAnsi="Arial" w:cs="Arial"/>
          <w:b/>
          <w:i/>
        </w:rPr>
        <w:t xml:space="preserve">period be? Based on how consolidations have been dealt with in the </w:t>
      </w:r>
      <w:r w:rsidR="00A86579">
        <w:rPr>
          <w:rFonts w:ascii="Arial" w:hAnsi="Arial" w:cs="Arial"/>
          <w:b/>
          <w:i/>
        </w:rPr>
        <w:t>D</w:t>
      </w:r>
      <w:r>
        <w:rPr>
          <w:rFonts w:ascii="Arial" w:hAnsi="Arial" w:cs="Arial"/>
          <w:b/>
          <w:i/>
        </w:rPr>
        <w:t>istribution sector, we believe it should begin in 2017.</w:t>
      </w:r>
    </w:p>
    <w:p w:rsidR="002E4B16" w:rsidRDefault="002E4B16" w:rsidP="004B42E7">
      <w:pPr>
        <w:autoSpaceDE w:val="0"/>
        <w:autoSpaceDN w:val="0"/>
        <w:adjustRightInd w:val="0"/>
        <w:rPr>
          <w:rFonts w:ascii="Arial" w:hAnsi="Arial" w:cs="Arial"/>
          <w:b/>
          <w:i/>
        </w:rPr>
      </w:pPr>
    </w:p>
    <w:p w:rsidR="004B42E7" w:rsidRPr="00512725" w:rsidRDefault="0096715E" w:rsidP="004B42E7">
      <w:pPr>
        <w:autoSpaceDE w:val="0"/>
        <w:autoSpaceDN w:val="0"/>
        <w:adjustRightInd w:val="0"/>
        <w:rPr>
          <w:rFonts w:ascii="Arial" w:hAnsi="Arial" w:cs="Arial"/>
          <w:b/>
          <w:i/>
        </w:rPr>
      </w:pPr>
      <w:r w:rsidRPr="00512725">
        <w:rPr>
          <w:rFonts w:ascii="Arial" w:hAnsi="Arial" w:cs="Arial"/>
          <w:b/>
          <w:i/>
        </w:rPr>
        <w:t xml:space="preserve">This </w:t>
      </w:r>
      <w:r w:rsidR="002E4B16">
        <w:rPr>
          <w:rFonts w:ascii="Arial" w:hAnsi="Arial" w:cs="Arial"/>
          <w:b/>
          <w:i/>
        </w:rPr>
        <w:t xml:space="preserve">is </w:t>
      </w:r>
      <w:r w:rsidR="00A86579">
        <w:rPr>
          <w:rFonts w:ascii="Arial" w:hAnsi="Arial" w:cs="Arial"/>
          <w:b/>
          <w:i/>
        </w:rPr>
        <w:t xml:space="preserve"> also </w:t>
      </w:r>
      <w:r w:rsidR="002E4B16">
        <w:rPr>
          <w:rFonts w:ascii="Arial" w:hAnsi="Arial" w:cs="Arial"/>
          <w:b/>
          <w:i/>
        </w:rPr>
        <w:t>relevant</w:t>
      </w:r>
      <w:r w:rsidRPr="00512725">
        <w:rPr>
          <w:rFonts w:ascii="Arial" w:hAnsi="Arial" w:cs="Arial"/>
          <w:b/>
          <w:i/>
        </w:rPr>
        <w:t xml:space="preserve"> to the proposed rate setting for GPLT for 201</w:t>
      </w:r>
      <w:r w:rsidR="00E94EDF">
        <w:rPr>
          <w:rFonts w:ascii="Arial" w:hAnsi="Arial" w:cs="Arial"/>
          <w:b/>
          <w:i/>
        </w:rPr>
        <w:t>7</w:t>
      </w:r>
      <w:r w:rsidRPr="00512725">
        <w:rPr>
          <w:rFonts w:ascii="Arial" w:hAnsi="Arial" w:cs="Arial"/>
          <w:b/>
          <w:i/>
        </w:rPr>
        <w:t>/1</w:t>
      </w:r>
      <w:r w:rsidR="00E94EDF">
        <w:rPr>
          <w:rFonts w:ascii="Arial" w:hAnsi="Arial" w:cs="Arial"/>
          <w:b/>
          <w:i/>
        </w:rPr>
        <w:t>8</w:t>
      </w:r>
      <w:r w:rsidRPr="00512725">
        <w:rPr>
          <w:rFonts w:ascii="Arial" w:hAnsi="Arial" w:cs="Arial"/>
          <w:b/>
          <w:i/>
        </w:rPr>
        <w:t xml:space="preserve"> (Cost of Service)</w:t>
      </w:r>
      <w:r w:rsidR="00D148A8">
        <w:rPr>
          <w:rFonts w:ascii="Arial" w:hAnsi="Arial" w:cs="Arial"/>
          <w:b/>
          <w:i/>
        </w:rPr>
        <w:t>,</w:t>
      </w:r>
      <w:r w:rsidR="00A86579">
        <w:rPr>
          <w:rFonts w:ascii="Arial" w:hAnsi="Arial" w:cs="Arial"/>
          <w:b/>
          <w:i/>
        </w:rPr>
        <w:t xml:space="preserve"> </w:t>
      </w:r>
      <w:r w:rsidRPr="00512725">
        <w:rPr>
          <w:rFonts w:ascii="Arial" w:hAnsi="Arial" w:cs="Arial"/>
          <w:b/>
          <w:i/>
        </w:rPr>
        <w:t xml:space="preserve">followed </w:t>
      </w:r>
      <w:r w:rsidR="00A86579">
        <w:rPr>
          <w:rFonts w:ascii="Arial" w:hAnsi="Arial" w:cs="Arial"/>
          <w:b/>
          <w:i/>
        </w:rPr>
        <w:t>sta</w:t>
      </w:r>
      <w:r w:rsidR="00E94EDF">
        <w:rPr>
          <w:rFonts w:ascii="Arial" w:hAnsi="Arial" w:cs="Arial"/>
          <w:b/>
          <w:i/>
        </w:rPr>
        <w:t>r</w:t>
      </w:r>
      <w:r w:rsidR="00A86579">
        <w:rPr>
          <w:rFonts w:ascii="Arial" w:hAnsi="Arial" w:cs="Arial"/>
          <w:b/>
          <w:i/>
        </w:rPr>
        <w:t xml:space="preserve">ting in 2019 </w:t>
      </w:r>
      <w:r w:rsidRPr="00512725">
        <w:rPr>
          <w:rFonts w:ascii="Arial" w:hAnsi="Arial" w:cs="Arial"/>
          <w:b/>
          <w:i/>
        </w:rPr>
        <w:t xml:space="preserve">by </w:t>
      </w:r>
      <w:r w:rsidR="00E94EDF">
        <w:rPr>
          <w:rFonts w:ascii="Arial" w:hAnsi="Arial" w:cs="Arial"/>
          <w:b/>
          <w:i/>
        </w:rPr>
        <w:t xml:space="preserve">a Revenue Cap and </w:t>
      </w:r>
      <w:r w:rsidRPr="00512725">
        <w:rPr>
          <w:rFonts w:ascii="Arial" w:hAnsi="Arial" w:cs="Arial"/>
          <w:b/>
          <w:i/>
        </w:rPr>
        <w:t>escalation of the Revenue Requirement by inflation</w:t>
      </w:r>
      <w:r w:rsidR="00CC0824" w:rsidRPr="00512725">
        <w:rPr>
          <w:rFonts w:ascii="Arial" w:hAnsi="Arial" w:cs="Arial"/>
          <w:b/>
          <w:i/>
        </w:rPr>
        <w:t xml:space="preserve">, </w:t>
      </w:r>
      <w:r w:rsidRPr="00512725">
        <w:rPr>
          <w:rFonts w:ascii="Arial" w:hAnsi="Arial" w:cs="Arial"/>
          <w:b/>
          <w:i/>
          <w:u w:val="single"/>
        </w:rPr>
        <w:t xml:space="preserve">absent any X factor or </w:t>
      </w:r>
      <w:r w:rsidR="00CC0824" w:rsidRPr="00512725">
        <w:rPr>
          <w:rFonts w:ascii="Arial" w:hAnsi="Arial" w:cs="Arial"/>
          <w:b/>
          <w:i/>
          <w:u w:val="single"/>
        </w:rPr>
        <w:t>Stretch F</w:t>
      </w:r>
      <w:r w:rsidRPr="00512725">
        <w:rPr>
          <w:rFonts w:ascii="Arial" w:hAnsi="Arial" w:cs="Arial"/>
          <w:b/>
          <w:i/>
          <w:u w:val="single"/>
        </w:rPr>
        <w:t>actor</w:t>
      </w:r>
      <w:r w:rsidR="00EF3BC8">
        <w:rPr>
          <w:rFonts w:ascii="Arial" w:hAnsi="Arial" w:cs="Arial"/>
          <w:b/>
          <w:i/>
          <w:u w:val="single"/>
        </w:rPr>
        <w:t xml:space="preserve">, </w:t>
      </w:r>
      <w:r w:rsidR="00EF3BC8">
        <w:rPr>
          <w:rFonts w:ascii="Arial" w:hAnsi="Arial" w:cs="Arial"/>
          <w:b/>
          <w:u w:val="single"/>
        </w:rPr>
        <w:t>as well as a</w:t>
      </w:r>
      <w:r w:rsidR="002E4B16">
        <w:rPr>
          <w:rFonts w:ascii="Arial" w:hAnsi="Arial" w:cs="Arial"/>
          <w:b/>
          <w:u w:val="single"/>
        </w:rPr>
        <w:t>n</w:t>
      </w:r>
      <w:r w:rsidR="00EF3BC8">
        <w:rPr>
          <w:rFonts w:ascii="Arial" w:hAnsi="Arial" w:cs="Arial"/>
          <w:b/>
          <w:u w:val="single"/>
        </w:rPr>
        <w:t xml:space="preserve"> ESM </w:t>
      </w:r>
      <w:r w:rsidR="002E4B16">
        <w:rPr>
          <w:rFonts w:ascii="Arial" w:hAnsi="Arial" w:cs="Arial"/>
          <w:b/>
          <w:u w:val="single"/>
        </w:rPr>
        <w:t xml:space="preserve">for </w:t>
      </w:r>
      <w:r w:rsidR="00A86579">
        <w:rPr>
          <w:rFonts w:ascii="Arial" w:hAnsi="Arial" w:cs="Arial"/>
          <w:b/>
          <w:u w:val="single"/>
        </w:rPr>
        <w:t xml:space="preserve">the last </w:t>
      </w:r>
      <w:r w:rsidR="00EF3BC8">
        <w:rPr>
          <w:rFonts w:ascii="Arial" w:hAnsi="Arial" w:cs="Arial"/>
          <w:b/>
          <w:u w:val="single"/>
        </w:rPr>
        <w:t>5 years</w:t>
      </w:r>
      <w:r w:rsidR="0090702E">
        <w:rPr>
          <w:rFonts w:ascii="Arial" w:hAnsi="Arial" w:cs="Arial"/>
          <w:b/>
          <w:u w:val="single"/>
        </w:rPr>
        <w:t>.</w:t>
      </w:r>
    </w:p>
    <w:p w:rsidR="002110E5" w:rsidRPr="00512725" w:rsidRDefault="002110E5" w:rsidP="002110E5">
      <w:pPr>
        <w:autoSpaceDE w:val="0"/>
        <w:autoSpaceDN w:val="0"/>
        <w:adjustRightInd w:val="0"/>
        <w:rPr>
          <w:rFonts w:ascii="Arial" w:hAnsi="Arial" w:cs="Arial"/>
          <w:b/>
          <w:i/>
        </w:rPr>
      </w:pPr>
    </w:p>
    <w:p w:rsidR="00E61E79" w:rsidRPr="00512725" w:rsidRDefault="00267D4F" w:rsidP="002110E5">
      <w:pPr>
        <w:autoSpaceDE w:val="0"/>
        <w:autoSpaceDN w:val="0"/>
        <w:adjustRightInd w:val="0"/>
        <w:rPr>
          <w:rFonts w:ascii="Arial" w:hAnsi="Arial" w:cs="Arial"/>
          <w:b/>
          <w:i/>
        </w:rPr>
      </w:pPr>
      <w:r w:rsidRPr="00512725">
        <w:rPr>
          <w:rFonts w:ascii="Arial" w:hAnsi="Arial" w:cs="Arial"/>
          <w:b/>
          <w:i/>
        </w:rPr>
        <w:t xml:space="preserve">This </w:t>
      </w:r>
      <w:r w:rsidR="002E4B16">
        <w:rPr>
          <w:rFonts w:ascii="Arial" w:hAnsi="Arial" w:cs="Arial"/>
          <w:b/>
          <w:i/>
        </w:rPr>
        <w:t xml:space="preserve">rate methodology </w:t>
      </w:r>
      <w:r w:rsidRPr="00512725">
        <w:rPr>
          <w:rFonts w:ascii="Arial" w:hAnsi="Arial" w:cs="Arial"/>
          <w:b/>
          <w:i/>
        </w:rPr>
        <w:t>is a material departure from the Guidelines that HO</w:t>
      </w:r>
      <w:r w:rsidR="00E61E79" w:rsidRPr="00512725">
        <w:rPr>
          <w:rFonts w:ascii="Arial" w:hAnsi="Arial" w:cs="Arial"/>
          <w:b/>
          <w:i/>
        </w:rPr>
        <w:t xml:space="preserve"> states</w:t>
      </w:r>
      <w:r w:rsidRPr="00512725">
        <w:rPr>
          <w:rFonts w:ascii="Arial" w:hAnsi="Arial" w:cs="Arial"/>
          <w:b/>
          <w:i/>
        </w:rPr>
        <w:t xml:space="preserve"> is </w:t>
      </w:r>
      <w:r w:rsidR="006B171B">
        <w:rPr>
          <w:rFonts w:ascii="Arial" w:hAnsi="Arial" w:cs="Arial"/>
          <w:b/>
          <w:i/>
        </w:rPr>
        <w:t>“</w:t>
      </w:r>
      <w:r w:rsidRPr="00512725">
        <w:rPr>
          <w:rFonts w:ascii="Arial" w:hAnsi="Arial" w:cs="Arial"/>
          <w:b/>
          <w:i/>
        </w:rPr>
        <w:t>due to unique circumstances</w:t>
      </w:r>
      <w:r w:rsidR="006B171B">
        <w:rPr>
          <w:rFonts w:ascii="Arial" w:hAnsi="Arial" w:cs="Arial"/>
          <w:b/>
          <w:i/>
        </w:rPr>
        <w:t>”</w:t>
      </w:r>
      <w:r w:rsidRPr="00512725">
        <w:rPr>
          <w:rFonts w:ascii="Arial" w:hAnsi="Arial" w:cs="Arial"/>
          <w:b/>
          <w:i/>
        </w:rPr>
        <w:t>.</w:t>
      </w:r>
    </w:p>
    <w:p w:rsidR="00E61E79" w:rsidRPr="00512725" w:rsidRDefault="00E61E79" w:rsidP="002110E5">
      <w:pPr>
        <w:autoSpaceDE w:val="0"/>
        <w:autoSpaceDN w:val="0"/>
        <w:adjustRightInd w:val="0"/>
        <w:rPr>
          <w:rFonts w:ascii="Arial" w:hAnsi="Arial" w:cs="Arial"/>
          <w:b/>
          <w:i/>
        </w:rPr>
      </w:pPr>
    </w:p>
    <w:p w:rsidR="00EF3BC8" w:rsidRDefault="00E61E79" w:rsidP="002110E5">
      <w:pPr>
        <w:autoSpaceDE w:val="0"/>
        <w:autoSpaceDN w:val="0"/>
        <w:adjustRightInd w:val="0"/>
        <w:rPr>
          <w:rFonts w:ascii="Arial" w:hAnsi="Arial" w:cs="Arial"/>
          <w:b/>
          <w:i/>
        </w:rPr>
      </w:pPr>
      <w:r w:rsidRPr="00512725">
        <w:rPr>
          <w:rFonts w:ascii="Arial" w:hAnsi="Arial" w:cs="Arial"/>
          <w:b/>
          <w:i/>
        </w:rPr>
        <w:t xml:space="preserve">We are not fully clear what these unique circumstances </w:t>
      </w:r>
      <w:r w:rsidR="006B171B">
        <w:rPr>
          <w:rFonts w:ascii="Arial" w:hAnsi="Arial" w:cs="Arial"/>
          <w:b/>
          <w:i/>
        </w:rPr>
        <w:t xml:space="preserve">are </w:t>
      </w:r>
      <w:r w:rsidRPr="00512725">
        <w:rPr>
          <w:rFonts w:ascii="Arial" w:hAnsi="Arial" w:cs="Arial"/>
          <w:b/>
          <w:i/>
        </w:rPr>
        <w:t xml:space="preserve">and why they allow for deviation from the framework for </w:t>
      </w:r>
      <w:r w:rsidR="00EF3BC8">
        <w:rPr>
          <w:rFonts w:ascii="Arial" w:hAnsi="Arial" w:cs="Arial"/>
          <w:b/>
          <w:i/>
        </w:rPr>
        <w:t>C</w:t>
      </w:r>
      <w:r w:rsidRPr="00512725">
        <w:rPr>
          <w:rFonts w:ascii="Arial" w:hAnsi="Arial" w:cs="Arial"/>
          <w:b/>
          <w:i/>
        </w:rPr>
        <w:t>onsolidation</w:t>
      </w:r>
      <w:r w:rsidR="00EF3BC8">
        <w:rPr>
          <w:rFonts w:ascii="Arial" w:hAnsi="Arial" w:cs="Arial"/>
          <w:b/>
          <w:i/>
        </w:rPr>
        <w:t xml:space="preserve"> and Setting R</w:t>
      </w:r>
      <w:r w:rsidR="00886CF4">
        <w:rPr>
          <w:rFonts w:ascii="Arial" w:hAnsi="Arial" w:cs="Arial"/>
          <w:b/>
          <w:i/>
        </w:rPr>
        <w:t>ates</w:t>
      </w:r>
      <w:r w:rsidRPr="00512725">
        <w:rPr>
          <w:rFonts w:ascii="Arial" w:hAnsi="Arial" w:cs="Arial"/>
          <w:b/>
          <w:i/>
        </w:rPr>
        <w:t xml:space="preserve">. </w:t>
      </w:r>
    </w:p>
    <w:p w:rsidR="00EF3BC8" w:rsidRDefault="00EF3BC8" w:rsidP="002110E5">
      <w:pPr>
        <w:autoSpaceDE w:val="0"/>
        <w:autoSpaceDN w:val="0"/>
        <w:adjustRightInd w:val="0"/>
        <w:rPr>
          <w:rFonts w:ascii="Arial" w:hAnsi="Arial" w:cs="Arial"/>
          <w:b/>
          <w:i/>
        </w:rPr>
      </w:pPr>
    </w:p>
    <w:p w:rsidR="002110E5" w:rsidRPr="00512725" w:rsidRDefault="00E61E79" w:rsidP="002110E5">
      <w:pPr>
        <w:autoSpaceDE w:val="0"/>
        <w:autoSpaceDN w:val="0"/>
        <w:adjustRightInd w:val="0"/>
        <w:rPr>
          <w:rFonts w:ascii="Arial" w:hAnsi="Arial" w:cs="Arial"/>
          <w:b/>
          <w:i/>
        </w:rPr>
      </w:pPr>
      <w:r w:rsidRPr="00512725">
        <w:rPr>
          <w:rFonts w:ascii="Arial" w:hAnsi="Arial" w:cs="Arial"/>
          <w:b/>
          <w:i/>
        </w:rPr>
        <w:t>H</w:t>
      </w:r>
      <w:r w:rsidR="004E170D" w:rsidRPr="00512725">
        <w:rPr>
          <w:rFonts w:ascii="Arial" w:hAnsi="Arial" w:cs="Arial"/>
          <w:b/>
          <w:i/>
        </w:rPr>
        <w:t>O</w:t>
      </w:r>
      <w:r w:rsidRPr="00512725">
        <w:rPr>
          <w:rFonts w:ascii="Arial" w:hAnsi="Arial" w:cs="Arial"/>
          <w:b/>
          <w:i/>
        </w:rPr>
        <w:t xml:space="preserve"> should explain this in its Reply</w:t>
      </w:r>
      <w:r w:rsidR="004E170D" w:rsidRPr="00512725">
        <w:rPr>
          <w:rFonts w:ascii="Arial" w:hAnsi="Arial" w:cs="Arial"/>
          <w:b/>
          <w:i/>
        </w:rPr>
        <w:t>.</w:t>
      </w:r>
    </w:p>
    <w:p w:rsidR="0096715E" w:rsidRDefault="0096715E" w:rsidP="004B42E7">
      <w:pPr>
        <w:autoSpaceDE w:val="0"/>
        <w:autoSpaceDN w:val="0"/>
        <w:adjustRightInd w:val="0"/>
        <w:rPr>
          <w:rFonts w:ascii="Arial" w:hAnsi="Arial" w:cs="Arial"/>
          <w:b/>
        </w:rPr>
      </w:pPr>
    </w:p>
    <w:p w:rsidR="0090702E" w:rsidRDefault="0090702E" w:rsidP="004B42E7">
      <w:pPr>
        <w:autoSpaceDE w:val="0"/>
        <w:autoSpaceDN w:val="0"/>
        <w:adjustRightInd w:val="0"/>
        <w:rPr>
          <w:rFonts w:ascii="Arial" w:hAnsi="Arial" w:cs="Arial"/>
          <w:b/>
        </w:rPr>
      </w:pPr>
    </w:p>
    <w:p w:rsidR="0090702E" w:rsidRDefault="0090702E" w:rsidP="004B42E7">
      <w:pPr>
        <w:autoSpaceDE w:val="0"/>
        <w:autoSpaceDN w:val="0"/>
        <w:adjustRightInd w:val="0"/>
        <w:rPr>
          <w:rFonts w:ascii="Arial" w:hAnsi="Arial" w:cs="Arial"/>
          <w:b/>
        </w:rPr>
      </w:pPr>
    </w:p>
    <w:p w:rsidR="0090702E" w:rsidRPr="00512725" w:rsidRDefault="0090702E" w:rsidP="004B42E7">
      <w:pPr>
        <w:autoSpaceDE w:val="0"/>
        <w:autoSpaceDN w:val="0"/>
        <w:adjustRightInd w:val="0"/>
        <w:rPr>
          <w:rFonts w:ascii="Arial" w:hAnsi="Arial" w:cs="Arial"/>
          <w:b/>
        </w:rPr>
      </w:pPr>
    </w:p>
    <w:p w:rsidR="005D22DB" w:rsidRPr="00512725" w:rsidRDefault="005D22DB" w:rsidP="00F86D09">
      <w:pPr>
        <w:autoSpaceDE w:val="0"/>
        <w:autoSpaceDN w:val="0"/>
        <w:adjustRightInd w:val="0"/>
        <w:rPr>
          <w:rFonts w:ascii="Arial" w:hAnsi="Arial" w:cs="Arial"/>
          <w:b/>
        </w:rPr>
      </w:pPr>
    </w:p>
    <w:p w:rsidR="00F86D09" w:rsidRPr="00512725" w:rsidRDefault="00665646" w:rsidP="005947B2">
      <w:pPr>
        <w:pStyle w:val="ListParagraph"/>
        <w:numPr>
          <w:ilvl w:val="0"/>
          <w:numId w:val="7"/>
        </w:numPr>
        <w:autoSpaceDE w:val="0"/>
        <w:autoSpaceDN w:val="0"/>
        <w:adjustRightInd w:val="0"/>
        <w:rPr>
          <w:rFonts w:ascii="Arial" w:hAnsi="Arial" w:cs="Arial"/>
          <w:b/>
        </w:rPr>
      </w:pPr>
      <w:r w:rsidRPr="00512725">
        <w:rPr>
          <w:rFonts w:ascii="Arial" w:hAnsi="Arial" w:cs="Arial"/>
          <w:b/>
        </w:rPr>
        <w:t>Public Interest-</w:t>
      </w:r>
      <w:r w:rsidR="00F86D09" w:rsidRPr="00512725">
        <w:rPr>
          <w:rFonts w:ascii="Arial" w:hAnsi="Arial" w:cs="Arial"/>
          <w:b/>
        </w:rPr>
        <w:t>No Harm Test</w:t>
      </w:r>
    </w:p>
    <w:p w:rsidR="00862BC2" w:rsidRPr="00512725" w:rsidRDefault="00862BC2" w:rsidP="00862BC2">
      <w:pPr>
        <w:autoSpaceDE w:val="0"/>
        <w:autoSpaceDN w:val="0"/>
        <w:adjustRightInd w:val="0"/>
        <w:rPr>
          <w:rFonts w:ascii="Arial" w:hAnsi="Arial" w:cs="Arial"/>
        </w:rPr>
      </w:pPr>
    </w:p>
    <w:p w:rsidR="00A827F4" w:rsidRDefault="00966B0F" w:rsidP="0090702E">
      <w:pPr>
        <w:tabs>
          <w:tab w:val="left" w:pos="567"/>
        </w:tabs>
        <w:autoSpaceDE w:val="0"/>
        <w:autoSpaceDN w:val="0"/>
        <w:adjustRightInd w:val="0"/>
        <w:rPr>
          <w:rFonts w:ascii="Arial" w:hAnsi="Arial" w:cs="Arial"/>
          <w:sz w:val="22"/>
          <w:szCs w:val="22"/>
        </w:rPr>
      </w:pPr>
      <w:r>
        <w:rPr>
          <w:rFonts w:ascii="Arial" w:hAnsi="Arial" w:cs="Arial"/>
          <w:sz w:val="22"/>
          <w:szCs w:val="22"/>
        </w:rPr>
        <w:t xml:space="preserve">3.1 </w:t>
      </w:r>
      <w:r w:rsidR="0090702E">
        <w:rPr>
          <w:rFonts w:ascii="Arial" w:hAnsi="Arial" w:cs="Arial"/>
          <w:sz w:val="22"/>
          <w:szCs w:val="22"/>
        </w:rPr>
        <w:tab/>
      </w:r>
      <w:r>
        <w:rPr>
          <w:rFonts w:ascii="Arial" w:hAnsi="Arial" w:cs="Arial"/>
          <w:sz w:val="22"/>
          <w:szCs w:val="22"/>
        </w:rPr>
        <w:t>T</w:t>
      </w:r>
      <w:r w:rsidR="00862BC2" w:rsidRPr="00512725">
        <w:rPr>
          <w:rFonts w:ascii="Arial" w:hAnsi="Arial" w:cs="Arial"/>
          <w:sz w:val="22"/>
          <w:szCs w:val="22"/>
        </w:rPr>
        <w:t xml:space="preserve">he No harm Test is outlined in the Handbook, Section 3 and </w:t>
      </w:r>
      <w:r w:rsidR="00862BC2" w:rsidRPr="00512725">
        <w:rPr>
          <w:rFonts w:ascii="Arial" w:hAnsi="Arial" w:cs="Arial"/>
          <w:i/>
          <w:iCs/>
          <w:sz w:val="22"/>
          <w:szCs w:val="22"/>
        </w:rPr>
        <w:t>The OEB Test</w:t>
      </w:r>
      <w:r w:rsidR="00862BC2" w:rsidRPr="00512725">
        <w:rPr>
          <w:rFonts w:ascii="Arial" w:hAnsi="Arial" w:cs="Arial"/>
          <w:sz w:val="22"/>
          <w:szCs w:val="22"/>
        </w:rPr>
        <w:t>, and Section 4,</w:t>
      </w:r>
      <w:r w:rsidR="0090702E">
        <w:rPr>
          <w:rFonts w:ascii="Arial" w:hAnsi="Arial" w:cs="Arial"/>
          <w:sz w:val="22"/>
          <w:szCs w:val="22"/>
        </w:rPr>
        <w:t xml:space="preserve"> </w:t>
      </w:r>
      <w:r w:rsidR="00862BC2" w:rsidRPr="00512725">
        <w:rPr>
          <w:rFonts w:ascii="Arial" w:hAnsi="Arial" w:cs="Arial"/>
          <w:i/>
          <w:iCs/>
          <w:sz w:val="22"/>
          <w:szCs w:val="22"/>
        </w:rPr>
        <w:t>The OEB Assessment of the Application</w:t>
      </w:r>
      <w:r w:rsidR="00862BC2" w:rsidRPr="00512725">
        <w:rPr>
          <w:rFonts w:ascii="Arial" w:hAnsi="Arial" w:cs="Arial"/>
          <w:sz w:val="22"/>
          <w:szCs w:val="22"/>
        </w:rPr>
        <w:t>, found on pages 6-10.</w:t>
      </w:r>
    </w:p>
    <w:p w:rsidR="003151FB" w:rsidRDefault="003151FB" w:rsidP="00862BC2">
      <w:pPr>
        <w:autoSpaceDE w:val="0"/>
        <w:autoSpaceDN w:val="0"/>
        <w:adjustRightInd w:val="0"/>
        <w:rPr>
          <w:rFonts w:ascii="Arial" w:hAnsi="Arial" w:cs="Arial"/>
          <w:sz w:val="22"/>
          <w:szCs w:val="22"/>
        </w:rPr>
      </w:pPr>
    </w:p>
    <w:p w:rsidR="003151FB" w:rsidRPr="003151FB" w:rsidRDefault="003151FB" w:rsidP="003E6E95">
      <w:pPr>
        <w:tabs>
          <w:tab w:val="left" w:pos="567"/>
        </w:tabs>
        <w:autoSpaceDE w:val="0"/>
        <w:autoSpaceDN w:val="0"/>
        <w:adjustRightInd w:val="0"/>
        <w:rPr>
          <w:rFonts w:ascii="Arial" w:hAnsi="Arial" w:cs="Arial"/>
          <w:sz w:val="22"/>
          <w:szCs w:val="22"/>
        </w:rPr>
      </w:pPr>
      <w:r w:rsidRPr="003151FB">
        <w:rPr>
          <w:rFonts w:ascii="Arial" w:hAnsi="Arial" w:cs="Arial"/>
          <w:sz w:val="23"/>
          <w:szCs w:val="23"/>
        </w:rPr>
        <w:t xml:space="preserve">3.2 </w:t>
      </w:r>
      <w:r w:rsidR="0090702E">
        <w:rPr>
          <w:rFonts w:ascii="Arial" w:hAnsi="Arial" w:cs="Arial"/>
          <w:sz w:val="23"/>
          <w:szCs w:val="23"/>
        </w:rPr>
        <w:tab/>
      </w:r>
      <w:r w:rsidRPr="003151FB">
        <w:rPr>
          <w:rFonts w:ascii="Arial" w:hAnsi="Arial" w:cs="Arial"/>
          <w:sz w:val="23"/>
          <w:szCs w:val="23"/>
        </w:rPr>
        <w:t>In applying the “no harm” test, the OEB has primarily focused its review on impacts of the proposed transaction on price and quality of service to customers, and the cost effectiveness, economic efficiency and financial viability of the electricity distribution sector.</w:t>
      </w:r>
    </w:p>
    <w:p w:rsidR="00862BC2" w:rsidRPr="00512725" w:rsidRDefault="00862BC2" w:rsidP="00665646">
      <w:pPr>
        <w:autoSpaceDE w:val="0"/>
        <w:autoSpaceDN w:val="0"/>
        <w:adjustRightInd w:val="0"/>
        <w:rPr>
          <w:rFonts w:ascii="Arial" w:hAnsi="Arial" w:cs="Arial"/>
          <w:sz w:val="22"/>
          <w:szCs w:val="22"/>
        </w:rPr>
      </w:pPr>
    </w:p>
    <w:p w:rsidR="004B42E7" w:rsidRPr="00512725" w:rsidRDefault="00B00C44" w:rsidP="0090702E">
      <w:pPr>
        <w:tabs>
          <w:tab w:val="left" w:pos="567"/>
        </w:tabs>
        <w:autoSpaceDE w:val="0"/>
        <w:autoSpaceDN w:val="0"/>
        <w:adjustRightInd w:val="0"/>
        <w:rPr>
          <w:rFonts w:ascii="Arial" w:hAnsi="Arial" w:cs="Arial"/>
          <w:sz w:val="22"/>
          <w:szCs w:val="22"/>
        </w:rPr>
      </w:pPr>
      <w:r w:rsidRPr="00512725">
        <w:rPr>
          <w:rFonts w:ascii="Arial" w:hAnsi="Arial" w:cs="Arial"/>
          <w:sz w:val="22"/>
          <w:szCs w:val="22"/>
        </w:rPr>
        <w:t>3.</w:t>
      </w:r>
      <w:r w:rsidR="00966B0F">
        <w:rPr>
          <w:rFonts w:ascii="Arial" w:hAnsi="Arial" w:cs="Arial"/>
          <w:sz w:val="22"/>
          <w:szCs w:val="22"/>
        </w:rPr>
        <w:t>3</w:t>
      </w:r>
      <w:r w:rsidRPr="00512725">
        <w:rPr>
          <w:rFonts w:ascii="Arial" w:hAnsi="Arial" w:cs="Arial"/>
          <w:sz w:val="22"/>
          <w:szCs w:val="22"/>
        </w:rPr>
        <w:t xml:space="preserve"> </w:t>
      </w:r>
      <w:r w:rsidR="0090702E">
        <w:rPr>
          <w:rFonts w:ascii="Arial" w:hAnsi="Arial" w:cs="Arial"/>
          <w:sz w:val="22"/>
          <w:szCs w:val="22"/>
        </w:rPr>
        <w:tab/>
      </w:r>
      <w:r w:rsidR="00665646" w:rsidRPr="00512725">
        <w:rPr>
          <w:rFonts w:ascii="Arial" w:hAnsi="Arial" w:cs="Arial"/>
          <w:sz w:val="22"/>
          <w:szCs w:val="22"/>
        </w:rPr>
        <w:t>HOI’s assessment of the proposed transaction takes into acc</w:t>
      </w:r>
      <w:r w:rsidR="005D22DB" w:rsidRPr="00512725">
        <w:rPr>
          <w:rFonts w:ascii="Arial" w:hAnsi="Arial" w:cs="Arial"/>
          <w:sz w:val="22"/>
          <w:szCs w:val="22"/>
        </w:rPr>
        <w:t>ount the Board’s “No Harm” Test as</w:t>
      </w:r>
      <w:r w:rsidR="00665646" w:rsidRPr="00512725">
        <w:rPr>
          <w:rFonts w:ascii="Arial" w:hAnsi="Arial" w:cs="Arial"/>
          <w:sz w:val="22"/>
          <w:szCs w:val="22"/>
        </w:rPr>
        <w:t xml:space="preserve"> outlined in the Handbook</w:t>
      </w:r>
      <w:r w:rsidR="00EF3BC8">
        <w:rPr>
          <w:rStyle w:val="FootnoteReference"/>
          <w:rFonts w:ascii="Arial" w:hAnsi="Arial" w:cs="Arial"/>
          <w:sz w:val="22"/>
          <w:szCs w:val="22"/>
        </w:rPr>
        <w:footnoteReference w:id="5"/>
      </w:r>
      <w:r w:rsidR="004B42E7" w:rsidRPr="00512725">
        <w:rPr>
          <w:rFonts w:ascii="Arial" w:hAnsi="Arial" w:cs="Arial"/>
          <w:sz w:val="22"/>
          <w:szCs w:val="22"/>
        </w:rPr>
        <w:t xml:space="preserve"> </w:t>
      </w:r>
    </w:p>
    <w:p w:rsidR="002063E2" w:rsidRPr="00512725" w:rsidRDefault="002063E2" w:rsidP="004B42E7">
      <w:pPr>
        <w:autoSpaceDE w:val="0"/>
        <w:autoSpaceDN w:val="0"/>
        <w:adjustRightInd w:val="0"/>
        <w:rPr>
          <w:rFonts w:ascii="Arial" w:hAnsi="Arial" w:cs="Arial"/>
          <w:sz w:val="22"/>
          <w:szCs w:val="22"/>
        </w:rPr>
      </w:pPr>
    </w:p>
    <w:p w:rsidR="001F368C" w:rsidRPr="00512725" w:rsidRDefault="00B00C44" w:rsidP="0090702E">
      <w:pPr>
        <w:tabs>
          <w:tab w:val="left" w:pos="567"/>
        </w:tabs>
        <w:autoSpaceDE w:val="0"/>
        <w:autoSpaceDN w:val="0"/>
        <w:adjustRightInd w:val="0"/>
        <w:rPr>
          <w:rFonts w:ascii="Arial" w:hAnsi="Arial" w:cs="Arial"/>
          <w:sz w:val="22"/>
          <w:szCs w:val="22"/>
        </w:rPr>
      </w:pPr>
      <w:r w:rsidRPr="00512725">
        <w:rPr>
          <w:rFonts w:ascii="Arial" w:hAnsi="Arial" w:cs="Arial"/>
        </w:rPr>
        <w:t>3.</w:t>
      </w:r>
      <w:r w:rsidR="00966B0F">
        <w:rPr>
          <w:rFonts w:ascii="Arial" w:hAnsi="Arial" w:cs="Arial"/>
        </w:rPr>
        <w:t>4</w:t>
      </w:r>
      <w:r w:rsidRPr="00512725">
        <w:rPr>
          <w:rFonts w:ascii="Arial" w:hAnsi="Arial" w:cs="Arial"/>
        </w:rPr>
        <w:t xml:space="preserve"> </w:t>
      </w:r>
      <w:r w:rsidR="0090702E">
        <w:rPr>
          <w:rFonts w:ascii="Arial" w:hAnsi="Arial" w:cs="Arial"/>
        </w:rPr>
        <w:tab/>
      </w:r>
      <w:r w:rsidR="001F368C" w:rsidRPr="00512725">
        <w:rPr>
          <w:rFonts w:ascii="Arial" w:hAnsi="Arial" w:cs="Arial"/>
          <w:sz w:val="22"/>
          <w:szCs w:val="22"/>
        </w:rPr>
        <w:t xml:space="preserve">The impacts of this transaction in relation to the Board’s “no harm” test </w:t>
      </w:r>
      <w:r w:rsidR="00886CF4">
        <w:rPr>
          <w:rFonts w:ascii="Arial" w:hAnsi="Arial" w:cs="Arial"/>
          <w:sz w:val="22"/>
          <w:szCs w:val="22"/>
        </w:rPr>
        <w:t xml:space="preserve">are </w:t>
      </w:r>
      <w:r w:rsidR="001F368C" w:rsidRPr="00512725">
        <w:rPr>
          <w:rFonts w:ascii="Arial" w:hAnsi="Arial" w:cs="Arial"/>
          <w:sz w:val="22"/>
          <w:szCs w:val="22"/>
        </w:rPr>
        <w:t>addressed in</w:t>
      </w:r>
    </w:p>
    <w:p w:rsidR="001F368C" w:rsidRPr="00512725" w:rsidRDefault="001F368C" w:rsidP="001F368C">
      <w:pPr>
        <w:autoSpaceDE w:val="0"/>
        <w:autoSpaceDN w:val="0"/>
        <w:adjustRightInd w:val="0"/>
        <w:rPr>
          <w:rFonts w:ascii="Arial" w:hAnsi="Arial" w:cs="Arial"/>
          <w:sz w:val="22"/>
          <w:szCs w:val="22"/>
        </w:rPr>
      </w:pPr>
      <w:r w:rsidRPr="00512725">
        <w:rPr>
          <w:rFonts w:ascii="Arial" w:hAnsi="Arial" w:cs="Arial"/>
          <w:sz w:val="22"/>
          <w:szCs w:val="22"/>
        </w:rPr>
        <w:t>Section 4 of Exhibit A, Tab 1, Schedule 1 and in the assessment found at Exhibit A Tab</w:t>
      </w:r>
    </w:p>
    <w:p w:rsidR="001F368C" w:rsidRPr="00512725" w:rsidRDefault="001F368C" w:rsidP="001F368C">
      <w:pPr>
        <w:autoSpaceDE w:val="0"/>
        <w:autoSpaceDN w:val="0"/>
        <w:adjustRightInd w:val="0"/>
        <w:rPr>
          <w:rFonts w:ascii="Arial" w:hAnsi="Arial" w:cs="Arial"/>
          <w:sz w:val="22"/>
          <w:szCs w:val="22"/>
        </w:rPr>
      </w:pPr>
      <w:r w:rsidRPr="00512725">
        <w:rPr>
          <w:rFonts w:ascii="Arial" w:hAnsi="Arial" w:cs="Arial"/>
          <w:sz w:val="22"/>
          <w:szCs w:val="22"/>
        </w:rPr>
        <w:t>2, Schedule 1, page 2.</w:t>
      </w:r>
    </w:p>
    <w:p w:rsidR="001F368C" w:rsidRPr="00512725" w:rsidRDefault="001F368C" w:rsidP="001F368C">
      <w:pPr>
        <w:autoSpaceDE w:val="0"/>
        <w:autoSpaceDN w:val="0"/>
        <w:adjustRightInd w:val="0"/>
        <w:rPr>
          <w:rFonts w:ascii="Arial" w:hAnsi="Arial" w:cs="Arial"/>
          <w:sz w:val="22"/>
          <w:szCs w:val="22"/>
        </w:rPr>
      </w:pPr>
    </w:p>
    <w:p w:rsidR="004B42E7" w:rsidRPr="00512725" w:rsidRDefault="00862BC2" w:rsidP="0090702E">
      <w:pPr>
        <w:tabs>
          <w:tab w:val="left" w:pos="567"/>
        </w:tabs>
        <w:autoSpaceDE w:val="0"/>
        <w:autoSpaceDN w:val="0"/>
        <w:adjustRightInd w:val="0"/>
        <w:rPr>
          <w:rFonts w:ascii="Arial" w:hAnsi="Arial" w:cs="Arial"/>
        </w:rPr>
      </w:pPr>
      <w:r w:rsidRPr="00512725">
        <w:rPr>
          <w:rFonts w:ascii="Arial" w:hAnsi="Arial" w:cs="Arial"/>
          <w:sz w:val="22"/>
          <w:szCs w:val="22"/>
        </w:rPr>
        <w:t>3.</w:t>
      </w:r>
      <w:r w:rsidR="00966B0F">
        <w:rPr>
          <w:rFonts w:ascii="Arial" w:hAnsi="Arial" w:cs="Arial"/>
          <w:sz w:val="22"/>
          <w:szCs w:val="22"/>
        </w:rPr>
        <w:t>5</w:t>
      </w:r>
      <w:r w:rsidR="001F368C" w:rsidRPr="00512725">
        <w:rPr>
          <w:rFonts w:ascii="Arial" w:hAnsi="Arial" w:cs="Arial"/>
          <w:sz w:val="22"/>
          <w:szCs w:val="22"/>
        </w:rPr>
        <w:t xml:space="preserve"> </w:t>
      </w:r>
      <w:r w:rsidR="0090702E">
        <w:rPr>
          <w:rFonts w:ascii="Arial" w:hAnsi="Arial" w:cs="Arial"/>
          <w:sz w:val="22"/>
          <w:szCs w:val="22"/>
        </w:rPr>
        <w:tab/>
      </w:r>
      <w:r w:rsidR="001F368C" w:rsidRPr="00512725">
        <w:rPr>
          <w:rFonts w:ascii="Arial" w:hAnsi="Arial" w:cs="Arial"/>
          <w:sz w:val="22"/>
          <w:szCs w:val="22"/>
        </w:rPr>
        <w:t xml:space="preserve">Five key conclusions were reached </w:t>
      </w:r>
      <w:r w:rsidRPr="00512725">
        <w:rPr>
          <w:rFonts w:ascii="Arial" w:hAnsi="Arial" w:cs="Arial"/>
          <w:sz w:val="22"/>
          <w:szCs w:val="22"/>
        </w:rPr>
        <w:t xml:space="preserve">by Hydro One </w:t>
      </w:r>
      <w:r w:rsidR="001F368C" w:rsidRPr="00512725">
        <w:rPr>
          <w:rFonts w:ascii="Arial" w:hAnsi="Arial" w:cs="Arial"/>
          <w:sz w:val="22"/>
          <w:szCs w:val="22"/>
        </w:rPr>
        <w:t>from this</w:t>
      </w:r>
      <w:r w:rsidR="00ED6129" w:rsidRPr="00512725">
        <w:rPr>
          <w:rFonts w:ascii="Arial" w:hAnsi="Arial" w:cs="Arial"/>
          <w:sz w:val="22"/>
          <w:szCs w:val="22"/>
        </w:rPr>
        <w:t xml:space="preserve"> </w:t>
      </w:r>
      <w:r w:rsidR="001F368C" w:rsidRPr="00512725">
        <w:rPr>
          <w:rFonts w:ascii="Arial" w:hAnsi="Arial" w:cs="Arial"/>
          <w:sz w:val="22"/>
          <w:szCs w:val="22"/>
        </w:rPr>
        <w:t>assessment</w:t>
      </w:r>
      <w:r w:rsidRPr="00512725">
        <w:rPr>
          <w:rFonts w:ascii="Arial" w:hAnsi="Arial" w:cs="Arial"/>
          <w:sz w:val="22"/>
          <w:szCs w:val="22"/>
        </w:rPr>
        <w:t xml:space="preserve">, </w:t>
      </w:r>
      <w:r w:rsidR="001F368C" w:rsidRPr="00512725">
        <w:rPr>
          <w:rFonts w:ascii="Arial" w:hAnsi="Arial" w:cs="Arial"/>
          <w:sz w:val="22"/>
          <w:szCs w:val="22"/>
        </w:rPr>
        <w:t>to justify why the “no harm” test is satisfied</w:t>
      </w:r>
      <w:r w:rsidR="004B42E7" w:rsidRPr="00512725">
        <w:rPr>
          <w:rFonts w:ascii="Arial" w:hAnsi="Arial" w:cs="Arial"/>
        </w:rPr>
        <w:t>:</w:t>
      </w:r>
    </w:p>
    <w:p w:rsidR="004B42E7" w:rsidRPr="00512725" w:rsidRDefault="004B42E7" w:rsidP="001F368C">
      <w:pPr>
        <w:pStyle w:val="ListParagraph"/>
        <w:numPr>
          <w:ilvl w:val="0"/>
          <w:numId w:val="11"/>
        </w:numPr>
        <w:autoSpaceDE w:val="0"/>
        <w:autoSpaceDN w:val="0"/>
        <w:adjustRightInd w:val="0"/>
        <w:rPr>
          <w:rFonts w:ascii="Arial" w:hAnsi="Arial" w:cs="Arial"/>
          <w:sz w:val="22"/>
          <w:szCs w:val="22"/>
        </w:rPr>
      </w:pPr>
      <w:r w:rsidRPr="00512725">
        <w:rPr>
          <w:rFonts w:ascii="Arial" w:hAnsi="Arial" w:cs="Arial"/>
          <w:sz w:val="22"/>
          <w:szCs w:val="22"/>
        </w:rPr>
        <w:t>Neither Hydro One nor GLPT will seek to increase its future revenue requirements</w:t>
      </w:r>
    </w:p>
    <w:p w:rsidR="004B42E7" w:rsidRPr="00512725" w:rsidRDefault="004B42E7" w:rsidP="001850A7">
      <w:pPr>
        <w:autoSpaceDE w:val="0"/>
        <w:autoSpaceDN w:val="0"/>
        <w:adjustRightInd w:val="0"/>
        <w:ind w:left="720" w:firstLine="60"/>
        <w:rPr>
          <w:rFonts w:ascii="Arial" w:hAnsi="Arial" w:cs="Arial"/>
          <w:sz w:val="22"/>
          <w:szCs w:val="22"/>
        </w:rPr>
      </w:pPr>
      <w:r w:rsidRPr="00512725">
        <w:rPr>
          <w:rFonts w:ascii="Arial" w:hAnsi="Arial" w:cs="Arial"/>
          <w:sz w:val="22"/>
          <w:szCs w:val="22"/>
        </w:rPr>
        <w:t>recovered from customers</w:t>
      </w:r>
      <w:r w:rsidR="001850A7">
        <w:rPr>
          <w:rFonts w:ascii="Arial" w:hAnsi="Arial" w:cs="Arial"/>
          <w:sz w:val="22"/>
          <w:szCs w:val="22"/>
        </w:rPr>
        <w:t>,</w:t>
      </w:r>
      <w:r w:rsidRPr="00512725">
        <w:rPr>
          <w:rFonts w:ascii="Arial" w:hAnsi="Arial" w:cs="Arial"/>
          <w:sz w:val="22"/>
          <w:szCs w:val="22"/>
        </w:rPr>
        <w:t xml:space="preserve"> in order to recover transact</w:t>
      </w:r>
      <w:r w:rsidR="001850A7">
        <w:rPr>
          <w:rFonts w:ascii="Arial" w:hAnsi="Arial" w:cs="Arial"/>
          <w:sz w:val="22"/>
          <w:szCs w:val="22"/>
        </w:rPr>
        <w:t xml:space="preserve">ion costs and premium associated </w:t>
      </w:r>
      <w:r w:rsidRPr="00512725">
        <w:rPr>
          <w:rFonts w:ascii="Arial" w:hAnsi="Arial" w:cs="Arial"/>
          <w:sz w:val="22"/>
          <w:szCs w:val="22"/>
        </w:rPr>
        <w:t>with this transaction.</w:t>
      </w:r>
    </w:p>
    <w:p w:rsidR="001F368C" w:rsidRPr="00512725" w:rsidRDefault="001F368C" w:rsidP="001F368C">
      <w:pPr>
        <w:autoSpaceDE w:val="0"/>
        <w:autoSpaceDN w:val="0"/>
        <w:adjustRightInd w:val="0"/>
        <w:ind w:left="398"/>
        <w:rPr>
          <w:rFonts w:ascii="Arial" w:hAnsi="Arial" w:cs="Arial"/>
          <w:sz w:val="22"/>
          <w:szCs w:val="22"/>
        </w:rPr>
      </w:pPr>
    </w:p>
    <w:p w:rsidR="004B42E7" w:rsidRPr="00512725" w:rsidRDefault="004B42E7" w:rsidP="001F368C">
      <w:pPr>
        <w:pStyle w:val="ListParagraph"/>
        <w:numPr>
          <w:ilvl w:val="0"/>
          <w:numId w:val="11"/>
        </w:numPr>
        <w:autoSpaceDE w:val="0"/>
        <w:autoSpaceDN w:val="0"/>
        <w:adjustRightInd w:val="0"/>
        <w:rPr>
          <w:rFonts w:ascii="Arial" w:hAnsi="Arial" w:cs="Arial"/>
          <w:sz w:val="22"/>
          <w:szCs w:val="22"/>
        </w:rPr>
      </w:pPr>
      <w:r w:rsidRPr="00512725">
        <w:rPr>
          <w:rFonts w:ascii="Arial" w:hAnsi="Arial" w:cs="Arial"/>
          <w:sz w:val="22"/>
          <w:szCs w:val="22"/>
        </w:rPr>
        <w:t>The amount of consideration paid by HOI will not have a material impact upon its</w:t>
      </w:r>
    </w:p>
    <w:p w:rsidR="004B42E7" w:rsidRPr="00512725" w:rsidRDefault="004B42E7" w:rsidP="004B42E7">
      <w:pPr>
        <w:autoSpaceDE w:val="0"/>
        <w:autoSpaceDN w:val="0"/>
        <w:adjustRightInd w:val="0"/>
        <w:rPr>
          <w:rFonts w:ascii="Arial" w:hAnsi="Arial" w:cs="Arial"/>
          <w:sz w:val="22"/>
          <w:szCs w:val="22"/>
        </w:rPr>
      </w:pPr>
      <w:r w:rsidRPr="00512725">
        <w:rPr>
          <w:rFonts w:ascii="Arial" w:hAnsi="Arial" w:cs="Arial"/>
          <w:sz w:val="22"/>
          <w:szCs w:val="22"/>
        </w:rPr>
        <w:t xml:space="preserve"> </w:t>
      </w:r>
      <w:r w:rsidR="005D22DB" w:rsidRPr="00512725">
        <w:rPr>
          <w:rFonts w:ascii="Arial" w:hAnsi="Arial" w:cs="Arial"/>
          <w:sz w:val="22"/>
          <w:szCs w:val="22"/>
        </w:rPr>
        <w:tab/>
      </w:r>
      <w:r w:rsidRPr="00512725">
        <w:rPr>
          <w:rFonts w:ascii="Arial" w:hAnsi="Arial" w:cs="Arial"/>
          <w:sz w:val="22"/>
          <w:szCs w:val="22"/>
        </w:rPr>
        <w:t>financial position. The purchase price will be paid in cash and will not be subject to</w:t>
      </w:r>
    </w:p>
    <w:p w:rsidR="004B42E7" w:rsidRPr="00512725" w:rsidRDefault="004B42E7" w:rsidP="004B42E7">
      <w:pPr>
        <w:spacing w:after="200" w:line="276" w:lineRule="auto"/>
        <w:rPr>
          <w:rFonts w:ascii="Arial" w:hAnsi="Arial" w:cs="Arial"/>
          <w:sz w:val="22"/>
          <w:szCs w:val="22"/>
        </w:rPr>
      </w:pPr>
      <w:r w:rsidRPr="00512725">
        <w:rPr>
          <w:rFonts w:ascii="Arial" w:hAnsi="Arial" w:cs="Arial"/>
          <w:sz w:val="22"/>
          <w:szCs w:val="22"/>
        </w:rPr>
        <w:t xml:space="preserve"> </w:t>
      </w:r>
      <w:r w:rsidR="005D22DB" w:rsidRPr="00512725">
        <w:rPr>
          <w:rFonts w:ascii="Arial" w:hAnsi="Arial" w:cs="Arial"/>
          <w:sz w:val="22"/>
          <w:szCs w:val="22"/>
        </w:rPr>
        <w:tab/>
      </w:r>
      <w:r w:rsidRPr="00512725">
        <w:rPr>
          <w:rFonts w:ascii="Arial" w:hAnsi="Arial" w:cs="Arial"/>
          <w:sz w:val="22"/>
          <w:szCs w:val="22"/>
        </w:rPr>
        <w:t>financing and is an amount that is approximately 2% of HOI’s fixed assets.</w:t>
      </w:r>
    </w:p>
    <w:p w:rsidR="001F368C" w:rsidRPr="00512725" w:rsidRDefault="001F368C" w:rsidP="001F368C">
      <w:pPr>
        <w:pStyle w:val="ListParagraph"/>
        <w:numPr>
          <w:ilvl w:val="0"/>
          <w:numId w:val="11"/>
        </w:numPr>
        <w:autoSpaceDE w:val="0"/>
        <w:autoSpaceDN w:val="0"/>
        <w:adjustRightInd w:val="0"/>
        <w:rPr>
          <w:rFonts w:ascii="Arial" w:hAnsi="Arial" w:cs="Arial"/>
          <w:sz w:val="22"/>
          <w:szCs w:val="22"/>
        </w:rPr>
      </w:pPr>
      <w:r w:rsidRPr="00512725">
        <w:rPr>
          <w:rFonts w:ascii="Arial" w:hAnsi="Arial" w:cs="Arial"/>
          <w:sz w:val="22"/>
          <w:szCs w:val="22"/>
        </w:rPr>
        <w:t xml:space="preserve"> The adequacy, reliability and quality of service of GLPTLP’s transmission</w:t>
      </w:r>
    </w:p>
    <w:p w:rsidR="001F368C" w:rsidRPr="00512725" w:rsidRDefault="001F368C" w:rsidP="001F368C">
      <w:pPr>
        <w:autoSpaceDE w:val="0"/>
        <w:autoSpaceDN w:val="0"/>
        <w:adjustRightInd w:val="0"/>
        <w:ind w:firstLine="720"/>
        <w:rPr>
          <w:rFonts w:ascii="Arial" w:hAnsi="Arial" w:cs="Arial"/>
          <w:sz w:val="22"/>
          <w:szCs w:val="22"/>
        </w:rPr>
      </w:pPr>
      <w:r w:rsidRPr="00512725">
        <w:rPr>
          <w:rFonts w:ascii="Arial" w:hAnsi="Arial" w:cs="Arial"/>
          <w:sz w:val="22"/>
          <w:szCs w:val="22"/>
        </w:rPr>
        <w:t>service will not be impacted;</w:t>
      </w:r>
    </w:p>
    <w:p w:rsidR="001F368C" w:rsidRPr="00512725" w:rsidRDefault="001F368C" w:rsidP="001F368C">
      <w:pPr>
        <w:autoSpaceDE w:val="0"/>
        <w:autoSpaceDN w:val="0"/>
        <w:adjustRightInd w:val="0"/>
        <w:ind w:firstLine="720"/>
        <w:rPr>
          <w:rFonts w:ascii="Arial" w:hAnsi="Arial" w:cs="Arial"/>
          <w:sz w:val="22"/>
          <w:szCs w:val="22"/>
        </w:rPr>
      </w:pPr>
    </w:p>
    <w:p w:rsidR="001F368C" w:rsidRPr="00512725" w:rsidRDefault="001F368C" w:rsidP="00ED6129">
      <w:pPr>
        <w:pStyle w:val="ListParagraph"/>
        <w:numPr>
          <w:ilvl w:val="0"/>
          <w:numId w:val="11"/>
        </w:numPr>
        <w:autoSpaceDE w:val="0"/>
        <w:autoSpaceDN w:val="0"/>
        <w:adjustRightInd w:val="0"/>
        <w:rPr>
          <w:rFonts w:ascii="Arial" w:hAnsi="Arial" w:cs="Arial"/>
          <w:sz w:val="22"/>
          <w:szCs w:val="22"/>
        </w:rPr>
      </w:pPr>
      <w:r w:rsidRPr="00512725">
        <w:rPr>
          <w:rFonts w:ascii="Arial" w:hAnsi="Arial" w:cs="Arial"/>
          <w:sz w:val="22"/>
          <w:szCs w:val="22"/>
        </w:rPr>
        <w:t>Longer-term synergy savings opportunities are reasonably expected to</w:t>
      </w:r>
    </w:p>
    <w:p w:rsidR="001F368C" w:rsidRPr="00512725" w:rsidRDefault="001F368C" w:rsidP="001F368C">
      <w:pPr>
        <w:autoSpaceDE w:val="0"/>
        <w:autoSpaceDN w:val="0"/>
        <w:adjustRightInd w:val="0"/>
        <w:ind w:firstLine="720"/>
        <w:rPr>
          <w:rFonts w:ascii="Arial" w:hAnsi="Arial" w:cs="Arial"/>
          <w:sz w:val="22"/>
          <w:szCs w:val="22"/>
        </w:rPr>
      </w:pPr>
      <w:r w:rsidRPr="00512725">
        <w:rPr>
          <w:rFonts w:ascii="Arial" w:hAnsi="Arial" w:cs="Arial"/>
          <w:sz w:val="22"/>
          <w:szCs w:val="22"/>
        </w:rPr>
        <w:t>result in reductions to underlying cost structures. These opportunities</w:t>
      </w:r>
    </w:p>
    <w:p w:rsidR="001F368C" w:rsidRPr="00512725" w:rsidRDefault="001F368C" w:rsidP="001F368C">
      <w:pPr>
        <w:autoSpaceDE w:val="0"/>
        <w:autoSpaceDN w:val="0"/>
        <w:adjustRightInd w:val="0"/>
        <w:ind w:firstLine="720"/>
        <w:rPr>
          <w:rFonts w:ascii="Arial" w:hAnsi="Arial" w:cs="Arial"/>
          <w:sz w:val="22"/>
          <w:szCs w:val="22"/>
        </w:rPr>
      </w:pPr>
      <w:r w:rsidRPr="00512725">
        <w:rPr>
          <w:rFonts w:ascii="Arial" w:hAnsi="Arial" w:cs="Arial"/>
          <w:sz w:val="22"/>
          <w:szCs w:val="22"/>
        </w:rPr>
        <w:t>would not arise but for the transaction; and</w:t>
      </w:r>
    </w:p>
    <w:p w:rsidR="001F368C" w:rsidRPr="00512725" w:rsidRDefault="001F368C" w:rsidP="001F368C">
      <w:pPr>
        <w:autoSpaceDE w:val="0"/>
        <w:autoSpaceDN w:val="0"/>
        <w:adjustRightInd w:val="0"/>
        <w:ind w:left="720"/>
        <w:rPr>
          <w:rFonts w:ascii="Arial" w:hAnsi="Arial" w:cs="Arial"/>
          <w:sz w:val="22"/>
          <w:szCs w:val="22"/>
        </w:rPr>
      </w:pPr>
    </w:p>
    <w:p w:rsidR="001F368C" w:rsidRPr="00512725" w:rsidRDefault="001F368C" w:rsidP="00ED6129">
      <w:pPr>
        <w:pStyle w:val="ListParagraph"/>
        <w:numPr>
          <w:ilvl w:val="0"/>
          <w:numId w:val="11"/>
        </w:numPr>
        <w:autoSpaceDE w:val="0"/>
        <w:autoSpaceDN w:val="0"/>
        <w:adjustRightInd w:val="0"/>
        <w:rPr>
          <w:rFonts w:ascii="Arial" w:hAnsi="Arial" w:cs="Arial"/>
          <w:sz w:val="22"/>
          <w:szCs w:val="22"/>
        </w:rPr>
      </w:pPr>
      <w:r w:rsidRPr="00512725">
        <w:rPr>
          <w:rFonts w:ascii="Arial" w:hAnsi="Arial" w:cs="Arial"/>
          <w:sz w:val="22"/>
          <w:szCs w:val="22"/>
        </w:rPr>
        <w:t>While longer-term synergy savings opportunities are reasonably expected,</w:t>
      </w:r>
      <w:r w:rsidR="00D06742">
        <w:rPr>
          <w:rFonts w:ascii="Arial" w:hAnsi="Arial" w:cs="Arial"/>
          <w:sz w:val="22"/>
          <w:szCs w:val="22"/>
        </w:rPr>
        <w:t xml:space="preserve"> </w:t>
      </w:r>
    </w:p>
    <w:p w:rsidR="00665646" w:rsidRPr="00512725" w:rsidRDefault="001F368C" w:rsidP="00D06742">
      <w:pPr>
        <w:autoSpaceDE w:val="0"/>
        <w:autoSpaceDN w:val="0"/>
        <w:adjustRightInd w:val="0"/>
        <w:ind w:left="720"/>
        <w:rPr>
          <w:rFonts w:ascii="Arial" w:hAnsi="Arial" w:cs="Arial"/>
          <w:sz w:val="22"/>
          <w:szCs w:val="22"/>
        </w:rPr>
      </w:pPr>
      <w:r w:rsidRPr="00512725">
        <w:rPr>
          <w:rFonts w:ascii="Arial" w:hAnsi="Arial" w:cs="Arial"/>
          <w:sz w:val="22"/>
          <w:szCs w:val="22"/>
        </w:rPr>
        <w:t>the magnitude of these savings is not likely to result in significant reductions</w:t>
      </w:r>
      <w:r w:rsidR="00D06742">
        <w:rPr>
          <w:rFonts w:ascii="Arial" w:hAnsi="Arial" w:cs="Arial"/>
          <w:sz w:val="22"/>
          <w:szCs w:val="22"/>
        </w:rPr>
        <w:t xml:space="preserve"> </w:t>
      </w:r>
      <w:r w:rsidRPr="00512725">
        <w:rPr>
          <w:rFonts w:ascii="Arial" w:hAnsi="Arial" w:cs="Arial"/>
          <w:sz w:val="22"/>
          <w:szCs w:val="22"/>
        </w:rPr>
        <w:t>to the UTR, given the relatively small size of the GLPTLP revenue</w:t>
      </w:r>
      <w:r w:rsidR="00D06742">
        <w:rPr>
          <w:rFonts w:ascii="Arial" w:hAnsi="Arial" w:cs="Arial"/>
          <w:sz w:val="22"/>
          <w:szCs w:val="22"/>
        </w:rPr>
        <w:t xml:space="preserve"> </w:t>
      </w:r>
      <w:r w:rsidRPr="00512725">
        <w:rPr>
          <w:rFonts w:ascii="Arial" w:hAnsi="Arial" w:cs="Arial"/>
          <w:sz w:val="22"/>
          <w:szCs w:val="22"/>
        </w:rPr>
        <w:t>requirement when compared to the overall revenue requirement recovered</w:t>
      </w:r>
      <w:r w:rsidR="00D06742">
        <w:rPr>
          <w:rFonts w:ascii="Arial" w:hAnsi="Arial" w:cs="Arial"/>
          <w:sz w:val="22"/>
          <w:szCs w:val="22"/>
        </w:rPr>
        <w:t xml:space="preserve"> </w:t>
      </w:r>
      <w:r w:rsidRPr="00512725">
        <w:rPr>
          <w:rFonts w:ascii="Arial" w:hAnsi="Arial" w:cs="Arial"/>
          <w:sz w:val="22"/>
          <w:szCs w:val="22"/>
        </w:rPr>
        <w:t>through the UTR.</w:t>
      </w:r>
    </w:p>
    <w:p w:rsidR="00D06742" w:rsidRDefault="00D06742" w:rsidP="0090702E">
      <w:pPr>
        <w:tabs>
          <w:tab w:val="left" w:pos="567"/>
        </w:tabs>
        <w:autoSpaceDE w:val="0"/>
        <w:autoSpaceDN w:val="0"/>
        <w:adjustRightInd w:val="0"/>
        <w:rPr>
          <w:rFonts w:ascii="Arial" w:hAnsi="Arial" w:cs="Arial"/>
        </w:rPr>
      </w:pPr>
    </w:p>
    <w:p w:rsidR="004E170D" w:rsidRPr="00512725" w:rsidRDefault="004E170D" w:rsidP="0090702E">
      <w:pPr>
        <w:tabs>
          <w:tab w:val="left" w:pos="567"/>
        </w:tabs>
        <w:autoSpaceDE w:val="0"/>
        <w:autoSpaceDN w:val="0"/>
        <w:adjustRightInd w:val="0"/>
        <w:rPr>
          <w:rFonts w:ascii="Arial" w:hAnsi="Arial" w:cs="Arial"/>
        </w:rPr>
      </w:pPr>
      <w:r w:rsidRPr="00512725">
        <w:rPr>
          <w:rFonts w:ascii="Arial" w:hAnsi="Arial" w:cs="Arial"/>
        </w:rPr>
        <w:t>3.</w:t>
      </w:r>
      <w:r w:rsidR="00966B0F">
        <w:rPr>
          <w:rFonts w:ascii="Arial" w:hAnsi="Arial" w:cs="Arial"/>
        </w:rPr>
        <w:t>6</w:t>
      </w:r>
      <w:r w:rsidRPr="00512725">
        <w:rPr>
          <w:rFonts w:ascii="Arial" w:hAnsi="Arial" w:cs="Arial"/>
        </w:rPr>
        <w:t xml:space="preserve"> </w:t>
      </w:r>
      <w:r w:rsidR="0090702E">
        <w:rPr>
          <w:rFonts w:ascii="Arial" w:hAnsi="Arial" w:cs="Arial"/>
        </w:rPr>
        <w:tab/>
      </w:r>
      <w:r w:rsidRPr="00512725">
        <w:rPr>
          <w:rFonts w:ascii="Arial" w:hAnsi="Arial" w:cs="Arial"/>
        </w:rPr>
        <w:t xml:space="preserve">Hydro One justifies </w:t>
      </w:r>
      <w:r w:rsidR="003E6E95">
        <w:rPr>
          <w:rFonts w:ascii="Arial" w:hAnsi="Arial" w:cs="Arial"/>
        </w:rPr>
        <w:t>the Transaction as follows:</w:t>
      </w:r>
    </w:p>
    <w:p w:rsidR="00ED6129" w:rsidRPr="00512725" w:rsidRDefault="004E170D" w:rsidP="004E170D">
      <w:pPr>
        <w:autoSpaceDE w:val="0"/>
        <w:autoSpaceDN w:val="0"/>
        <w:adjustRightInd w:val="0"/>
        <w:rPr>
          <w:rFonts w:ascii="Arial" w:hAnsi="Arial" w:cs="Arial"/>
          <w:b/>
          <w:i/>
        </w:rPr>
      </w:pPr>
      <w:r w:rsidRPr="00512725">
        <w:rPr>
          <w:rFonts w:ascii="Arial" w:hAnsi="Arial" w:cs="Arial"/>
        </w:rPr>
        <w:t>In the absence of this transaction, such</w:t>
      </w:r>
      <w:r w:rsidRPr="00512725">
        <w:rPr>
          <w:rFonts w:ascii="Arial" w:hAnsi="Arial" w:cs="Arial"/>
          <w:sz w:val="16"/>
          <w:szCs w:val="16"/>
        </w:rPr>
        <w:t xml:space="preserve"> </w:t>
      </w:r>
      <w:r w:rsidRPr="00512725">
        <w:rPr>
          <w:rFonts w:ascii="Arial" w:hAnsi="Arial" w:cs="Arial"/>
        </w:rPr>
        <w:t>certainty is not provided to ratepayers. Additionally, HOI’s evidence is that this</w:t>
      </w:r>
      <w:r w:rsidRPr="00512725">
        <w:rPr>
          <w:rFonts w:ascii="Arial" w:hAnsi="Arial" w:cs="Arial"/>
          <w:sz w:val="16"/>
          <w:szCs w:val="16"/>
        </w:rPr>
        <w:t xml:space="preserve"> </w:t>
      </w:r>
      <w:r w:rsidRPr="00512725">
        <w:rPr>
          <w:rFonts w:ascii="Arial" w:hAnsi="Arial" w:cs="Arial"/>
        </w:rPr>
        <w:t>transaction will result in downward pressure on the overall cost structures of both entities, to the ultimate benefit of Ontario ratepayers. The latter references both G</w:t>
      </w:r>
      <w:r w:rsidR="003E623A">
        <w:rPr>
          <w:rFonts w:ascii="Arial" w:hAnsi="Arial" w:cs="Arial"/>
        </w:rPr>
        <w:t>L</w:t>
      </w:r>
      <w:r w:rsidRPr="00512725">
        <w:rPr>
          <w:rFonts w:ascii="Arial" w:hAnsi="Arial" w:cs="Arial"/>
        </w:rPr>
        <w:t>PT and Hydro One</w:t>
      </w:r>
      <w:r w:rsidR="00C32E64">
        <w:rPr>
          <w:rStyle w:val="FootnoteReference"/>
          <w:rFonts w:ascii="Arial" w:hAnsi="Arial" w:cs="Arial"/>
        </w:rPr>
        <w:footnoteReference w:id="6"/>
      </w:r>
      <w:r w:rsidRPr="00512725">
        <w:rPr>
          <w:rFonts w:ascii="Arial" w:hAnsi="Arial" w:cs="Arial"/>
        </w:rPr>
        <w:t xml:space="preserve"> </w:t>
      </w:r>
    </w:p>
    <w:p w:rsidR="00A322A2" w:rsidRPr="00512725" w:rsidRDefault="00A322A2" w:rsidP="00887F1F">
      <w:pPr>
        <w:autoSpaceDE w:val="0"/>
        <w:autoSpaceDN w:val="0"/>
        <w:adjustRightInd w:val="0"/>
        <w:rPr>
          <w:rFonts w:ascii="Arial" w:hAnsi="Arial" w:cs="Arial"/>
          <w:b/>
          <w:i/>
        </w:rPr>
      </w:pPr>
    </w:p>
    <w:p w:rsidR="003E6E95" w:rsidRDefault="003E6E95" w:rsidP="00887F1F">
      <w:pPr>
        <w:autoSpaceDE w:val="0"/>
        <w:autoSpaceDN w:val="0"/>
        <w:adjustRightInd w:val="0"/>
        <w:rPr>
          <w:rFonts w:ascii="Arial" w:hAnsi="Arial" w:cs="Arial"/>
          <w:b/>
          <w:i/>
        </w:rPr>
      </w:pPr>
    </w:p>
    <w:p w:rsidR="005947B2" w:rsidRDefault="005947B2" w:rsidP="00887F1F">
      <w:pPr>
        <w:autoSpaceDE w:val="0"/>
        <w:autoSpaceDN w:val="0"/>
        <w:adjustRightInd w:val="0"/>
        <w:rPr>
          <w:rFonts w:ascii="Arial" w:hAnsi="Arial" w:cs="Arial"/>
          <w:b/>
          <w:i/>
        </w:rPr>
      </w:pPr>
      <w:r w:rsidRPr="00512725">
        <w:rPr>
          <w:rFonts w:ascii="Arial" w:hAnsi="Arial" w:cs="Arial"/>
          <w:b/>
          <w:i/>
        </w:rPr>
        <w:lastRenderedPageBreak/>
        <w:t>Discussion</w:t>
      </w:r>
    </w:p>
    <w:p w:rsidR="00C32E64" w:rsidRPr="00512725" w:rsidRDefault="00C32E64" w:rsidP="00887F1F">
      <w:pPr>
        <w:autoSpaceDE w:val="0"/>
        <w:autoSpaceDN w:val="0"/>
        <w:adjustRightInd w:val="0"/>
        <w:rPr>
          <w:rFonts w:ascii="Arial" w:hAnsi="Arial" w:cs="Arial"/>
          <w:b/>
          <w:i/>
        </w:rPr>
      </w:pPr>
    </w:p>
    <w:p w:rsidR="00887F1F" w:rsidRPr="00512725" w:rsidRDefault="001E4D76" w:rsidP="00887F1F">
      <w:pPr>
        <w:autoSpaceDE w:val="0"/>
        <w:autoSpaceDN w:val="0"/>
        <w:adjustRightInd w:val="0"/>
        <w:rPr>
          <w:rFonts w:ascii="Arial" w:hAnsi="Arial" w:cs="Arial"/>
          <w:b/>
          <w:i/>
        </w:rPr>
      </w:pPr>
      <w:r w:rsidRPr="00512725">
        <w:rPr>
          <w:rFonts w:ascii="Arial" w:hAnsi="Arial" w:cs="Arial"/>
          <w:b/>
          <w:i/>
        </w:rPr>
        <w:t>F</w:t>
      </w:r>
      <w:r w:rsidR="002063E2" w:rsidRPr="00512725">
        <w:rPr>
          <w:rFonts w:ascii="Arial" w:hAnsi="Arial" w:cs="Arial"/>
          <w:b/>
          <w:i/>
        </w:rPr>
        <w:t xml:space="preserve">or the reasons noted </w:t>
      </w:r>
      <w:r w:rsidR="00A322A2" w:rsidRPr="00512725">
        <w:rPr>
          <w:rFonts w:ascii="Arial" w:hAnsi="Arial" w:cs="Arial"/>
          <w:b/>
          <w:i/>
        </w:rPr>
        <w:t>earlier</w:t>
      </w:r>
      <w:r w:rsidR="002063E2" w:rsidRPr="00512725">
        <w:rPr>
          <w:rFonts w:ascii="Arial" w:hAnsi="Arial" w:cs="Arial"/>
          <w:b/>
          <w:i/>
        </w:rPr>
        <w:t xml:space="preserve">, </w:t>
      </w:r>
      <w:r w:rsidR="00FF6A50" w:rsidRPr="00512725">
        <w:rPr>
          <w:rFonts w:ascii="Arial" w:hAnsi="Arial" w:cs="Arial"/>
          <w:b/>
          <w:i/>
        </w:rPr>
        <w:t xml:space="preserve">the </w:t>
      </w:r>
      <w:r w:rsidR="002063E2" w:rsidRPr="00512725">
        <w:rPr>
          <w:rFonts w:ascii="Arial" w:hAnsi="Arial" w:cs="Arial"/>
          <w:b/>
          <w:i/>
        </w:rPr>
        <w:t xml:space="preserve">financial </w:t>
      </w:r>
      <w:r w:rsidR="00FF6A50" w:rsidRPr="00512725">
        <w:rPr>
          <w:rFonts w:ascii="Arial" w:hAnsi="Arial" w:cs="Arial"/>
          <w:b/>
          <w:i/>
        </w:rPr>
        <w:t>merits of the transaction, Price/premium and other matters are for the Shareholders of Hydro One and Great</w:t>
      </w:r>
      <w:r w:rsidR="00A322A2" w:rsidRPr="00512725">
        <w:rPr>
          <w:rFonts w:ascii="Arial" w:hAnsi="Arial" w:cs="Arial"/>
          <w:b/>
          <w:i/>
        </w:rPr>
        <w:t xml:space="preserve"> L</w:t>
      </w:r>
      <w:r w:rsidR="00FF6A50" w:rsidRPr="00512725">
        <w:rPr>
          <w:rFonts w:ascii="Arial" w:hAnsi="Arial" w:cs="Arial"/>
          <w:b/>
          <w:i/>
        </w:rPr>
        <w:t>akes Power to consider.</w:t>
      </w:r>
    </w:p>
    <w:p w:rsidR="001E4D76" w:rsidRPr="00512725" w:rsidRDefault="001E4D76" w:rsidP="00887F1F">
      <w:pPr>
        <w:autoSpaceDE w:val="0"/>
        <w:autoSpaceDN w:val="0"/>
        <w:adjustRightInd w:val="0"/>
        <w:rPr>
          <w:rFonts w:ascii="Arial" w:hAnsi="Arial" w:cs="Arial"/>
          <w:b/>
          <w:i/>
        </w:rPr>
      </w:pPr>
    </w:p>
    <w:p w:rsidR="002E4B16" w:rsidRDefault="001E4D76" w:rsidP="00887F1F">
      <w:pPr>
        <w:autoSpaceDE w:val="0"/>
        <w:autoSpaceDN w:val="0"/>
        <w:adjustRightInd w:val="0"/>
        <w:rPr>
          <w:rFonts w:ascii="Arial" w:hAnsi="Arial" w:cs="Arial"/>
          <w:b/>
          <w:i/>
        </w:rPr>
      </w:pPr>
      <w:r w:rsidRPr="00512725">
        <w:rPr>
          <w:rFonts w:ascii="Arial" w:hAnsi="Arial" w:cs="Arial"/>
          <w:b/>
          <w:i/>
        </w:rPr>
        <w:t xml:space="preserve">However </w:t>
      </w:r>
      <w:r w:rsidR="00ED6129" w:rsidRPr="00512725">
        <w:rPr>
          <w:rFonts w:ascii="Arial" w:hAnsi="Arial" w:cs="Arial"/>
          <w:b/>
          <w:i/>
        </w:rPr>
        <w:t xml:space="preserve">we submit </w:t>
      </w:r>
      <w:r w:rsidR="00D00408" w:rsidRPr="00512725">
        <w:rPr>
          <w:rFonts w:ascii="Arial" w:hAnsi="Arial" w:cs="Arial"/>
          <w:b/>
          <w:i/>
        </w:rPr>
        <w:t>that</w:t>
      </w:r>
      <w:r w:rsidR="003E623A">
        <w:rPr>
          <w:rFonts w:ascii="Arial" w:hAnsi="Arial" w:cs="Arial"/>
          <w:b/>
          <w:i/>
        </w:rPr>
        <w:t>:</w:t>
      </w:r>
    </w:p>
    <w:p w:rsidR="001E4D76" w:rsidRPr="00512725" w:rsidRDefault="00D00408" w:rsidP="00887F1F">
      <w:pPr>
        <w:autoSpaceDE w:val="0"/>
        <w:autoSpaceDN w:val="0"/>
        <w:adjustRightInd w:val="0"/>
        <w:rPr>
          <w:rFonts w:ascii="Arial" w:hAnsi="Arial" w:cs="Arial"/>
          <w:b/>
          <w:i/>
        </w:rPr>
      </w:pPr>
      <w:r w:rsidRPr="00512725">
        <w:rPr>
          <w:rFonts w:ascii="Arial" w:hAnsi="Arial" w:cs="Arial"/>
          <w:b/>
          <w:i/>
        </w:rPr>
        <w:t>T</w:t>
      </w:r>
      <w:r w:rsidR="001E4D76" w:rsidRPr="00512725">
        <w:rPr>
          <w:rFonts w:ascii="Arial" w:hAnsi="Arial" w:cs="Arial"/>
          <w:b/>
          <w:i/>
        </w:rPr>
        <w:t xml:space="preserve">he No Harm test should not be narrowly interpreted </w:t>
      </w:r>
      <w:r w:rsidR="004E170D" w:rsidRPr="00512725">
        <w:rPr>
          <w:rFonts w:ascii="Arial" w:hAnsi="Arial" w:cs="Arial"/>
          <w:b/>
          <w:i/>
        </w:rPr>
        <w:t xml:space="preserve">by </w:t>
      </w:r>
      <w:r w:rsidR="001E4D76" w:rsidRPr="00512725">
        <w:rPr>
          <w:rFonts w:ascii="Arial" w:hAnsi="Arial" w:cs="Arial"/>
          <w:b/>
          <w:i/>
        </w:rPr>
        <w:t xml:space="preserve">stating that no transaction costs will be collected from ratepayers or </w:t>
      </w:r>
      <w:r w:rsidR="00ED6129" w:rsidRPr="00512725">
        <w:rPr>
          <w:rFonts w:ascii="Arial" w:hAnsi="Arial" w:cs="Arial"/>
          <w:b/>
          <w:i/>
        </w:rPr>
        <w:t xml:space="preserve">the transaction </w:t>
      </w:r>
      <w:r w:rsidR="00B00C44" w:rsidRPr="00512725">
        <w:rPr>
          <w:rFonts w:ascii="Arial" w:hAnsi="Arial" w:cs="Arial"/>
          <w:b/>
          <w:i/>
        </w:rPr>
        <w:t xml:space="preserve">will </w:t>
      </w:r>
      <w:r w:rsidR="00ED6129" w:rsidRPr="00512725">
        <w:rPr>
          <w:rFonts w:ascii="Arial" w:hAnsi="Arial" w:cs="Arial"/>
          <w:b/>
          <w:i/>
        </w:rPr>
        <w:t xml:space="preserve">not </w:t>
      </w:r>
      <w:r w:rsidR="001E4D76" w:rsidRPr="00512725">
        <w:rPr>
          <w:rFonts w:ascii="Arial" w:hAnsi="Arial" w:cs="Arial"/>
          <w:b/>
          <w:i/>
        </w:rPr>
        <w:t>affect Hydro One</w:t>
      </w:r>
      <w:r w:rsidR="003E397B">
        <w:rPr>
          <w:rFonts w:ascii="Arial" w:hAnsi="Arial" w:cs="Arial"/>
          <w:b/>
          <w:i/>
        </w:rPr>
        <w:t>’s</w:t>
      </w:r>
      <w:r w:rsidR="001E4D76" w:rsidRPr="00512725">
        <w:rPr>
          <w:rFonts w:ascii="Arial" w:hAnsi="Arial" w:cs="Arial"/>
          <w:b/>
          <w:i/>
        </w:rPr>
        <w:t xml:space="preserve"> Financial </w:t>
      </w:r>
      <w:r w:rsidR="00B00C44" w:rsidRPr="00512725">
        <w:rPr>
          <w:rFonts w:ascii="Arial" w:hAnsi="Arial" w:cs="Arial"/>
          <w:b/>
          <w:i/>
        </w:rPr>
        <w:t>position</w:t>
      </w:r>
      <w:r w:rsidR="00ED6129" w:rsidRPr="00512725">
        <w:rPr>
          <w:rFonts w:ascii="Arial" w:hAnsi="Arial" w:cs="Arial"/>
          <w:b/>
          <w:i/>
        </w:rPr>
        <w:t>.</w:t>
      </w:r>
    </w:p>
    <w:p w:rsidR="00B00C44" w:rsidRPr="00512725" w:rsidRDefault="001E4D76" w:rsidP="00887F1F">
      <w:pPr>
        <w:autoSpaceDE w:val="0"/>
        <w:autoSpaceDN w:val="0"/>
        <w:adjustRightInd w:val="0"/>
        <w:rPr>
          <w:rFonts w:ascii="Arial" w:hAnsi="Arial" w:cs="Arial"/>
          <w:b/>
          <w:i/>
        </w:rPr>
      </w:pPr>
      <w:r w:rsidRPr="00512725">
        <w:rPr>
          <w:rFonts w:ascii="Arial" w:hAnsi="Arial" w:cs="Arial"/>
          <w:b/>
          <w:i/>
        </w:rPr>
        <w:t xml:space="preserve"> </w:t>
      </w:r>
    </w:p>
    <w:p w:rsidR="001E4D76" w:rsidRPr="00512725" w:rsidRDefault="001E4D76" w:rsidP="00887F1F">
      <w:pPr>
        <w:autoSpaceDE w:val="0"/>
        <w:autoSpaceDN w:val="0"/>
        <w:adjustRightInd w:val="0"/>
        <w:rPr>
          <w:rFonts w:ascii="Arial" w:hAnsi="Arial" w:cs="Arial"/>
          <w:b/>
          <w:i/>
        </w:rPr>
      </w:pPr>
      <w:r w:rsidRPr="00512725">
        <w:rPr>
          <w:rFonts w:ascii="Arial" w:hAnsi="Arial" w:cs="Arial"/>
          <w:b/>
          <w:i/>
        </w:rPr>
        <w:t>Ass</w:t>
      </w:r>
      <w:r w:rsidR="00B00C44" w:rsidRPr="00512725">
        <w:rPr>
          <w:rFonts w:ascii="Arial" w:hAnsi="Arial" w:cs="Arial"/>
          <w:b/>
          <w:i/>
        </w:rPr>
        <w:t>u</w:t>
      </w:r>
      <w:r w:rsidRPr="00512725">
        <w:rPr>
          <w:rFonts w:ascii="Arial" w:hAnsi="Arial" w:cs="Arial"/>
          <w:b/>
          <w:i/>
        </w:rPr>
        <w:t>rances that the reliability of the GLPT system will not det</w:t>
      </w:r>
      <w:r w:rsidR="00B00C44" w:rsidRPr="00512725">
        <w:rPr>
          <w:rFonts w:ascii="Arial" w:hAnsi="Arial" w:cs="Arial"/>
          <w:b/>
          <w:i/>
        </w:rPr>
        <w:t>e</w:t>
      </w:r>
      <w:r w:rsidRPr="00512725">
        <w:rPr>
          <w:rFonts w:ascii="Arial" w:hAnsi="Arial" w:cs="Arial"/>
          <w:b/>
          <w:i/>
        </w:rPr>
        <w:t>riorate</w:t>
      </w:r>
      <w:r w:rsidR="00B00C44" w:rsidRPr="00512725">
        <w:rPr>
          <w:rFonts w:ascii="Arial" w:hAnsi="Arial" w:cs="Arial"/>
          <w:b/>
          <w:i/>
        </w:rPr>
        <w:t xml:space="preserve">, and costs will not increase </w:t>
      </w:r>
      <w:r w:rsidR="00EF3BC8">
        <w:rPr>
          <w:rFonts w:ascii="Arial" w:hAnsi="Arial" w:cs="Arial"/>
          <w:b/>
          <w:i/>
        </w:rPr>
        <w:t>more than un</w:t>
      </w:r>
      <w:r w:rsidR="00FE6A1D">
        <w:rPr>
          <w:rFonts w:ascii="Arial" w:hAnsi="Arial" w:cs="Arial"/>
          <w:b/>
          <w:i/>
        </w:rPr>
        <w:t>d</w:t>
      </w:r>
      <w:r w:rsidR="00EF3BC8">
        <w:rPr>
          <w:rFonts w:ascii="Arial" w:hAnsi="Arial" w:cs="Arial"/>
          <w:b/>
          <w:i/>
        </w:rPr>
        <w:t xml:space="preserve">er a </w:t>
      </w:r>
      <w:r w:rsidR="00FE6A1D">
        <w:rPr>
          <w:rFonts w:ascii="Arial" w:hAnsi="Arial" w:cs="Arial"/>
          <w:b/>
          <w:i/>
        </w:rPr>
        <w:t>“</w:t>
      </w:r>
      <w:r w:rsidR="00EF3BC8">
        <w:rPr>
          <w:rFonts w:ascii="Arial" w:hAnsi="Arial" w:cs="Arial"/>
          <w:b/>
          <w:i/>
        </w:rPr>
        <w:t>business as usual</w:t>
      </w:r>
      <w:r w:rsidR="00FE6A1D">
        <w:rPr>
          <w:rFonts w:ascii="Arial" w:hAnsi="Arial" w:cs="Arial"/>
          <w:b/>
          <w:i/>
        </w:rPr>
        <w:t xml:space="preserve"> scenario”</w:t>
      </w:r>
      <w:r w:rsidR="003E397B">
        <w:rPr>
          <w:rFonts w:ascii="Arial" w:hAnsi="Arial" w:cs="Arial"/>
          <w:b/>
          <w:i/>
        </w:rPr>
        <w:t>,</w:t>
      </w:r>
      <w:r w:rsidR="00EF3BC8">
        <w:rPr>
          <w:rFonts w:ascii="Arial" w:hAnsi="Arial" w:cs="Arial"/>
          <w:b/>
          <w:i/>
        </w:rPr>
        <w:t xml:space="preserve"> </w:t>
      </w:r>
      <w:r w:rsidR="00B00C44" w:rsidRPr="00512725">
        <w:rPr>
          <w:rFonts w:ascii="Arial" w:hAnsi="Arial" w:cs="Arial"/>
          <w:b/>
          <w:i/>
        </w:rPr>
        <w:t>are also inadequate.</w:t>
      </w:r>
    </w:p>
    <w:p w:rsidR="00B00C44" w:rsidRPr="00512725" w:rsidRDefault="00B00C44" w:rsidP="00887F1F">
      <w:pPr>
        <w:autoSpaceDE w:val="0"/>
        <w:autoSpaceDN w:val="0"/>
        <w:adjustRightInd w:val="0"/>
        <w:rPr>
          <w:rFonts w:ascii="Arial" w:hAnsi="Arial" w:cs="Arial"/>
          <w:b/>
          <w:i/>
        </w:rPr>
      </w:pPr>
    </w:p>
    <w:p w:rsidR="00EF3BC8" w:rsidRDefault="00B00C44" w:rsidP="00887F1F">
      <w:pPr>
        <w:autoSpaceDE w:val="0"/>
        <w:autoSpaceDN w:val="0"/>
        <w:adjustRightInd w:val="0"/>
        <w:rPr>
          <w:rFonts w:ascii="Arial" w:hAnsi="Arial" w:cs="Arial"/>
          <w:b/>
          <w:i/>
        </w:rPr>
      </w:pPr>
      <w:r w:rsidRPr="00512725">
        <w:rPr>
          <w:rFonts w:ascii="Arial" w:hAnsi="Arial" w:cs="Arial"/>
          <w:b/>
          <w:i/>
        </w:rPr>
        <w:t xml:space="preserve">We suggest the conclusions offered </w:t>
      </w:r>
      <w:r w:rsidR="00A322A2" w:rsidRPr="00512725">
        <w:rPr>
          <w:rFonts w:ascii="Arial" w:hAnsi="Arial" w:cs="Arial"/>
          <w:b/>
          <w:i/>
        </w:rPr>
        <w:t>b</w:t>
      </w:r>
      <w:r w:rsidRPr="00512725">
        <w:rPr>
          <w:rFonts w:ascii="Arial" w:hAnsi="Arial" w:cs="Arial"/>
          <w:b/>
          <w:i/>
        </w:rPr>
        <w:t xml:space="preserve">y Hydro One are a very narrow view of the No Harm Test and more </w:t>
      </w:r>
      <w:r w:rsidR="00FE6A1D">
        <w:rPr>
          <w:rFonts w:ascii="Arial" w:hAnsi="Arial" w:cs="Arial"/>
          <w:b/>
          <w:i/>
        </w:rPr>
        <w:t xml:space="preserve">weight should be placed on </w:t>
      </w:r>
      <w:r w:rsidRPr="00512725">
        <w:rPr>
          <w:rFonts w:ascii="Arial" w:hAnsi="Arial" w:cs="Arial"/>
          <w:b/>
          <w:i/>
        </w:rPr>
        <w:t xml:space="preserve">evidence regarding Positive and Negative Outcomes from the </w:t>
      </w:r>
      <w:r w:rsidR="00A322A2" w:rsidRPr="00512725">
        <w:rPr>
          <w:rFonts w:ascii="Arial" w:hAnsi="Arial" w:cs="Arial"/>
          <w:b/>
          <w:i/>
        </w:rPr>
        <w:t>Consolidation/</w:t>
      </w:r>
      <w:r w:rsidRPr="00512725">
        <w:rPr>
          <w:rFonts w:ascii="Arial" w:hAnsi="Arial" w:cs="Arial"/>
          <w:b/>
          <w:i/>
        </w:rPr>
        <w:t>Merger</w:t>
      </w:r>
      <w:r w:rsidR="00FE6A1D">
        <w:rPr>
          <w:rFonts w:ascii="Arial" w:hAnsi="Arial" w:cs="Arial"/>
          <w:b/>
          <w:i/>
        </w:rPr>
        <w:t xml:space="preserve">, </w:t>
      </w:r>
      <w:r w:rsidRPr="00512725">
        <w:rPr>
          <w:rFonts w:ascii="Arial" w:hAnsi="Arial" w:cs="Arial"/>
          <w:b/>
          <w:i/>
        </w:rPr>
        <w:t xml:space="preserve">given the goals of </w:t>
      </w:r>
      <w:r w:rsidR="00A86579">
        <w:rPr>
          <w:rFonts w:ascii="Arial" w:hAnsi="Arial" w:cs="Arial"/>
          <w:b/>
          <w:i/>
        </w:rPr>
        <w:t>C</w:t>
      </w:r>
      <w:r w:rsidRPr="00512725">
        <w:rPr>
          <w:rFonts w:ascii="Arial" w:hAnsi="Arial" w:cs="Arial"/>
          <w:b/>
          <w:i/>
        </w:rPr>
        <w:t xml:space="preserve">onsolidation and the outcomes </w:t>
      </w:r>
      <w:r w:rsidR="00A86579">
        <w:rPr>
          <w:rFonts w:ascii="Arial" w:hAnsi="Arial" w:cs="Arial"/>
          <w:b/>
          <w:i/>
        </w:rPr>
        <w:t xml:space="preserve">expected </w:t>
      </w:r>
      <w:r w:rsidRPr="00512725">
        <w:rPr>
          <w:rFonts w:ascii="Arial" w:hAnsi="Arial" w:cs="Arial"/>
          <w:b/>
          <w:i/>
        </w:rPr>
        <w:t>from the RRFE Framework.</w:t>
      </w:r>
      <w:r w:rsidR="00EF3BC8">
        <w:rPr>
          <w:rFonts w:ascii="Arial" w:hAnsi="Arial" w:cs="Arial"/>
          <w:b/>
          <w:i/>
        </w:rPr>
        <w:t xml:space="preserve"> </w:t>
      </w:r>
    </w:p>
    <w:p w:rsidR="00EF3BC8" w:rsidRDefault="00EF3BC8" w:rsidP="00887F1F">
      <w:pPr>
        <w:autoSpaceDE w:val="0"/>
        <w:autoSpaceDN w:val="0"/>
        <w:adjustRightInd w:val="0"/>
        <w:rPr>
          <w:rFonts w:ascii="Arial" w:hAnsi="Arial" w:cs="Arial"/>
          <w:b/>
          <w:i/>
        </w:rPr>
      </w:pPr>
    </w:p>
    <w:p w:rsidR="00B00C44" w:rsidRPr="00512725" w:rsidRDefault="00B00C44" w:rsidP="00887F1F">
      <w:pPr>
        <w:autoSpaceDE w:val="0"/>
        <w:autoSpaceDN w:val="0"/>
        <w:adjustRightInd w:val="0"/>
        <w:rPr>
          <w:rFonts w:ascii="Arial" w:hAnsi="Arial" w:cs="Arial"/>
          <w:b/>
          <w:i/>
        </w:rPr>
      </w:pPr>
      <w:r w:rsidRPr="00512725">
        <w:rPr>
          <w:rFonts w:ascii="Arial" w:hAnsi="Arial" w:cs="Arial"/>
          <w:b/>
          <w:i/>
        </w:rPr>
        <w:t>Accordingly</w:t>
      </w:r>
      <w:r w:rsidR="00D00408" w:rsidRPr="00512725">
        <w:rPr>
          <w:rFonts w:ascii="Arial" w:hAnsi="Arial" w:cs="Arial"/>
          <w:b/>
          <w:i/>
        </w:rPr>
        <w:t>,</w:t>
      </w:r>
      <w:r w:rsidRPr="00512725">
        <w:rPr>
          <w:rFonts w:ascii="Arial" w:hAnsi="Arial" w:cs="Arial"/>
          <w:b/>
          <w:i/>
        </w:rPr>
        <w:t xml:space="preserve"> we suggest that in approving a </w:t>
      </w:r>
      <w:r w:rsidR="00A322A2" w:rsidRPr="00512725">
        <w:rPr>
          <w:rFonts w:ascii="Arial" w:hAnsi="Arial" w:cs="Arial"/>
          <w:b/>
          <w:i/>
        </w:rPr>
        <w:t>C</w:t>
      </w:r>
      <w:r w:rsidRPr="00512725">
        <w:rPr>
          <w:rFonts w:ascii="Arial" w:hAnsi="Arial" w:cs="Arial"/>
          <w:b/>
          <w:i/>
        </w:rPr>
        <w:t xml:space="preserve">onsolidation the Board must </w:t>
      </w:r>
      <w:r w:rsidR="00FE6A1D">
        <w:rPr>
          <w:rFonts w:ascii="Arial" w:hAnsi="Arial" w:cs="Arial"/>
          <w:b/>
          <w:i/>
        </w:rPr>
        <w:t xml:space="preserve">feel it has </w:t>
      </w:r>
      <w:r w:rsidR="004E170D" w:rsidRPr="00512725">
        <w:rPr>
          <w:rFonts w:ascii="Arial" w:hAnsi="Arial" w:cs="Arial"/>
          <w:b/>
          <w:i/>
        </w:rPr>
        <w:t>receive</w:t>
      </w:r>
      <w:r w:rsidR="00FE6A1D">
        <w:rPr>
          <w:rFonts w:ascii="Arial" w:hAnsi="Arial" w:cs="Arial"/>
          <w:b/>
          <w:i/>
        </w:rPr>
        <w:t>d</w:t>
      </w:r>
      <w:r w:rsidR="004E170D" w:rsidRPr="00512725">
        <w:rPr>
          <w:rFonts w:ascii="Arial" w:hAnsi="Arial" w:cs="Arial"/>
          <w:b/>
          <w:i/>
        </w:rPr>
        <w:t xml:space="preserve"> </w:t>
      </w:r>
      <w:r w:rsidRPr="00512725">
        <w:rPr>
          <w:rFonts w:ascii="Arial" w:hAnsi="Arial" w:cs="Arial"/>
          <w:b/>
          <w:i/>
        </w:rPr>
        <w:t>solid evidence of positive outcomes for ratepayers and the provincial transmission system and importantly, hold the applicants accountable for these outcomes.</w:t>
      </w:r>
    </w:p>
    <w:p w:rsidR="004E170D" w:rsidRPr="00512725" w:rsidRDefault="004E170D" w:rsidP="00887F1F">
      <w:pPr>
        <w:autoSpaceDE w:val="0"/>
        <w:autoSpaceDN w:val="0"/>
        <w:adjustRightInd w:val="0"/>
        <w:rPr>
          <w:rFonts w:ascii="Arial" w:hAnsi="Arial" w:cs="Arial"/>
          <w:b/>
          <w:i/>
        </w:rPr>
      </w:pPr>
    </w:p>
    <w:p w:rsidR="00EF3BC8" w:rsidRDefault="00EF3BC8" w:rsidP="00887F1F">
      <w:pPr>
        <w:autoSpaceDE w:val="0"/>
        <w:autoSpaceDN w:val="0"/>
        <w:adjustRightInd w:val="0"/>
        <w:rPr>
          <w:rFonts w:ascii="Arial" w:hAnsi="Arial" w:cs="Arial"/>
          <w:b/>
          <w:i/>
        </w:rPr>
      </w:pPr>
      <w:r>
        <w:rPr>
          <w:rFonts w:ascii="Arial" w:hAnsi="Arial" w:cs="Arial"/>
          <w:b/>
          <w:i/>
        </w:rPr>
        <w:t xml:space="preserve">The onus is on Hydro One/GLPT to provide this evidence. The evidence outlines potential </w:t>
      </w:r>
      <w:r w:rsidR="00FE6A1D">
        <w:rPr>
          <w:rFonts w:ascii="Arial" w:hAnsi="Arial" w:cs="Arial"/>
          <w:b/>
          <w:i/>
        </w:rPr>
        <w:t>positive outcomes,</w:t>
      </w:r>
      <w:r>
        <w:rPr>
          <w:rFonts w:ascii="Arial" w:hAnsi="Arial" w:cs="Arial"/>
          <w:b/>
          <w:i/>
        </w:rPr>
        <w:t xml:space="preserve"> but these are lacking in substance.</w:t>
      </w:r>
    </w:p>
    <w:p w:rsidR="00EF3BC8" w:rsidRDefault="00EF3BC8" w:rsidP="00887F1F">
      <w:pPr>
        <w:autoSpaceDE w:val="0"/>
        <w:autoSpaceDN w:val="0"/>
        <w:adjustRightInd w:val="0"/>
        <w:rPr>
          <w:rFonts w:ascii="Arial" w:hAnsi="Arial" w:cs="Arial"/>
          <w:b/>
          <w:i/>
        </w:rPr>
      </w:pPr>
    </w:p>
    <w:p w:rsidR="00A322A2" w:rsidRPr="00512725" w:rsidRDefault="00A322A2" w:rsidP="00887F1F">
      <w:pPr>
        <w:autoSpaceDE w:val="0"/>
        <w:autoSpaceDN w:val="0"/>
        <w:adjustRightInd w:val="0"/>
        <w:rPr>
          <w:rFonts w:ascii="Arial" w:hAnsi="Arial" w:cs="Arial"/>
          <w:b/>
          <w:i/>
        </w:rPr>
      </w:pPr>
      <w:r w:rsidRPr="00512725">
        <w:rPr>
          <w:rFonts w:ascii="Arial" w:hAnsi="Arial" w:cs="Arial"/>
          <w:b/>
          <w:i/>
        </w:rPr>
        <w:t xml:space="preserve">Saying that </w:t>
      </w:r>
      <w:r w:rsidR="004E170D" w:rsidRPr="00512725">
        <w:rPr>
          <w:rFonts w:ascii="Arial" w:hAnsi="Arial" w:cs="Arial"/>
          <w:b/>
          <w:i/>
        </w:rPr>
        <w:t>for GPLT</w:t>
      </w:r>
      <w:r w:rsidR="00966B0F">
        <w:rPr>
          <w:rFonts w:ascii="Arial" w:hAnsi="Arial" w:cs="Arial"/>
          <w:b/>
          <w:i/>
        </w:rPr>
        <w:t>,</w:t>
      </w:r>
      <w:r w:rsidR="004E170D" w:rsidRPr="00512725">
        <w:rPr>
          <w:rFonts w:ascii="Arial" w:hAnsi="Arial" w:cs="Arial"/>
          <w:b/>
          <w:i/>
        </w:rPr>
        <w:t xml:space="preserve"> </w:t>
      </w:r>
      <w:r w:rsidRPr="00512725">
        <w:rPr>
          <w:rFonts w:ascii="Arial" w:hAnsi="Arial" w:cs="Arial"/>
          <w:b/>
          <w:i/>
        </w:rPr>
        <w:t>synergy cost savings may occur that would not otherwise happen</w:t>
      </w:r>
      <w:r w:rsidR="004E170D" w:rsidRPr="00512725">
        <w:rPr>
          <w:rFonts w:ascii="Arial" w:hAnsi="Arial" w:cs="Arial"/>
          <w:b/>
          <w:i/>
        </w:rPr>
        <w:t>,</w:t>
      </w:r>
      <w:r w:rsidRPr="00512725">
        <w:rPr>
          <w:rFonts w:ascii="Arial" w:hAnsi="Arial" w:cs="Arial"/>
          <w:b/>
          <w:i/>
        </w:rPr>
        <w:t xml:space="preserve"> but </w:t>
      </w:r>
      <w:r w:rsidR="004E170D" w:rsidRPr="00512725">
        <w:rPr>
          <w:rFonts w:ascii="Arial" w:hAnsi="Arial" w:cs="Arial"/>
          <w:b/>
          <w:i/>
        </w:rPr>
        <w:t xml:space="preserve">in any event, </w:t>
      </w:r>
      <w:r w:rsidRPr="00512725">
        <w:rPr>
          <w:rFonts w:ascii="Arial" w:hAnsi="Arial" w:cs="Arial"/>
          <w:b/>
          <w:i/>
        </w:rPr>
        <w:t>may not have any effect on the UTR</w:t>
      </w:r>
      <w:r w:rsidR="004E170D" w:rsidRPr="00512725">
        <w:rPr>
          <w:rFonts w:ascii="Arial" w:hAnsi="Arial" w:cs="Arial"/>
          <w:b/>
          <w:i/>
        </w:rPr>
        <w:t>,</w:t>
      </w:r>
      <w:r w:rsidRPr="00512725">
        <w:rPr>
          <w:rFonts w:ascii="Arial" w:hAnsi="Arial" w:cs="Arial"/>
          <w:b/>
          <w:i/>
        </w:rPr>
        <w:t xml:space="preserve"> is not a sufficient reason to proceed. </w:t>
      </w:r>
      <w:r w:rsidR="004E170D" w:rsidRPr="00512725">
        <w:rPr>
          <w:rFonts w:ascii="Arial" w:hAnsi="Arial" w:cs="Arial"/>
          <w:b/>
          <w:i/>
        </w:rPr>
        <w:t>Hydro One also raises the spectre that the consolidation also puts downward pressure on HO</w:t>
      </w:r>
      <w:r w:rsidR="00886CF4">
        <w:rPr>
          <w:rFonts w:ascii="Arial" w:hAnsi="Arial" w:cs="Arial"/>
          <w:b/>
          <w:i/>
        </w:rPr>
        <w:t>’s own</w:t>
      </w:r>
      <w:r w:rsidR="004E170D" w:rsidRPr="00512725">
        <w:rPr>
          <w:rFonts w:ascii="Arial" w:hAnsi="Arial" w:cs="Arial"/>
          <w:b/>
          <w:i/>
        </w:rPr>
        <w:t xml:space="preserve"> costs</w:t>
      </w:r>
    </w:p>
    <w:p w:rsidR="00A322A2" w:rsidRPr="00512725" w:rsidRDefault="00A322A2" w:rsidP="00887F1F">
      <w:pPr>
        <w:autoSpaceDE w:val="0"/>
        <w:autoSpaceDN w:val="0"/>
        <w:adjustRightInd w:val="0"/>
        <w:rPr>
          <w:rFonts w:ascii="Arial" w:hAnsi="Arial" w:cs="Arial"/>
          <w:b/>
          <w:i/>
        </w:rPr>
      </w:pPr>
    </w:p>
    <w:p w:rsidR="00B00C44" w:rsidRDefault="00A322A2" w:rsidP="00887F1F">
      <w:pPr>
        <w:autoSpaceDE w:val="0"/>
        <w:autoSpaceDN w:val="0"/>
        <w:adjustRightInd w:val="0"/>
        <w:rPr>
          <w:rFonts w:ascii="Arial" w:hAnsi="Arial" w:cs="Arial"/>
          <w:b/>
          <w:i/>
        </w:rPr>
      </w:pPr>
      <w:r w:rsidRPr="00512725">
        <w:rPr>
          <w:rFonts w:ascii="Arial" w:hAnsi="Arial" w:cs="Arial"/>
          <w:b/>
          <w:i/>
        </w:rPr>
        <w:t xml:space="preserve"> </w:t>
      </w:r>
      <w:r w:rsidR="004E170D" w:rsidRPr="00512725">
        <w:rPr>
          <w:rFonts w:ascii="Arial" w:hAnsi="Arial" w:cs="Arial"/>
          <w:b/>
          <w:i/>
        </w:rPr>
        <w:t>If Hydro O</w:t>
      </w:r>
      <w:r w:rsidRPr="00512725">
        <w:rPr>
          <w:rFonts w:ascii="Arial" w:hAnsi="Arial" w:cs="Arial"/>
          <w:b/>
          <w:i/>
        </w:rPr>
        <w:t>ne is saying it can improve the reliability and performance of GLPT, then it should say so, and clearly commit to achieve this.</w:t>
      </w:r>
      <w:r w:rsidR="004E170D" w:rsidRPr="00512725">
        <w:rPr>
          <w:rFonts w:ascii="Arial" w:hAnsi="Arial" w:cs="Arial"/>
          <w:b/>
          <w:i/>
        </w:rPr>
        <w:t xml:space="preserve"> If consolidation is </w:t>
      </w:r>
      <w:r w:rsidR="0013729A" w:rsidRPr="00512725">
        <w:rPr>
          <w:rFonts w:ascii="Arial" w:hAnsi="Arial" w:cs="Arial"/>
          <w:b/>
          <w:i/>
        </w:rPr>
        <w:t xml:space="preserve">also </w:t>
      </w:r>
      <w:r w:rsidR="004E170D" w:rsidRPr="00512725">
        <w:rPr>
          <w:rFonts w:ascii="Arial" w:hAnsi="Arial" w:cs="Arial"/>
          <w:b/>
          <w:i/>
        </w:rPr>
        <w:t>going to result in downward pressure on HO costs and hence the UTR</w:t>
      </w:r>
      <w:r w:rsidR="0013729A" w:rsidRPr="00512725">
        <w:rPr>
          <w:rFonts w:ascii="Arial" w:hAnsi="Arial" w:cs="Arial"/>
          <w:b/>
          <w:i/>
        </w:rPr>
        <w:t>,</w:t>
      </w:r>
      <w:r w:rsidR="004E170D" w:rsidRPr="00512725">
        <w:rPr>
          <w:rFonts w:ascii="Arial" w:hAnsi="Arial" w:cs="Arial"/>
          <w:b/>
          <w:i/>
        </w:rPr>
        <w:t xml:space="preserve"> it should say so and commit to this.</w:t>
      </w:r>
    </w:p>
    <w:p w:rsidR="00886CF4" w:rsidRPr="00512725" w:rsidRDefault="00886CF4" w:rsidP="00887F1F">
      <w:pPr>
        <w:autoSpaceDE w:val="0"/>
        <w:autoSpaceDN w:val="0"/>
        <w:adjustRightInd w:val="0"/>
        <w:rPr>
          <w:rFonts w:ascii="Arial" w:hAnsi="Arial" w:cs="Arial"/>
          <w:b/>
          <w:i/>
        </w:rPr>
      </w:pPr>
    </w:p>
    <w:p w:rsidR="00887F1F" w:rsidRPr="00512725" w:rsidRDefault="00887F1F" w:rsidP="00887F1F">
      <w:pPr>
        <w:autoSpaceDE w:val="0"/>
        <w:autoSpaceDN w:val="0"/>
        <w:adjustRightInd w:val="0"/>
        <w:rPr>
          <w:rFonts w:ascii="Arial" w:hAnsi="Arial" w:cs="Arial"/>
          <w:b/>
        </w:rPr>
      </w:pPr>
    </w:p>
    <w:p w:rsidR="00FF6A50" w:rsidRPr="00512725" w:rsidRDefault="00FF6A50" w:rsidP="005947B2">
      <w:pPr>
        <w:pStyle w:val="ListParagraph"/>
        <w:numPr>
          <w:ilvl w:val="0"/>
          <w:numId w:val="7"/>
        </w:numPr>
        <w:autoSpaceDE w:val="0"/>
        <w:autoSpaceDN w:val="0"/>
        <w:adjustRightInd w:val="0"/>
        <w:rPr>
          <w:rFonts w:ascii="Arial" w:hAnsi="Arial" w:cs="Arial"/>
          <w:b/>
        </w:rPr>
      </w:pPr>
      <w:r w:rsidRPr="00512725">
        <w:rPr>
          <w:rFonts w:ascii="Arial" w:hAnsi="Arial" w:cs="Arial"/>
          <w:b/>
        </w:rPr>
        <w:t>Rate Setting Proposal for GLPT</w:t>
      </w:r>
    </w:p>
    <w:p w:rsidR="00DA4FEF" w:rsidRPr="00512725" w:rsidRDefault="00DA4FEF" w:rsidP="00DA4FEF">
      <w:pPr>
        <w:autoSpaceDE w:val="0"/>
        <w:autoSpaceDN w:val="0"/>
        <w:adjustRightInd w:val="0"/>
        <w:rPr>
          <w:rFonts w:ascii="Arial" w:hAnsi="Arial" w:cs="Arial"/>
          <w:sz w:val="16"/>
          <w:szCs w:val="16"/>
        </w:rPr>
      </w:pPr>
    </w:p>
    <w:p w:rsidR="00B00C44" w:rsidRPr="00512725" w:rsidRDefault="00DA4FEF" w:rsidP="003E6E95">
      <w:pPr>
        <w:tabs>
          <w:tab w:val="left" w:pos="567"/>
        </w:tabs>
        <w:autoSpaceDE w:val="0"/>
        <w:autoSpaceDN w:val="0"/>
        <w:adjustRightInd w:val="0"/>
        <w:rPr>
          <w:rFonts w:ascii="Arial" w:hAnsi="Arial" w:cs="Arial"/>
        </w:rPr>
      </w:pPr>
      <w:r w:rsidRPr="00512725">
        <w:rPr>
          <w:rFonts w:ascii="Arial" w:hAnsi="Arial" w:cs="Arial"/>
          <w:sz w:val="16"/>
          <w:szCs w:val="16"/>
        </w:rPr>
        <w:t xml:space="preserve"> </w:t>
      </w:r>
      <w:r w:rsidR="00B00C44" w:rsidRPr="00512725">
        <w:rPr>
          <w:rFonts w:ascii="Arial" w:hAnsi="Arial" w:cs="Arial"/>
        </w:rPr>
        <w:t xml:space="preserve">4.1 </w:t>
      </w:r>
      <w:r w:rsidR="003E6E95">
        <w:rPr>
          <w:rFonts w:ascii="Arial" w:hAnsi="Arial" w:cs="Arial"/>
        </w:rPr>
        <w:tab/>
      </w:r>
      <w:r w:rsidRPr="00512725">
        <w:rPr>
          <w:rFonts w:ascii="Arial" w:hAnsi="Arial" w:cs="Arial"/>
        </w:rPr>
        <w:t>HOI has selected a 10 year rate rebasing deferral period commencing on the closing date of the</w:t>
      </w:r>
      <w:r w:rsidR="00B00C44" w:rsidRPr="00512725">
        <w:rPr>
          <w:rFonts w:ascii="Arial" w:hAnsi="Arial" w:cs="Arial"/>
        </w:rPr>
        <w:t xml:space="preserve"> </w:t>
      </w:r>
      <w:r w:rsidRPr="00512725">
        <w:rPr>
          <w:rFonts w:ascii="Arial" w:hAnsi="Arial" w:cs="Arial"/>
        </w:rPr>
        <w:t>transaction. Should the transaction close before or during the first quarter of 2017, the rate</w:t>
      </w:r>
      <w:r w:rsidR="00C32E64">
        <w:rPr>
          <w:rFonts w:ascii="Arial" w:hAnsi="Arial" w:cs="Arial"/>
        </w:rPr>
        <w:t xml:space="preserve"> </w:t>
      </w:r>
      <w:r w:rsidRPr="00512725">
        <w:rPr>
          <w:rFonts w:ascii="Arial" w:hAnsi="Arial" w:cs="Arial"/>
        </w:rPr>
        <w:t>rebasing deferral period would end December 31, 2026. Rates would then be rebased effective</w:t>
      </w:r>
      <w:r w:rsidR="00C32E64">
        <w:rPr>
          <w:rFonts w:ascii="Arial" w:hAnsi="Arial" w:cs="Arial"/>
        </w:rPr>
        <w:t xml:space="preserve"> </w:t>
      </w:r>
      <w:r w:rsidRPr="00512725">
        <w:rPr>
          <w:rFonts w:ascii="Arial" w:hAnsi="Arial" w:cs="Arial"/>
        </w:rPr>
        <w:t>January 1, 2027. The rate rebasing deferral period is intended to give HOI the opportunity to</w:t>
      </w:r>
      <w:r w:rsidR="00C32E64">
        <w:rPr>
          <w:rFonts w:ascii="Arial" w:hAnsi="Arial" w:cs="Arial"/>
        </w:rPr>
        <w:t xml:space="preserve"> </w:t>
      </w:r>
      <w:r w:rsidRPr="00512725">
        <w:rPr>
          <w:rFonts w:ascii="Arial" w:hAnsi="Arial" w:cs="Arial"/>
        </w:rPr>
        <w:t>realize cost savings through operational integration and the eventual amalgamation with Hydro</w:t>
      </w:r>
      <w:r w:rsidR="00C32E64">
        <w:rPr>
          <w:rFonts w:ascii="Arial" w:hAnsi="Arial" w:cs="Arial"/>
        </w:rPr>
        <w:t xml:space="preserve"> </w:t>
      </w:r>
      <w:r w:rsidRPr="00512725">
        <w:rPr>
          <w:rFonts w:ascii="Arial" w:hAnsi="Arial" w:cs="Arial"/>
        </w:rPr>
        <w:t>One</w:t>
      </w:r>
      <w:r w:rsidR="00B00C44" w:rsidRPr="00512725">
        <w:rPr>
          <w:rFonts w:ascii="Arial" w:hAnsi="Arial" w:cs="Arial"/>
        </w:rPr>
        <w:t>.</w:t>
      </w:r>
    </w:p>
    <w:p w:rsidR="00C32E64" w:rsidRDefault="00C32E64" w:rsidP="00DA4FEF">
      <w:pPr>
        <w:autoSpaceDE w:val="0"/>
        <w:autoSpaceDN w:val="0"/>
        <w:adjustRightInd w:val="0"/>
        <w:rPr>
          <w:rFonts w:ascii="Arial" w:hAnsi="Arial" w:cs="Arial"/>
        </w:rPr>
      </w:pPr>
    </w:p>
    <w:p w:rsidR="00DA4FEF" w:rsidRPr="00512725" w:rsidRDefault="00C32E64" w:rsidP="003E6E95">
      <w:pPr>
        <w:tabs>
          <w:tab w:val="left" w:pos="567"/>
        </w:tabs>
        <w:autoSpaceDE w:val="0"/>
        <w:autoSpaceDN w:val="0"/>
        <w:adjustRightInd w:val="0"/>
        <w:rPr>
          <w:rFonts w:ascii="Arial" w:hAnsi="Arial" w:cs="Arial"/>
        </w:rPr>
      </w:pPr>
      <w:r>
        <w:rPr>
          <w:rFonts w:ascii="Arial" w:hAnsi="Arial" w:cs="Arial"/>
        </w:rPr>
        <w:t xml:space="preserve">4.2 </w:t>
      </w:r>
      <w:r w:rsidR="003E6E95">
        <w:rPr>
          <w:rFonts w:ascii="Arial" w:hAnsi="Arial" w:cs="Arial"/>
        </w:rPr>
        <w:tab/>
      </w:r>
      <w:r w:rsidR="00DA4FEF" w:rsidRPr="00512725">
        <w:rPr>
          <w:rFonts w:ascii="Arial" w:hAnsi="Arial" w:cs="Arial"/>
        </w:rPr>
        <w:t>Savings realized during the deferral period will be used by HOI to offset transaction costs</w:t>
      </w:r>
      <w:r>
        <w:rPr>
          <w:rFonts w:ascii="Arial" w:hAnsi="Arial" w:cs="Arial"/>
        </w:rPr>
        <w:t xml:space="preserve"> </w:t>
      </w:r>
      <w:r w:rsidR="00DA4FEF" w:rsidRPr="00512725">
        <w:rPr>
          <w:rFonts w:ascii="Arial" w:hAnsi="Arial" w:cs="Arial"/>
        </w:rPr>
        <w:t>and premiums incurred in respect of the transaction. The resulting cost structure reductions</w:t>
      </w:r>
      <w:r>
        <w:rPr>
          <w:rFonts w:ascii="Arial" w:hAnsi="Arial" w:cs="Arial"/>
        </w:rPr>
        <w:t xml:space="preserve"> </w:t>
      </w:r>
      <w:r w:rsidR="00DA4FEF" w:rsidRPr="00512725">
        <w:rPr>
          <w:rFonts w:ascii="Arial" w:hAnsi="Arial" w:cs="Arial"/>
        </w:rPr>
        <w:t>following the deferral period will be reflected in rebased rates charged to transmission</w:t>
      </w:r>
      <w:r>
        <w:rPr>
          <w:rFonts w:ascii="Arial" w:hAnsi="Arial" w:cs="Arial"/>
        </w:rPr>
        <w:t xml:space="preserve"> </w:t>
      </w:r>
      <w:r w:rsidR="00DA4FEF" w:rsidRPr="00512725">
        <w:rPr>
          <w:rFonts w:ascii="Arial" w:hAnsi="Arial" w:cs="Arial"/>
        </w:rPr>
        <w:t>customers.</w:t>
      </w:r>
    </w:p>
    <w:p w:rsidR="00FF6A50" w:rsidRPr="00512725" w:rsidRDefault="00FF6A50" w:rsidP="00FF6A50">
      <w:pPr>
        <w:autoSpaceDE w:val="0"/>
        <w:autoSpaceDN w:val="0"/>
        <w:adjustRightInd w:val="0"/>
        <w:rPr>
          <w:rFonts w:ascii="Arial" w:hAnsi="Arial" w:cs="Arial"/>
          <w:b/>
        </w:rPr>
      </w:pPr>
    </w:p>
    <w:p w:rsidR="00FF6A50" w:rsidRPr="00512725" w:rsidRDefault="00B00C44" w:rsidP="00D06742">
      <w:pPr>
        <w:tabs>
          <w:tab w:val="left" w:pos="567"/>
        </w:tabs>
        <w:autoSpaceDE w:val="0"/>
        <w:autoSpaceDN w:val="0"/>
        <w:adjustRightInd w:val="0"/>
        <w:rPr>
          <w:rFonts w:ascii="Arial" w:hAnsi="Arial" w:cs="Arial"/>
        </w:rPr>
      </w:pPr>
      <w:r w:rsidRPr="00512725">
        <w:rPr>
          <w:rFonts w:ascii="Arial" w:hAnsi="Arial" w:cs="Arial"/>
        </w:rPr>
        <w:t>4.</w:t>
      </w:r>
      <w:r w:rsidR="00C32E64">
        <w:rPr>
          <w:rFonts w:ascii="Arial" w:hAnsi="Arial" w:cs="Arial"/>
        </w:rPr>
        <w:t>3</w:t>
      </w:r>
      <w:r w:rsidRPr="00512725">
        <w:rPr>
          <w:rFonts w:ascii="Arial" w:hAnsi="Arial" w:cs="Arial"/>
        </w:rPr>
        <w:t xml:space="preserve"> </w:t>
      </w:r>
      <w:r w:rsidR="003E6E95">
        <w:rPr>
          <w:rFonts w:ascii="Arial" w:hAnsi="Arial" w:cs="Arial"/>
        </w:rPr>
        <w:tab/>
      </w:r>
      <w:r w:rsidR="00FF6A50" w:rsidRPr="00512725">
        <w:rPr>
          <w:rFonts w:ascii="Arial" w:hAnsi="Arial" w:cs="Arial"/>
        </w:rPr>
        <w:t>HOI’s proposal does not explicitly fall into the rate-setting options during the</w:t>
      </w:r>
      <w:r w:rsidR="00D06742">
        <w:rPr>
          <w:rFonts w:ascii="Arial" w:hAnsi="Arial" w:cs="Arial"/>
        </w:rPr>
        <w:t xml:space="preserve"> </w:t>
      </w:r>
      <w:r w:rsidR="00FF6A50" w:rsidRPr="00512725">
        <w:rPr>
          <w:rFonts w:ascii="Arial" w:hAnsi="Arial" w:cs="Arial"/>
        </w:rPr>
        <w:t>deferred rebasing period as outlined in Table 1. As such, HOI has requested approval</w:t>
      </w:r>
    </w:p>
    <w:p w:rsidR="00B00C44" w:rsidRPr="00512725" w:rsidRDefault="00FF6A50" w:rsidP="00FF6A50">
      <w:pPr>
        <w:autoSpaceDE w:val="0"/>
        <w:autoSpaceDN w:val="0"/>
        <w:adjustRightInd w:val="0"/>
        <w:rPr>
          <w:rFonts w:ascii="Arial" w:hAnsi="Arial" w:cs="Arial"/>
        </w:rPr>
      </w:pPr>
      <w:r w:rsidRPr="00512725">
        <w:rPr>
          <w:rFonts w:ascii="Arial" w:hAnsi="Arial" w:cs="Arial"/>
          <w:sz w:val="16"/>
          <w:szCs w:val="16"/>
        </w:rPr>
        <w:t xml:space="preserve"> </w:t>
      </w:r>
      <w:r w:rsidRPr="00512725">
        <w:rPr>
          <w:rFonts w:ascii="Arial" w:hAnsi="Arial" w:cs="Arial"/>
        </w:rPr>
        <w:t>of the revenue-setting methodology to be utilized durin</w:t>
      </w:r>
      <w:r w:rsidR="00B00C44" w:rsidRPr="00512725">
        <w:rPr>
          <w:rFonts w:ascii="Arial" w:hAnsi="Arial" w:cs="Arial"/>
        </w:rPr>
        <w:t>g the deferred rebasing period.</w:t>
      </w:r>
      <w:r w:rsidR="00F528B8">
        <w:rPr>
          <w:rStyle w:val="FootnoteReference"/>
          <w:rFonts w:ascii="Arial" w:hAnsi="Arial" w:cs="Arial"/>
        </w:rPr>
        <w:footnoteReference w:id="7"/>
      </w:r>
    </w:p>
    <w:p w:rsidR="00B00C44" w:rsidRPr="00512725" w:rsidRDefault="00B00C44" w:rsidP="00FF6A50">
      <w:pPr>
        <w:autoSpaceDE w:val="0"/>
        <w:autoSpaceDN w:val="0"/>
        <w:adjustRightInd w:val="0"/>
        <w:rPr>
          <w:rFonts w:ascii="Arial" w:hAnsi="Arial" w:cs="Arial"/>
        </w:rPr>
      </w:pPr>
    </w:p>
    <w:p w:rsidR="00FF6A50" w:rsidRPr="00512725" w:rsidRDefault="00F528B8" w:rsidP="003E6E95">
      <w:pPr>
        <w:tabs>
          <w:tab w:val="left" w:pos="567"/>
        </w:tabs>
        <w:autoSpaceDE w:val="0"/>
        <w:autoSpaceDN w:val="0"/>
        <w:adjustRightInd w:val="0"/>
        <w:rPr>
          <w:rFonts w:ascii="Arial" w:hAnsi="Arial" w:cs="Arial"/>
        </w:rPr>
      </w:pPr>
      <w:r>
        <w:rPr>
          <w:rFonts w:ascii="Arial" w:hAnsi="Arial" w:cs="Arial"/>
        </w:rPr>
        <w:t>4.</w:t>
      </w:r>
      <w:r w:rsidR="005157A9">
        <w:rPr>
          <w:rFonts w:ascii="Arial" w:hAnsi="Arial" w:cs="Arial"/>
        </w:rPr>
        <w:t xml:space="preserve">4 </w:t>
      </w:r>
      <w:r w:rsidR="003E6E95">
        <w:rPr>
          <w:rFonts w:ascii="Arial" w:hAnsi="Arial" w:cs="Arial"/>
        </w:rPr>
        <w:tab/>
      </w:r>
      <w:r w:rsidR="005157A9">
        <w:rPr>
          <w:rFonts w:ascii="Arial" w:hAnsi="Arial" w:cs="Arial"/>
        </w:rPr>
        <w:t>HOI states that t</w:t>
      </w:r>
      <w:r w:rsidR="00FF6A50" w:rsidRPr="00512725">
        <w:rPr>
          <w:rFonts w:ascii="Arial" w:hAnsi="Arial" w:cs="Arial"/>
        </w:rPr>
        <w:t xml:space="preserve">he circumstances in the present transaction </w:t>
      </w:r>
      <w:r w:rsidR="00FF6A50" w:rsidRPr="00512725">
        <w:rPr>
          <w:rFonts w:ascii="Arial" w:hAnsi="Arial" w:cs="Arial"/>
          <w:b/>
          <w:i/>
          <w:u w:val="single"/>
        </w:rPr>
        <w:t>are unique</w:t>
      </w:r>
      <w:r w:rsidR="00FF6A50" w:rsidRPr="00512725">
        <w:rPr>
          <w:rFonts w:ascii="Arial" w:hAnsi="Arial" w:cs="Arial"/>
        </w:rPr>
        <w:t xml:space="preserve"> when compared to the</w:t>
      </w:r>
      <w:r w:rsidR="00FF6A50" w:rsidRPr="00512725">
        <w:rPr>
          <w:rFonts w:ascii="Arial" w:hAnsi="Arial" w:cs="Arial"/>
          <w:sz w:val="16"/>
          <w:szCs w:val="16"/>
        </w:rPr>
        <w:t xml:space="preserve"> </w:t>
      </w:r>
      <w:r w:rsidR="00FF6A50" w:rsidRPr="00512725">
        <w:rPr>
          <w:rFonts w:ascii="Arial" w:hAnsi="Arial" w:cs="Arial"/>
        </w:rPr>
        <w:t>scenarios described in Table 1:</w:t>
      </w:r>
    </w:p>
    <w:p w:rsidR="00FF6A50" w:rsidRPr="00F528B8" w:rsidRDefault="00FF6A50" w:rsidP="00F528B8">
      <w:pPr>
        <w:pStyle w:val="ListParagraph"/>
        <w:numPr>
          <w:ilvl w:val="0"/>
          <w:numId w:val="8"/>
        </w:numPr>
        <w:autoSpaceDE w:val="0"/>
        <w:autoSpaceDN w:val="0"/>
        <w:adjustRightInd w:val="0"/>
        <w:ind w:left="1060" w:hanging="720"/>
        <w:rPr>
          <w:rFonts w:ascii="Arial" w:hAnsi="Arial" w:cs="Arial"/>
        </w:rPr>
      </w:pPr>
      <w:r w:rsidRPr="00F528B8">
        <w:rPr>
          <w:rFonts w:ascii="Arial" w:hAnsi="Arial" w:cs="Arial"/>
        </w:rPr>
        <w:t>Both GLPT and Hydro One are transmitters and as such neither has been required</w:t>
      </w:r>
      <w:r w:rsidRPr="00F528B8">
        <w:rPr>
          <w:rFonts w:ascii="Arial" w:hAnsi="Arial" w:cs="Arial"/>
          <w:sz w:val="16"/>
          <w:szCs w:val="16"/>
        </w:rPr>
        <w:t xml:space="preserve"> </w:t>
      </w:r>
      <w:r w:rsidRPr="00F528B8">
        <w:rPr>
          <w:rFonts w:ascii="Arial" w:hAnsi="Arial" w:cs="Arial"/>
        </w:rPr>
        <w:t>to adopt an IRM method of rate regulation</w:t>
      </w:r>
      <w:r w:rsidRPr="00F528B8">
        <w:rPr>
          <w:rFonts w:ascii="Arial" w:hAnsi="Arial" w:cs="Arial"/>
          <w:b/>
          <w:i/>
        </w:rPr>
        <w:t>. Both entities, however, intend to do</w:t>
      </w:r>
      <w:r w:rsidRPr="00F528B8">
        <w:rPr>
          <w:rFonts w:ascii="Arial" w:hAnsi="Arial" w:cs="Arial"/>
          <w:b/>
          <w:i/>
          <w:sz w:val="16"/>
          <w:szCs w:val="16"/>
        </w:rPr>
        <w:t xml:space="preserve"> </w:t>
      </w:r>
      <w:r w:rsidRPr="00F528B8">
        <w:rPr>
          <w:rFonts w:ascii="Arial" w:hAnsi="Arial" w:cs="Arial"/>
          <w:b/>
          <w:i/>
        </w:rPr>
        <w:t>so commencing in 2019, midway through the deferred rebasing period</w:t>
      </w:r>
      <w:r w:rsidRPr="00F528B8">
        <w:rPr>
          <w:rFonts w:ascii="Arial" w:hAnsi="Arial" w:cs="Arial"/>
        </w:rPr>
        <w:t>.</w:t>
      </w:r>
      <w:r w:rsidR="00CA41B6" w:rsidRPr="00F528B8">
        <w:rPr>
          <w:rFonts w:ascii="Arial" w:hAnsi="Arial" w:cs="Arial"/>
        </w:rPr>
        <w:t xml:space="preserve"> (see below for 2017/18 Rate Applications)</w:t>
      </w:r>
    </w:p>
    <w:p w:rsidR="00FF6A50" w:rsidRPr="00F528B8" w:rsidRDefault="00FF6A50" w:rsidP="00F528B8">
      <w:pPr>
        <w:pStyle w:val="ListParagraph"/>
        <w:numPr>
          <w:ilvl w:val="0"/>
          <w:numId w:val="8"/>
        </w:numPr>
        <w:autoSpaceDE w:val="0"/>
        <w:autoSpaceDN w:val="0"/>
        <w:adjustRightInd w:val="0"/>
        <w:ind w:left="1060" w:hanging="720"/>
        <w:rPr>
          <w:rFonts w:ascii="Arial" w:hAnsi="Arial" w:cs="Arial"/>
        </w:rPr>
      </w:pPr>
      <w:r w:rsidRPr="00F528B8">
        <w:rPr>
          <w:rFonts w:ascii="Arial" w:hAnsi="Arial" w:cs="Arial"/>
        </w:rPr>
        <w:t>This requirement, coupled with the fact that both GLPT and Hydro One will be</w:t>
      </w:r>
    </w:p>
    <w:p w:rsidR="00FF6A50" w:rsidRPr="00512725" w:rsidRDefault="00FF6A50" w:rsidP="00F528B8">
      <w:pPr>
        <w:autoSpaceDE w:val="0"/>
        <w:autoSpaceDN w:val="0"/>
        <w:adjustRightInd w:val="0"/>
        <w:ind w:left="1060"/>
        <w:rPr>
          <w:rFonts w:ascii="Arial" w:hAnsi="Arial" w:cs="Arial"/>
        </w:rPr>
      </w:pPr>
      <w:r w:rsidRPr="00512725">
        <w:rPr>
          <w:rFonts w:ascii="Arial" w:hAnsi="Arial" w:cs="Arial"/>
        </w:rPr>
        <w:t>seeking cost of service revenue requirement approvals during a two year period</w:t>
      </w:r>
      <w:r w:rsidRPr="00512725">
        <w:rPr>
          <w:rFonts w:ascii="Arial" w:hAnsi="Arial" w:cs="Arial"/>
          <w:sz w:val="16"/>
          <w:szCs w:val="16"/>
        </w:rPr>
        <w:t xml:space="preserve"> </w:t>
      </w:r>
      <w:r w:rsidRPr="00512725">
        <w:rPr>
          <w:rFonts w:ascii="Arial" w:hAnsi="Arial" w:cs="Arial"/>
        </w:rPr>
        <w:t>while the deferred rebasing period is in effect, are unique circumstances and</w:t>
      </w:r>
      <w:r w:rsidRPr="00512725">
        <w:rPr>
          <w:rFonts w:ascii="Arial" w:hAnsi="Arial" w:cs="Arial"/>
          <w:sz w:val="16"/>
          <w:szCs w:val="16"/>
        </w:rPr>
        <w:t xml:space="preserve"> </w:t>
      </w:r>
      <w:r w:rsidRPr="00512725">
        <w:rPr>
          <w:rFonts w:ascii="Arial" w:hAnsi="Arial" w:cs="Arial"/>
        </w:rPr>
        <w:t>unlike those found in Table 1.</w:t>
      </w:r>
    </w:p>
    <w:p w:rsidR="00FF6A50" w:rsidRPr="00512725" w:rsidRDefault="00FF6A50" w:rsidP="003B033E">
      <w:pPr>
        <w:pStyle w:val="ListParagraph"/>
        <w:numPr>
          <w:ilvl w:val="0"/>
          <w:numId w:val="8"/>
        </w:numPr>
        <w:autoSpaceDE w:val="0"/>
        <w:autoSpaceDN w:val="0"/>
        <w:adjustRightInd w:val="0"/>
        <w:ind w:left="1004" w:hanging="720"/>
        <w:rPr>
          <w:rFonts w:ascii="Arial" w:eastAsia="SymbolMT" w:hAnsi="Arial" w:cs="Arial"/>
        </w:rPr>
      </w:pPr>
      <w:r w:rsidRPr="00512725">
        <w:rPr>
          <w:rFonts w:ascii="Arial" w:eastAsia="SymbolMT" w:hAnsi="Arial" w:cs="Arial"/>
        </w:rPr>
        <w:t>The 2017 and 2018 cost of service rate application to be filed by GLPT will</w:t>
      </w:r>
    </w:p>
    <w:p w:rsidR="00FF6A50" w:rsidRPr="00512725" w:rsidRDefault="003B033E" w:rsidP="003B033E">
      <w:pPr>
        <w:autoSpaceDE w:val="0"/>
        <w:autoSpaceDN w:val="0"/>
        <w:adjustRightInd w:val="0"/>
        <w:ind w:left="1004" w:hanging="720"/>
        <w:rPr>
          <w:rFonts w:ascii="Arial" w:eastAsia="SymbolMT" w:hAnsi="Arial" w:cs="Arial"/>
        </w:rPr>
      </w:pPr>
      <w:r>
        <w:rPr>
          <w:rFonts w:ascii="Arial" w:eastAsia="SymbolMT" w:hAnsi="Arial" w:cs="Arial"/>
        </w:rPr>
        <w:t xml:space="preserve">       </w:t>
      </w:r>
      <w:r>
        <w:rPr>
          <w:rFonts w:ascii="Arial" w:eastAsia="SymbolMT" w:hAnsi="Arial" w:cs="Arial"/>
        </w:rPr>
        <w:tab/>
      </w:r>
      <w:r w:rsidR="00FF6A50" w:rsidRPr="00512725">
        <w:rPr>
          <w:rFonts w:ascii="Arial" w:eastAsia="SymbolMT" w:hAnsi="Arial" w:cs="Arial"/>
        </w:rPr>
        <w:t>effectively be the “starting point” revenue requi</w:t>
      </w:r>
      <w:r>
        <w:rPr>
          <w:rFonts w:ascii="Arial" w:eastAsia="SymbolMT" w:hAnsi="Arial" w:cs="Arial"/>
        </w:rPr>
        <w:t xml:space="preserve">rements for the first two years </w:t>
      </w:r>
      <w:r w:rsidR="00FF6A50" w:rsidRPr="00512725">
        <w:rPr>
          <w:rFonts w:ascii="Arial" w:eastAsia="SymbolMT" w:hAnsi="Arial" w:cs="Arial"/>
        </w:rPr>
        <w:t>of</w:t>
      </w:r>
      <w:r w:rsidR="00FF6A50" w:rsidRPr="00512725">
        <w:rPr>
          <w:rFonts w:ascii="Arial" w:eastAsia="SymbolMT" w:hAnsi="Arial" w:cs="Arial"/>
          <w:sz w:val="16"/>
          <w:szCs w:val="16"/>
        </w:rPr>
        <w:t xml:space="preserve"> </w:t>
      </w:r>
      <w:r w:rsidR="00FF6A50" w:rsidRPr="00512725">
        <w:rPr>
          <w:rFonts w:ascii="Arial" w:eastAsia="SymbolMT" w:hAnsi="Arial" w:cs="Arial"/>
        </w:rPr>
        <w:t xml:space="preserve">the deferral rebasing period and the 2018 </w:t>
      </w:r>
      <w:r w:rsidR="00F528B8">
        <w:rPr>
          <w:rFonts w:ascii="Arial" w:eastAsia="SymbolMT" w:hAnsi="Arial" w:cs="Arial"/>
        </w:rPr>
        <w:t xml:space="preserve">approved amount will become the </w:t>
      </w:r>
      <w:r w:rsidR="00FF6A50" w:rsidRPr="00512725">
        <w:rPr>
          <w:rFonts w:ascii="Arial" w:eastAsia="SymbolMT" w:hAnsi="Arial" w:cs="Arial"/>
        </w:rPr>
        <w:t>base</w:t>
      </w:r>
      <w:r>
        <w:rPr>
          <w:rFonts w:ascii="Arial" w:eastAsia="SymbolMT" w:hAnsi="Arial" w:cs="Arial"/>
        </w:rPr>
        <w:t xml:space="preserve"> </w:t>
      </w:r>
      <w:r w:rsidR="00FF6A50" w:rsidRPr="00512725">
        <w:rPr>
          <w:rFonts w:ascii="Arial" w:eastAsia="SymbolMT" w:hAnsi="Arial" w:cs="Arial"/>
        </w:rPr>
        <w:t>upon which the inflation adjustment will apply for the remaining years of the</w:t>
      </w:r>
      <w:r>
        <w:rPr>
          <w:rFonts w:ascii="Arial" w:eastAsia="SymbolMT" w:hAnsi="Arial" w:cs="Arial"/>
        </w:rPr>
        <w:t xml:space="preserve"> </w:t>
      </w:r>
      <w:r w:rsidR="00FF6A50" w:rsidRPr="00512725">
        <w:rPr>
          <w:rFonts w:ascii="Arial" w:eastAsia="SymbolMT" w:hAnsi="Arial" w:cs="Arial"/>
          <w:sz w:val="16"/>
          <w:szCs w:val="16"/>
        </w:rPr>
        <w:t xml:space="preserve"> </w:t>
      </w:r>
      <w:r w:rsidR="00FF6A50" w:rsidRPr="00512725">
        <w:rPr>
          <w:rFonts w:ascii="Arial" w:eastAsia="SymbolMT" w:hAnsi="Arial" w:cs="Arial"/>
        </w:rPr>
        <w:t>deferral period. Scrutiny and justification for the GLPT 2017 and 2018 revenue</w:t>
      </w:r>
      <w:r>
        <w:rPr>
          <w:rFonts w:ascii="Arial" w:eastAsia="SymbolMT" w:hAnsi="Arial" w:cs="Arial"/>
        </w:rPr>
        <w:t xml:space="preserve"> </w:t>
      </w:r>
      <w:r w:rsidR="00FF6A50" w:rsidRPr="00512725">
        <w:rPr>
          <w:rFonts w:ascii="Arial" w:eastAsia="SymbolMT" w:hAnsi="Arial" w:cs="Arial"/>
        </w:rPr>
        <w:t>requirements is expected through the OEB’s hearing process in that application.</w:t>
      </w:r>
    </w:p>
    <w:p w:rsidR="00FF6A50" w:rsidRPr="00512725" w:rsidRDefault="00FF6A50" w:rsidP="00F528B8">
      <w:pPr>
        <w:pStyle w:val="ListParagraph"/>
        <w:numPr>
          <w:ilvl w:val="0"/>
          <w:numId w:val="8"/>
        </w:numPr>
        <w:autoSpaceDE w:val="0"/>
        <w:autoSpaceDN w:val="0"/>
        <w:adjustRightInd w:val="0"/>
        <w:ind w:left="1060" w:hanging="720"/>
        <w:rPr>
          <w:rFonts w:ascii="Arial" w:eastAsia="SymbolMT" w:hAnsi="Arial" w:cs="Arial"/>
        </w:rPr>
      </w:pPr>
      <w:r w:rsidRPr="00512725">
        <w:rPr>
          <w:rFonts w:ascii="Arial" w:eastAsia="SymbolMT" w:hAnsi="Arial" w:cs="Arial"/>
        </w:rPr>
        <w:t>The inflation adjustment proposal is unique to transmission consolidation</w:t>
      </w:r>
    </w:p>
    <w:p w:rsidR="00A5332F" w:rsidRPr="00512725" w:rsidRDefault="00CA41B6" w:rsidP="003B033E">
      <w:pPr>
        <w:autoSpaceDE w:val="0"/>
        <w:autoSpaceDN w:val="0"/>
        <w:adjustRightInd w:val="0"/>
        <w:ind w:left="1060"/>
        <w:rPr>
          <w:rFonts w:ascii="Arial" w:eastAsia="SymbolMT" w:hAnsi="Arial" w:cs="Arial"/>
        </w:rPr>
      </w:pPr>
      <w:r w:rsidRPr="00512725">
        <w:rPr>
          <w:rFonts w:ascii="Arial" w:eastAsia="SymbolMT" w:hAnsi="Arial" w:cs="Arial"/>
        </w:rPr>
        <w:t>C</w:t>
      </w:r>
      <w:r w:rsidR="00FF6A50" w:rsidRPr="00512725">
        <w:rPr>
          <w:rFonts w:ascii="Arial" w:eastAsia="SymbolMT" w:hAnsi="Arial" w:cs="Arial"/>
        </w:rPr>
        <w:t>ircumstances</w:t>
      </w:r>
      <w:r w:rsidRPr="00512725">
        <w:rPr>
          <w:rFonts w:ascii="Arial" w:eastAsia="SymbolMT" w:hAnsi="Arial" w:cs="Arial"/>
        </w:rPr>
        <w:t>,</w:t>
      </w:r>
      <w:r w:rsidR="00FF6A50" w:rsidRPr="00512725">
        <w:rPr>
          <w:rFonts w:ascii="Arial" w:eastAsia="SymbolMT" w:hAnsi="Arial" w:cs="Arial"/>
        </w:rPr>
        <w:t xml:space="preserve"> but akin to other rate sett</w:t>
      </w:r>
      <w:r w:rsidR="00151672" w:rsidRPr="00512725">
        <w:rPr>
          <w:rFonts w:ascii="Arial" w:eastAsia="SymbolMT" w:hAnsi="Arial" w:cs="Arial"/>
        </w:rPr>
        <w:t xml:space="preserve">ing proposals approved in other </w:t>
      </w:r>
      <w:r w:rsidR="00A5332F" w:rsidRPr="00512725">
        <w:rPr>
          <w:rFonts w:ascii="Arial" w:eastAsia="SymbolMT" w:hAnsi="Arial" w:cs="Arial"/>
        </w:rPr>
        <w:t>consolidation proceedings.</w:t>
      </w:r>
    </w:p>
    <w:p w:rsidR="00A5332F" w:rsidRPr="00512725" w:rsidRDefault="00A5332F" w:rsidP="00A5332F">
      <w:pPr>
        <w:autoSpaceDE w:val="0"/>
        <w:autoSpaceDN w:val="0"/>
        <w:adjustRightInd w:val="0"/>
        <w:ind w:left="720"/>
        <w:rPr>
          <w:rFonts w:ascii="Arial" w:eastAsia="SymbolMT" w:hAnsi="Arial" w:cs="Arial"/>
        </w:rPr>
      </w:pPr>
    </w:p>
    <w:p w:rsidR="00FF6A50" w:rsidRPr="00512725" w:rsidRDefault="00A5332F" w:rsidP="003E6E95">
      <w:pPr>
        <w:tabs>
          <w:tab w:val="left" w:pos="567"/>
        </w:tabs>
        <w:autoSpaceDE w:val="0"/>
        <w:autoSpaceDN w:val="0"/>
        <w:adjustRightInd w:val="0"/>
        <w:rPr>
          <w:rFonts w:ascii="Arial" w:eastAsia="SymbolMT" w:hAnsi="Arial" w:cs="Arial"/>
        </w:rPr>
      </w:pPr>
      <w:r w:rsidRPr="00512725">
        <w:rPr>
          <w:rFonts w:ascii="Arial" w:eastAsia="SymbolMT" w:hAnsi="Arial" w:cs="Arial"/>
        </w:rPr>
        <w:t>4.4</w:t>
      </w:r>
      <w:r w:rsidR="00FF6A50" w:rsidRPr="00512725">
        <w:rPr>
          <w:rFonts w:ascii="Arial" w:eastAsia="SymbolMT" w:hAnsi="Arial" w:cs="Arial"/>
          <w:sz w:val="16"/>
          <w:szCs w:val="16"/>
        </w:rPr>
        <w:t xml:space="preserve"> </w:t>
      </w:r>
      <w:r w:rsidR="003E6E95">
        <w:rPr>
          <w:rFonts w:ascii="Arial" w:eastAsia="SymbolMT" w:hAnsi="Arial" w:cs="Arial"/>
          <w:sz w:val="16"/>
          <w:szCs w:val="16"/>
        </w:rPr>
        <w:tab/>
      </w:r>
      <w:r w:rsidR="00FF6A50" w:rsidRPr="00512725">
        <w:rPr>
          <w:rFonts w:ascii="Arial" w:eastAsia="SymbolMT" w:hAnsi="Arial" w:cs="Arial"/>
        </w:rPr>
        <w:t xml:space="preserve">Based on the foregoing, HOI submits </w:t>
      </w:r>
      <w:r w:rsidR="00FF6A50" w:rsidRPr="00512725">
        <w:rPr>
          <w:rFonts w:ascii="Arial" w:eastAsia="SymbolMT" w:hAnsi="Arial" w:cs="Arial"/>
          <w:b/>
          <w:i/>
        </w:rPr>
        <w:t>that unique circumstances exist</w:t>
      </w:r>
      <w:r w:rsidR="00FF6A50" w:rsidRPr="00512725">
        <w:rPr>
          <w:rFonts w:ascii="Arial" w:eastAsia="SymbolMT" w:hAnsi="Arial" w:cs="Arial"/>
        </w:rPr>
        <w:t xml:space="preserve"> allowing the</w:t>
      </w:r>
      <w:r w:rsidR="00FF6A50" w:rsidRPr="00512725">
        <w:rPr>
          <w:rFonts w:ascii="Arial" w:eastAsia="SymbolMT" w:hAnsi="Arial" w:cs="Arial"/>
          <w:sz w:val="16"/>
          <w:szCs w:val="16"/>
        </w:rPr>
        <w:t xml:space="preserve"> </w:t>
      </w:r>
      <w:r w:rsidR="00FF6A50" w:rsidRPr="00512725">
        <w:rPr>
          <w:rFonts w:ascii="Arial" w:eastAsia="SymbolMT" w:hAnsi="Arial" w:cs="Arial"/>
        </w:rPr>
        <w:t>OEB to assess the proposed rate-setting methodology for the post 2018 deferred</w:t>
      </w:r>
    </w:p>
    <w:p w:rsidR="00FF6A50" w:rsidRPr="00512725" w:rsidRDefault="00FF6A50" w:rsidP="00FF6A50">
      <w:pPr>
        <w:autoSpaceDE w:val="0"/>
        <w:autoSpaceDN w:val="0"/>
        <w:adjustRightInd w:val="0"/>
        <w:rPr>
          <w:rFonts w:ascii="Arial" w:eastAsia="SymbolMT" w:hAnsi="Arial" w:cs="Arial"/>
        </w:rPr>
      </w:pPr>
      <w:r w:rsidRPr="00512725">
        <w:rPr>
          <w:rFonts w:ascii="Arial" w:eastAsia="SymbolMT" w:hAnsi="Arial" w:cs="Arial"/>
          <w:sz w:val="16"/>
          <w:szCs w:val="16"/>
        </w:rPr>
        <w:t xml:space="preserve"> </w:t>
      </w:r>
      <w:r w:rsidRPr="00512725">
        <w:rPr>
          <w:rFonts w:ascii="Arial" w:eastAsia="SymbolMT" w:hAnsi="Arial" w:cs="Arial"/>
        </w:rPr>
        <w:t>rebasing period. The OEB’s consideration and assessment of the rate-setting proposal</w:t>
      </w:r>
    </w:p>
    <w:p w:rsidR="00FF6A50" w:rsidRPr="00512725" w:rsidRDefault="00FF6A50" w:rsidP="00FF6A50">
      <w:pPr>
        <w:autoSpaceDE w:val="0"/>
        <w:autoSpaceDN w:val="0"/>
        <w:adjustRightInd w:val="0"/>
        <w:rPr>
          <w:rFonts w:ascii="Arial" w:hAnsi="Arial" w:cs="Arial"/>
          <w:sz w:val="16"/>
          <w:szCs w:val="16"/>
        </w:rPr>
      </w:pPr>
      <w:r w:rsidRPr="00512725">
        <w:rPr>
          <w:rFonts w:ascii="Arial" w:eastAsia="SymbolMT" w:hAnsi="Arial" w:cs="Arial"/>
        </w:rPr>
        <w:t>for the entire deferral rebasing period are consistent with the Handbook.</w:t>
      </w:r>
      <w:r w:rsidR="003B033E">
        <w:rPr>
          <w:rStyle w:val="FootnoteReference"/>
          <w:rFonts w:ascii="Arial" w:eastAsia="SymbolMT" w:hAnsi="Arial" w:cs="Arial"/>
        </w:rPr>
        <w:footnoteReference w:id="8"/>
      </w:r>
    </w:p>
    <w:p w:rsidR="00FF6A50" w:rsidRPr="00512725" w:rsidRDefault="00FF6A50" w:rsidP="008E4B78">
      <w:pPr>
        <w:autoSpaceDE w:val="0"/>
        <w:autoSpaceDN w:val="0"/>
        <w:adjustRightInd w:val="0"/>
        <w:rPr>
          <w:rFonts w:ascii="Arial" w:hAnsi="Arial" w:cs="Arial"/>
          <w:b/>
        </w:rPr>
      </w:pPr>
    </w:p>
    <w:p w:rsidR="00E10A8E" w:rsidRPr="00512725" w:rsidRDefault="00A5332F" w:rsidP="003E6E95">
      <w:pPr>
        <w:tabs>
          <w:tab w:val="left" w:pos="567"/>
        </w:tabs>
        <w:autoSpaceDE w:val="0"/>
        <w:autoSpaceDN w:val="0"/>
        <w:adjustRightInd w:val="0"/>
        <w:rPr>
          <w:rFonts w:ascii="Arial" w:hAnsi="Arial" w:cs="Arial"/>
        </w:rPr>
      </w:pPr>
      <w:r w:rsidRPr="00512725">
        <w:rPr>
          <w:rFonts w:ascii="Arial" w:hAnsi="Arial" w:cs="Arial"/>
        </w:rPr>
        <w:t xml:space="preserve">4.5 </w:t>
      </w:r>
      <w:r w:rsidR="003E6E95">
        <w:rPr>
          <w:rFonts w:ascii="Arial" w:hAnsi="Arial" w:cs="Arial"/>
        </w:rPr>
        <w:tab/>
      </w:r>
      <w:r w:rsidR="00E10A8E" w:rsidRPr="00512725">
        <w:rPr>
          <w:rFonts w:ascii="Arial" w:hAnsi="Arial" w:cs="Arial"/>
        </w:rPr>
        <w:t>HOI is seeking either express approval of</w:t>
      </w:r>
      <w:r w:rsidRPr="00512725">
        <w:rPr>
          <w:rFonts w:ascii="Arial" w:hAnsi="Arial" w:cs="Arial"/>
        </w:rPr>
        <w:t>,</w:t>
      </w:r>
      <w:r w:rsidR="00E10A8E" w:rsidRPr="00512725">
        <w:rPr>
          <w:rFonts w:ascii="Arial" w:hAnsi="Arial" w:cs="Arial"/>
        </w:rPr>
        <w:t xml:space="preserve"> or</w:t>
      </w:r>
      <w:r w:rsidRPr="00512725">
        <w:rPr>
          <w:rFonts w:ascii="Arial" w:hAnsi="Arial" w:cs="Arial"/>
        </w:rPr>
        <w:t xml:space="preserve"> </w:t>
      </w:r>
      <w:r w:rsidR="00E10A8E" w:rsidRPr="00512725">
        <w:rPr>
          <w:rFonts w:ascii="Arial" w:hAnsi="Arial" w:cs="Arial"/>
        </w:rPr>
        <w:t>non-objection to the rate-setting methodology. This pronouncement will then guide</w:t>
      </w:r>
      <w:r w:rsidR="00E10A8E" w:rsidRPr="00512725">
        <w:rPr>
          <w:rFonts w:ascii="Arial" w:hAnsi="Arial" w:cs="Arial"/>
          <w:sz w:val="16"/>
          <w:szCs w:val="16"/>
        </w:rPr>
        <w:t xml:space="preserve"> </w:t>
      </w:r>
      <w:r w:rsidR="00E10A8E" w:rsidRPr="00512725">
        <w:rPr>
          <w:rFonts w:ascii="Arial" w:hAnsi="Arial" w:cs="Arial"/>
        </w:rPr>
        <w:t>the manner by which GLPT will make rate applications for the period 2019 to 2026 in</w:t>
      </w:r>
      <w:r w:rsidR="00E10A8E" w:rsidRPr="00512725">
        <w:rPr>
          <w:rFonts w:ascii="Arial" w:hAnsi="Arial" w:cs="Arial"/>
          <w:sz w:val="16"/>
          <w:szCs w:val="16"/>
        </w:rPr>
        <w:t xml:space="preserve"> </w:t>
      </w:r>
      <w:r w:rsidR="00E10A8E" w:rsidRPr="00512725">
        <w:rPr>
          <w:rFonts w:ascii="Arial" w:hAnsi="Arial" w:cs="Arial"/>
        </w:rPr>
        <w:t xml:space="preserve">accordance with section 78 of the Act. Specifically, HOI would expect this form of </w:t>
      </w:r>
      <w:r w:rsidR="00E10A8E" w:rsidRPr="00512725">
        <w:rPr>
          <w:rFonts w:ascii="Arial" w:hAnsi="Arial" w:cs="Arial"/>
          <w:sz w:val="16"/>
          <w:szCs w:val="16"/>
        </w:rPr>
        <w:t xml:space="preserve"> </w:t>
      </w:r>
      <w:r w:rsidR="00E10A8E" w:rsidRPr="00512725">
        <w:rPr>
          <w:rFonts w:ascii="Arial" w:hAnsi="Arial" w:cs="Arial"/>
        </w:rPr>
        <w:t xml:space="preserve">application to be uncontentious and more of a compliance filing given the underlying </w:t>
      </w:r>
      <w:r w:rsidR="00E10A8E" w:rsidRPr="00512725">
        <w:rPr>
          <w:rFonts w:ascii="Arial" w:hAnsi="Arial" w:cs="Arial"/>
          <w:sz w:val="16"/>
          <w:szCs w:val="16"/>
        </w:rPr>
        <w:t xml:space="preserve"> </w:t>
      </w:r>
      <w:r w:rsidR="00E10A8E" w:rsidRPr="00512725">
        <w:rPr>
          <w:rFonts w:ascii="Arial" w:hAnsi="Arial" w:cs="Arial"/>
        </w:rPr>
        <w:t>expectation that the future revenue requirement will be based on the 2018 approved</w:t>
      </w:r>
      <w:r w:rsidR="003E6E95">
        <w:rPr>
          <w:rFonts w:ascii="Arial" w:hAnsi="Arial" w:cs="Arial"/>
        </w:rPr>
        <w:t xml:space="preserve"> </w:t>
      </w:r>
      <w:r w:rsidR="00E10A8E" w:rsidRPr="00512725">
        <w:rPr>
          <w:rFonts w:ascii="Arial" w:hAnsi="Arial" w:cs="Arial"/>
        </w:rPr>
        <w:t xml:space="preserve">level and adjusted for inflation. </w:t>
      </w:r>
    </w:p>
    <w:p w:rsidR="00A5332F" w:rsidRPr="00512725" w:rsidRDefault="00A5332F" w:rsidP="00E10A8E">
      <w:pPr>
        <w:autoSpaceDE w:val="0"/>
        <w:autoSpaceDN w:val="0"/>
        <w:adjustRightInd w:val="0"/>
        <w:rPr>
          <w:rFonts w:ascii="Arial" w:hAnsi="Arial" w:cs="Arial"/>
        </w:rPr>
      </w:pPr>
    </w:p>
    <w:p w:rsidR="00F379CB" w:rsidRPr="00512725" w:rsidRDefault="00A5332F" w:rsidP="003E6E95">
      <w:pPr>
        <w:tabs>
          <w:tab w:val="left" w:pos="567"/>
        </w:tabs>
        <w:autoSpaceDE w:val="0"/>
        <w:autoSpaceDN w:val="0"/>
        <w:adjustRightInd w:val="0"/>
        <w:rPr>
          <w:rFonts w:ascii="Arial" w:hAnsi="Arial" w:cs="Arial"/>
          <w:b/>
          <w:i/>
        </w:rPr>
      </w:pPr>
      <w:r w:rsidRPr="00512725">
        <w:rPr>
          <w:rFonts w:ascii="Arial" w:hAnsi="Arial" w:cs="Arial"/>
        </w:rPr>
        <w:lastRenderedPageBreak/>
        <w:t xml:space="preserve">4.6 </w:t>
      </w:r>
      <w:r w:rsidR="003E6E95">
        <w:rPr>
          <w:rFonts w:ascii="Arial" w:hAnsi="Arial" w:cs="Arial"/>
        </w:rPr>
        <w:tab/>
      </w:r>
      <w:r w:rsidR="00E10A8E" w:rsidRPr="00512725">
        <w:rPr>
          <w:rFonts w:ascii="Arial" w:hAnsi="Arial" w:cs="Arial"/>
        </w:rPr>
        <w:t>HOI does not view the proposed methodology to cause any undue prejudice since it is based upon approval of a yet to be determined</w:t>
      </w:r>
      <w:r w:rsidR="00E10A8E" w:rsidRPr="00512725">
        <w:rPr>
          <w:rFonts w:ascii="Arial" w:hAnsi="Arial" w:cs="Arial"/>
          <w:sz w:val="16"/>
          <w:szCs w:val="16"/>
        </w:rPr>
        <w:t xml:space="preserve"> </w:t>
      </w:r>
      <w:r w:rsidR="00E10A8E" w:rsidRPr="00512725">
        <w:rPr>
          <w:rFonts w:ascii="Arial" w:hAnsi="Arial" w:cs="Arial"/>
        </w:rPr>
        <w:t xml:space="preserve">2018 revenue requirement. </w:t>
      </w:r>
      <w:r w:rsidR="00E10A8E" w:rsidRPr="00512725">
        <w:rPr>
          <w:rFonts w:ascii="Arial" w:hAnsi="Arial" w:cs="Arial"/>
          <w:b/>
          <w:i/>
        </w:rPr>
        <w:t>In that respect, HOI is not opposed to having its proposal</w:t>
      </w:r>
      <w:r w:rsidR="00E10A8E" w:rsidRPr="00512725">
        <w:rPr>
          <w:rFonts w:ascii="Arial" w:hAnsi="Arial" w:cs="Arial"/>
          <w:b/>
          <w:i/>
          <w:sz w:val="16"/>
          <w:szCs w:val="16"/>
        </w:rPr>
        <w:t xml:space="preserve"> </w:t>
      </w:r>
      <w:r w:rsidR="00E10A8E" w:rsidRPr="00512725">
        <w:rPr>
          <w:rFonts w:ascii="Arial" w:hAnsi="Arial" w:cs="Arial"/>
          <w:b/>
          <w:i/>
        </w:rPr>
        <w:t>acknowledged to be conditional upon approval of the GLPT 2018 revenue</w:t>
      </w:r>
      <w:r w:rsidR="00E10A8E" w:rsidRPr="00512725">
        <w:rPr>
          <w:rFonts w:ascii="Arial" w:hAnsi="Arial" w:cs="Arial"/>
          <w:b/>
          <w:i/>
          <w:sz w:val="16"/>
          <w:szCs w:val="16"/>
        </w:rPr>
        <w:t xml:space="preserve"> </w:t>
      </w:r>
      <w:r w:rsidR="00E10A8E" w:rsidRPr="00512725">
        <w:rPr>
          <w:rFonts w:ascii="Arial" w:hAnsi="Arial" w:cs="Arial"/>
          <w:b/>
          <w:i/>
        </w:rPr>
        <w:t>requirement.</w:t>
      </w:r>
      <w:r w:rsidR="003E6E95">
        <w:rPr>
          <w:rFonts w:ascii="Arial" w:hAnsi="Arial" w:cs="Arial"/>
          <w:b/>
          <w:i/>
        </w:rPr>
        <w:t xml:space="preserve"> </w:t>
      </w:r>
      <w:r w:rsidR="00F379CB" w:rsidRPr="00512725">
        <w:rPr>
          <w:rFonts w:ascii="Arial" w:hAnsi="Arial" w:cs="Arial"/>
          <w:b/>
          <w:i/>
        </w:rPr>
        <w:t>However HOI goes on to state</w:t>
      </w:r>
      <w:r w:rsidR="00211711">
        <w:rPr>
          <w:rFonts w:ascii="Arial" w:hAnsi="Arial" w:cs="Arial"/>
          <w:b/>
          <w:i/>
        </w:rPr>
        <w:t>;</w:t>
      </w:r>
    </w:p>
    <w:p w:rsidR="00F379CB" w:rsidRPr="00512725" w:rsidRDefault="00F379CB" w:rsidP="00F379CB">
      <w:pPr>
        <w:autoSpaceDE w:val="0"/>
        <w:autoSpaceDN w:val="0"/>
        <w:adjustRightInd w:val="0"/>
        <w:ind w:left="720"/>
        <w:rPr>
          <w:rFonts w:ascii="Arial" w:hAnsi="Arial" w:cs="Arial"/>
          <w:b/>
          <w:i/>
        </w:rPr>
      </w:pPr>
      <w:r w:rsidRPr="00512725">
        <w:rPr>
          <w:rFonts w:ascii="Arial" w:hAnsi="Arial" w:cs="Arial"/>
        </w:rPr>
        <w:t>Implications arise if the Board decides not to approve or defer consideration of the</w:t>
      </w:r>
      <w:r w:rsidR="00886CF4">
        <w:rPr>
          <w:rFonts w:ascii="Arial" w:hAnsi="Arial" w:cs="Arial"/>
        </w:rPr>
        <w:t xml:space="preserve"> </w:t>
      </w:r>
      <w:r w:rsidRPr="00512725">
        <w:rPr>
          <w:rFonts w:ascii="Arial" w:hAnsi="Arial" w:cs="Arial"/>
        </w:rPr>
        <w:t>proposed revenue requirement methodology. For instance, the level of certainty</w:t>
      </w:r>
      <w:r w:rsidRPr="00512725">
        <w:rPr>
          <w:rFonts w:ascii="Arial" w:hAnsi="Arial" w:cs="Arial"/>
          <w:sz w:val="16"/>
          <w:szCs w:val="16"/>
        </w:rPr>
        <w:t xml:space="preserve"> </w:t>
      </w:r>
      <w:r w:rsidRPr="00512725">
        <w:rPr>
          <w:rFonts w:ascii="Arial" w:hAnsi="Arial" w:cs="Arial"/>
        </w:rPr>
        <w:t>afforded to distribution consolidations would be greater than those involving</w:t>
      </w:r>
      <w:r w:rsidRPr="00512725">
        <w:rPr>
          <w:rFonts w:ascii="Arial" w:hAnsi="Arial" w:cs="Arial"/>
          <w:sz w:val="16"/>
          <w:szCs w:val="16"/>
        </w:rPr>
        <w:t xml:space="preserve"> </w:t>
      </w:r>
      <w:r w:rsidRPr="00512725">
        <w:rPr>
          <w:rFonts w:ascii="Arial" w:hAnsi="Arial" w:cs="Arial"/>
        </w:rPr>
        <w:t>transmission. Additionally, deferring assessment of the methodology would create</w:t>
      </w:r>
      <w:r w:rsidRPr="00512725">
        <w:rPr>
          <w:rFonts w:ascii="Arial" w:hAnsi="Arial" w:cs="Arial"/>
          <w:sz w:val="16"/>
          <w:szCs w:val="16"/>
        </w:rPr>
        <w:t xml:space="preserve"> </w:t>
      </w:r>
      <w:r w:rsidRPr="00512725">
        <w:rPr>
          <w:rFonts w:ascii="Arial" w:hAnsi="Arial" w:cs="Arial"/>
        </w:rPr>
        <w:t>confusion on the revenue setting methodologies to be used during the deferred</w:t>
      </w:r>
      <w:r w:rsidRPr="00512725">
        <w:rPr>
          <w:rFonts w:ascii="Arial" w:hAnsi="Arial" w:cs="Arial"/>
          <w:sz w:val="16"/>
          <w:szCs w:val="16"/>
        </w:rPr>
        <w:t xml:space="preserve"> </w:t>
      </w:r>
      <w:r w:rsidRPr="00512725">
        <w:rPr>
          <w:rFonts w:ascii="Arial" w:hAnsi="Arial" w:cs="Arial"/>
        </w:rPr>
        <w:t>rebasing period, which would benefit neither ratepayers nor HOI</w:t>
      </w:r>
      <w:r w:rsidR="003B033E">
        <w:rPr>
          <w:rStyle w:val="FootnoteReference"/>
          <w:rFonts w:ascii="Arial" w:hAnsi="Arial" w:cs="Arial"/>
        </w:rPr>
        <w:footnoteReference w:id="9"/>
      </w:r>
      <w:r w:rsidRPr="00512725">
        <w:rPr>
          <w:rFonts w:ascii="Arial" w:hAnsi="Arial" w:cs="Arial"/>
        </w:rPr>
        <w:t xml:space="preserve">.  </w:t>
      </w:r>
    </w:p>
    <w:p w:rsidR="00D60491" w:rsidRPr="00512725" w:rsidRDefault="00D60491" w:rsidP="008E4B78">
      <w:pPr>
        <w:autoSpaceDE w:val="0"/>
        <w:autoSpaceDN w:val="0"/>
        <w:adjustRightInd w:val="0"/>
        <w:rPr>
          <w:rFonts w:ascii="Arial" w:hAnsi="Arial" w:cs="Arial"/>
          <w:b/>
        </w:rPr>
      </w:pPr>
    </w:p>
    <w:p w:rsidR="00DA4FEF" w:rsidRPr="00512725" w:rsidRDefault="00DA4FEF" w:rsidP="008E4B78">
      <w:pPr>
        <w:autoSpaceDE w:val="0"/>
        <w:autoSpaceDN w:val="0"/>
        <w:adjustRightInd w:val="0"/>
        <w:rPr>
          <w:rFonts w:ascii="Arial" w:hAnsi="Arial" w:cs="Arial"/>
          <w:b/>
          <w:i/>
        </w:rPr>
      </w:pPr>
      <w:r w:rsidRPr="00512725">
        <w:rPr>
          <w:rFonts w:ascii="Arial" w:hAnsi="Arial" w:cs="Arial"/>
          <w:b/>
          <w:i/>
        </w:rPr>
        <w:t>Discussion</w:t>
      </w:r>
    </w:p>
    <w:p w:rsidR="00D27DD0" w:rsidRDefault="00D27DD0" w:rsidP="008E4B78">
      <w:pPr>
        <w:autoSpaceDE w:val="0"/>
        <w:autoSpaceDN w:val="0"/>
        <w:adjustRightInd w:val="0"/>
        <w:rPr>
          <w:rFonts w:ascii="Arial" w:hAnsi="Arial" w:cs="Arial"/>
          <w:b/>
          <w:i/>
        </w:rPr>
      </w:pPr>
    </w:p>
    <w:p w:rsidR="00E10A8E" w:rsidRPr="00512725" w:rsidRDefault="00D60491" w:rsidP="008E4B78">
      <w:pPr>
        <w:autoSpaceDE w:val="0"/>
        <w:autoSpaceDN w:val="0"/>
        <w:adjustRightInd w:val="0"/>
        <w:rPr>
          <w:rFonts w:ascii="Arial" w:hAnsi="Arial" w:cs="Arial"/>
          <w:b/>
          <w:i/>
        </w:rPr>
      </w:pPr>
      <w:r w:rsidRPr="00512725">
        <w:rPr>
          <w:rFonts w:ascii="Arial" w:hAnsi="Arial" w:cs="Arial"/>
          <w:b/>
          <w:i/>
        </w:rPr>
        <w:t>Hydro One/GLPT should not receive prior approval of the form and nature of the 2017</w:t>
      </w:r>
      <w:r w:rsidR="005D22DB" w:rsidRPr="00512725">
        <w:rPr>
          <w:rFonts w:ascii="Arial" w:hAnsi="Arial" w:cs="Arial"/>
          <w:b/>
          <w:i/>
        </w:rPr>
        <w:t>/18</w:t>
      </w:r>
      <w:r w:rsidRPr="00512725">
        <w:rPr>
          <w:rFonts w:ascii="Arial" w:hAnsi="Arial" w:cs="Arial"/>
          <w:b/>
          <w:i/>
        </w:rPr>
        <w:t xml:space="preserve"> rates for </w:t>
      </w:r>
      <w:r w:rsidR="005157A9">
        <w:rPr>
          <w:rFonts w:ascii="Arial" w:hAnsi="Arial" w:cs="Arial"/>
          <w:b/>
          <w:i/>
        </w:rPr>
        <w:t>GLPT</w:t>
      </w:r>
      <w:r w:rsidRPr="00512725">
        <w:rPr>
          <w:rFonts w:ascii="Arial" w:hAnsi="Arial" w:cs="Arial"/>
          <w:b/>
          <w:i/>
        </w:rPr>
        <w:t>.</w:t>
      </w:r>
      <w:r w:rsidR="00FE6A1D">
        <w:rPr>
          <w:rFonts w:ascii="Arial" w:hAnsi="Arial" w:cs="Arial"/>
          <w:b/>
          <w:i/>
        </w:rPr>
        <w:t xml:space="preserve"> They may make any application they wish</w:t>
      </w:r>
      <w:r w:rsidR="002E4B16">
        <w:rPr>
          <w:rFonts w:ascii="Arial" w:hAnsi="Arial" w:cs="Arial"/>
          <w:b/>
          <w:i/>
        </w:rPr>
        <w:t>,</w:t>
      </w:r>
      <w:r w:rsidR="00FE6A1D">
        <w:rPr>
          <w:rFonts w:ascii="Arial" w:hAnsi="Arial" w:cs="Arial"/>
          <w:b/>
          <w:i/>
        </w:rPr>
        <w:t xml:space="preserve"> but </w:t>
      </w:r>
      <w:r w:rsidR="00511932">
        <w:rPr>
          <w:rFonts w:ascii="Arial" w:hAnsi="Arial" w:cs="Arial"/>
          <w:b/>
          <w:i/>
        </w:rPr>
        <w:t xml:space="preserve">we suggest </w:t>
      </w:r>
      <w:r w:rsidR="00FE6A1D">
        <w:rPr>
          <w:rFonts w:ascii="Arial" w:hAnsi="Arial" w:cs="Arial"/>
          <w:b/>
          <w:i/>
        </w:rPr>
        <w:t xml:space="preserve">the Board should not </w:t>
      </w:r>
      <w:r w:rsidR="00511932">
        <w:rPr>
          <w:rFonts w:ascii="Arial" w:hAnsi="Arial" w:cs="Arial"/>
          <w:b/>
          <w:i/>
        </w:rPr>
        <w:t xml:space="preserve">provide any </w:t>
      </w:r>
      <w:r w:rsidR="00FE6A1D">
        <w:rPr>
          <w:rFonts w:ascii="Arial" w:hAnsi="Arial" w:cs="Arial"/>
          <w:b/>
          <w:i/>
        </w:rPr>
        <w:t xml:space="preserve">signal </w:t>
      </w:r>
      <w:r w:rsidR="002E4B16">
        <w:rPr>
          <w:rFonts w:ascii="Arial" w:hAnsi="Arial" w:cs="Arial"/>
          <w:b/>
          <w:i/>
        </w:rPr>
        <w:t>other than it will be reviewed</w:t>
      </w:r>
      <w:r w:rsidR="00FE6A1D">
        <w:rPr>
          <w:rFonts w:ascii="Arial" w:hAnsi="Arial" w:cs="Arial"/>
          <w:b/>
          <w:i/>
        </w:rPr>
        <w:t>.</w:t>
      </w:r>
    </w:p>
    <w:p w:rsidR="00D27DD0" w:rsidRDefault="00D27DD0" w:rsidP="008E4B78">
      <w:pPr>
        <w:autoSpaceDE w:val="0"/>
        <w:autoSpaceDN w:val="0"/>
        <w:adjustRightInd w:val="0"/>
        <w:rPr>
          <w:rFonts w:ascii="Arial" w:hAnsi="Arial" w:cs="Arial"/>
          <w:b/>
          <w:i/>
        </w:rPr>
      </w:pPr>
    </w:p>
    <w:p w:rsidR="00D60491" w:rsidRPr="00512725" w:rsidRDefault="00D60491" w:rsidP="008E4B78">
      <w:pPr>
        <w:autoSpaceDE w:val="0"/>
        <w:autoSpaceDN w:val="0"/>
        <w:adjustRightInd w:val="0"/>
        <w:rPr>
          <w:rFonts w:ascii="Arial" w:hAnsi="Arial" w:cs="Arial"/>
          <w:b/>
          <w:i/>
        </w:rPr>
      </w:pPr>
      <w:r w:rsidRPr="00512725">
        <w:rPr>
          <w:rFonts w:ascii="Arial" w:hAnsi="Arial" w:cs="Arial"/>
          <w:b/>
          <w:i/>
        </w:rPr>
        <w:t>For GLPT</w:t>
      </w:r>
      <w:r w:rsidR="00795467">
        <w:rPr>
          <w:rFonts w:ascii="Arial" w:hAnsi="Arial" w:cs="Arial"/>
          <w:b/>
          <w:i/>
        </w:rPr>
        <w:t>,</w:t>
      </w:r>
      <w:r w:rsidRPr="00512725">
        <w:rPr>
          <w:rFonts w:ascii="Arial" w:hAnsi="Arial" w:cs="Arial"/>
          <w:b/>
          <w:i/>
        </w:rPr>
        <w:t xml:space="preserve"> parties affected by its Rate Application may have an opinion regarding an appropriate </w:t>
      </w:r>
      <w:r w:rsidR="00984236" w:rsidRPr="00512725">
        <w:rPr>
          <w:rFonts w:ascii="Arial" w:hAnsi="Arial" w:cs="Arial"/>
          <w:b/>
          <w:i/>
        </w:rPr>
        <w:t xml:space="preserve">rate-setting </w:t>
      </w:r>
      <w:r w:rsidRPr="00512725">
        <w:rPr>
          <w:rFonts w:ascii="Arial" w:hAnsi="Arial" w:cs="Arial"/>
          <w:b/>
          <w:i/>
        </w:rPr>
        <w:t xml:space="preserve">approach within the scope </w:t>
      </w:r>
      <w:r w:rsidR="00AB4B06" w:rsidRPr="00512725">
        <w:rPr>
          <w:rFonts w:ascii="Arial" w:hAnsi="Arial" w:cs="Arial"/>
          <w:b/>
          <w:i/>
        </w:rPr>
        <w:t xml:space="preserve">allowed by </w:t>
      </w:r>
      <w:r w:rsidRPr="00512725">
        <w:rPr>
          <w:rFonts w:ascii="Arial" w:hAnsi="Arial" w:cs="Arial"/>
          <w:b/>
          <w:i/>
        </w:rPr>
        <w:t>the Filing Requirements for Transmitters</w:t>
      </w:r>
      <w:r w:rsidR="00CF2600">
        <w:rPr>
          <w:rFonts w:ascii="Arial" w:hAnsi="Arial" w:cs="Arial"/>
          <w:b/>
          <w:i/>
        </w:rPr>
        <w:t>.</w:t>
      </w:r>
    </w:p>
    <w:p w:rsidR="00D27DD0" w:rsidRDefault="00D27DD0" w:rsidP="00CA41B6">
      <w:pPr>
        <w:autoSpaceDE w:val="0"/>
        <w:autoSpaceDN w:val="0"/>
        <w:adjustRightInd w:val="0"/>
        <w:rPr>
          <w:rFonts w:ascii="Arial" w:hAnsi="Arial" w:cs="Arial"/>
          <w:b/>
          <w:i/>
        </w:rPr>
      </w:pPr>
    </w:p>
    <w:p w:rsidR="00D60491" w:rsidRDefault="00D60491" w:rsidP="00CA41B6">
      <w:pPr>
        <w:autoSpaceDE w:val="0"/>
        <w:autoSpaceDN w:val="0"/>
        <w:adjustRightInd w:val="0"/>
        <w:rPr>
          <w:rFonts w:ascii="Arial" w:hAnsi="Arial" w:cs="Arial"/>
          <w:b/>
          <w:i/>
        </w:rPr>
      </w:pPr>
      <w:r w:rsidRPr="00512725">
        <w:rPr>
          <w:rFonts w:ascii="Arial" w:hAnsi="Arial" w:cs="Arial"/>
          <w:b/>
          <w:i/>
        </w:rPr>
        <w:t>While HO rates for 2017</w:t>
      </w:r>
      <w:r w:rsidR="005D22DB" w:rsidRPr="00512725">
        <w:rPr>
          <w:rFonts w:ascii="Arial" w:hAnsi="Arial" w:cs="Arial"/>
          <w:b/>
          <w:i/>
        </w:rPr>
        <w:t>/18</w:t>
      </w:r>
      <w:r w:rsidRPr="00512725">
        <w:rPr>
          <w:rFonts w:ascii="Arial" w:hAnsi="Arial" w:cs="Arial"/>
          <w:b/>
          <w:i/>
        </w:rPr>
        <w:t xml:space="preserve"> are not an issue in this </w:t>
      </w:r>
      <w:r w:rsidR="00CF2600">
        <w:rPr>
          <w:rFonts w:ascii="Arial" w:hAnsi="Arial" w:cs="Arial"/>
          <w:b/>
          <w:i/>
        </w:rPr>
        <w:t>Proceeding</w:t>
      </w:r>
      <w:r w:rsidR="005D22DB" w:rsidRPr="00512725">
        <w:rPr>
          <w:rFonts w:ascii="Arial" w:hAnsi="Arial" w:cs="Arial"/>
          <w:b/>
          <w:i/>
        </w:rPr>
        <w:t>,</w:t>
      </w:r>
      <w:r w:rsidRPr="00512725">
        <w:rPr>
          <w:rFonts w:ascii="Arial" w:hAnsi="Arial" w:cs="Arial"/>
          <w:b/>
          <w:i/>
        </w:rPr>
        <w:t xml:space="preserve"> </w:t>
      </w:r>
      <w:r w:rsidR="00CF2600">
        <w:rPr>
          <w:rFonts w:ascii="Arial" w:hAnsi="Arial" w:cs="Arial"/>
          <w:b/>
          <w:i/>
        </w:rPr>
        <w:t xml:space="preserve">we note that </w:t>
      </w:r>
      <w:r w:rsidRPr="00512725">
        <w:rPr>
          <w:rFonts w:ascii="Arial" w:hAnsi="Arial" w:cs="Arial"/>
          <w:b/>
          <w:i/>
        </w:rPr>
        <w:t>HO has filed a separate rate Application. The form of this is indicated as</w:t>
      </w:r>
      <w:r w:rsidR="00CA41B6" w:rsidRPr="00512725">
        <w:rPr>
          <w:rFonts w:ascii="Arial" w:hAnsi="Arial" w:cs="Arial"/>
          <w:b/>
          <w:i/>
        </w:rPr>
        <w:t xml:space="preserve"> a two year transmission cost-of-service application for test years 2017 and 2018 with rates effect</w:t>
      </w:r>
      <w:r w:rsidR="00211711">
        <w:rPr>
          <w:rFonts w:ascii="Arial" w:hAnsi="Arial" w:cs="Arial"/>
          <w:b/>
          <w:i/>
        </w:rPr>
        <w:t>ive January 1 of each test year.</w:t>
      </w:r>
    </w:p>
    <w:p w:rsidR="00211711" w:rsidRDefault="00211711" w:rsidP="00CA41B6">
      <w:pPr>
        <w:autoSpaceDE w:val="0"/>
        <w:autoSpaceDN w:val="0"/>
        <w:adjustRightInd w:val="0"/>
        <w:rPr>
          <w:rFonts w:ascii="Arial" w:hAnsi="Arial" w:cs="Arial"/>
          <w:b/>
          <w:i/>
        </w:rPr>
      </w:pPr>
    </w:p>
    <w:p w:rsidR="00211711" w:rsidRDefault="00211711" w:rsidP="00CA41B6">
      <w:pPr>
        <w:autoSpaceDE w:val="0"/>
        <w:autoSpaceDN w:val="0"/>
        <w:adjustRightInd w:val="0"/>
        <w:rPr>
          <w:rFonts w:ascii="Arial" w:hAnsi="Arial" w:cs="Arial"/>
          <w:b/>
          <w:i/>
        </w:rPr>
      </w:pPr>
      <w:r>
        <w:rPr>
          <w:rFonts w:ascii="Arial" w:hAnsi="Arial" w:cs="Arial"/>
          <w:b/>
          <w:i/>
        </w:rPr>
        <w:t xml:space="preserve">Beyond 2018 Hydro One GLPT seeks acceptance/approval of a form of Revenue </w:t>
      </w:r>
      <w:r w:rsidR="007725C4">
        <w:rPr>
          <w:rFonts w:ascii="Arial" w:hAnsi="Arial" w:cs="Arial"/>
          <w:b/>
          <w:i/>
        </w:rPr>
        <w:t xml:space="preserve">Cap with the Revenue </w:t>
      </w:r>
      <w:r>
        <w:rPr>
          <w:rFonts w:ascii="Arial" w:hAnsi="Arial" w:cs="Arial"/>
          <w:b/>
          <w:i/>
        </w:rPr>
        <w:t>Requirement index</w:t>
      </w:r>
      <w:r w:rsidR="007725C4">
        <w:rPr>
          <w:rFonts w:ascii="Arial" w:hAnsi="Arial" w:cs="Arial"/>
          <w:b/>
          <w:i/>
        </w:rPr>
        <w:t>ed</w:t>
      </w:r>
      <w:r>
        <w:rPr>
          <w:rFonts w:ascii="Arial" w:hAnsi="Arial" w:cs="Arial"/>
          <w:b/>
          <w:i/>
        </w:rPr>
        <w:t xml:space="preserve"> at inflation, together with a request for an ICM. It also requests suspension of the ESM till the last 5 years.</w:t>
      </w:r>
    </w:p>
    <w:p w:rsidR="00211711" w:rsidRDefault="00211711" w:rsidP="00CA41B6">
      <w:pPr>
        <w:autoSpaceDE w:val="0"/>
        <w:autoSpaceDN w:val="0"/>
        <w:adjustRightInd w:val="0"/>
        <w:rPr>
          <w:rFonts w:ascii="Arial" w:hAnsi="Arial" w:cs="Arial"/>
          <w:b/>
          <w:i/>
        </w:rPr>
      </w:pPr>
    </w:p>
    <w:p w:rsidR="00211711" w:rsidRPr="00512725" w:rsidRDefault="00211711" w:rsidP="00CA41B6">
      <w:pPr>
        <w:autoSpaceDE w:val="0"/>
        <w:autoSpaceDN w:val="0"/>
        <w:adjustRightInd w:val="0"/>
        <w:rPr>
          <w:rFonts w:ascii="Arial" w:hAnsi="Arial" w:cs="Arial"/>
          <w:b/>
          <w:i/>
        </w:rPr>
      </w:pPr>
      <w:r>
        <w:rPr>
          <w:rFonts w:ascii="Arial" w:hAnsi="Arial" w:cs="Arial"/>
          <w:b/>
          <w:i/>
        </w:rPr>
        <w:t>We will addres</w:t>
      </w:r>
      <w:r w:rsidR="00FE6A1D">
        <w:rPr>
          <w:rFonts w:ascii="Arial" w:hAnsi="Arial" w:cs="Arial"/>
          <w:b/>
          <w:i/>
        </w:rPr>
        <w:t>s this further in our later Subm</w:t>
      </w:r>
      <w:r>
        <w:rPr>
          <w:rFonts w:ascii="Arial" w:hAnsi="Arial" w:cs="Arial"/>
          <w:b/>
          <w:i/>
        </w:rPr>
        <w:t>issions</w:t>
      </w:r>
      <w:r w:rsidR="00110B27">
        <w:rPr>
          <w:rFonts w:ascii="Arial" w:hAnsi="Arial" w:cs="Arial"/>
          <w:b/>
          <w:i/>
        </w:rPr>
        <w:t>.</w:t>
      </w:r>
    </w:p>
    <w:p w:rsidR="00E10A8E" w:rsidRPr="00512725" w:rsidRDefault="00E10A8E" w:rsidP="008E4B78">
      <w:pPr>
        <w:autoSpaceDE w:val="0"/>
        <w:autoSpaceDN w:val="0"/>
        <w:adjustRightInd w:val="0"/>
        <w:rPr>
          <w:rFonts w:ascii="Arial" w:hAnsi="Arial" w:cs="Arial"/>
          <w:b/>
          <w:i/>
        </w:rPr>
      </w:pPr>
    </w:p>
    <w:p w:rsidR="00D338F4" w:rsidRPr="00512725" w:rsidRDefault="00D338F4" w:rsidP="004B42E7">
      <w:pPr>
        <w:autoSpaceDE w:val="0"/>
        <w:autoSpaceDN w:val="0"/>
        <w:adjustRightInd w:val="0"/>
        <w:rPr>
          <w:rFonts w:ascii="Arial" w:hAnsi="Arial" w:cs="Arial"/>
          <w:b/>
          <w:bCs/>
        </w:rPr>
      </w:pPr>
    </w:p>
    <w:p w:rsidR="004B42E7" w:rsidRPr="00512725" w:rsidRDefault="004B42E7" w:rsidP="005947B2">
      <w:pPr>
        <w:pStyle w:val="ListParagraph"/>
        <w:numPr>
          <w:ilvl w:val="0"/>
          <w:numId w:val="7"/>
        </w:numPr>
        <w:autoSpaceDE w:val="0"/>
        <w:autoSpaceDN w:val="0"/>
        <w:adjustRightInd w:val="0"/>
        <w:rPr>
          <w:rFonts w:ascii="Arial" w:hAnsi="Arial" w:cs="Arial"/>
          <w:b/>
          <w:bCs/>
        </w:rPr>
      </w:pPr>
      <w:r w:rsidRPr="00512725">
        <w:rPr>
          <w:rFonts w:ascii="Arial" w:hAnsi="Arial" w:cs="Arial"/>
          <w:b/>
          <w:bCs/>
        </w:rPr>
        <w:t>Hydro One Evidence</w:t>
      </w:r>
      <w:r w:rsidR="00B77D88" w:rsidRPr="00512725">
        <w:rPr>
          <w:rFonts w:ascii="Arial" w:hAnsi="Arial" w:cs="Arial"/>
          <w:b/>
          <w:bCs/>
        </w:rPr>
        <w:t xml:space="preserve"> on </w:t>
      </w:r>
      <w:r w:rsidR="00C85228" w:rsidRPr="00512725">
        <w:rPr>
          <w:rFonts w:ascii="Arial" w:hAnsi="Arial" w:cs="Arial"/>
          <w:b/>
          <w:bCs/>
        </w:rPr>
        <w:t xml:space="preserve">Reliability, </w:t>
      </w:r>
      <w:r w:rsidR="00B77D88" w:rsidRPr="00512725">
        <w:rPr>
          <w:rFonts w:ascii="Arial" w:hAnsi="Arial" w:cs="Arial"/>
          <w:b/>
          <w:bCs/>
        </w:rPr>
        <w:t xml:space="preserve">Productivity and Cost Savings </w:t>
      </w:r>
    </w:p>
    <w:p w:rsidR="00A5332F" w:rsidRPr="00512725" w:rsidRDefault="00A5332F" w:rsidP="004B42E7">
      <w:pPr>
        <w:autoSpaceDE w:val="0"/>
        <w:autoSpaceDN w:val="0"/>
        <w:adjustRightInd w:val="0"/>
        <w:rPr>
          <w:rFonts w:ascii="Arial" w:hAnsi="Arial" w:cs="Arial"/>
          <w:b/>
          <w:bCs/>
        </w:rPr>
      </w:pPr>
    </w:p>
    <w:p w:rsidR="004B42E7" w:rsidRPr="00512725" w:rsidRDefault="00F86D09" w:rsidP="004B42E7">
      <w:pPr>
        <w:autoSpaceDE w:val="0"/>
        <w:autoSpaceDN w:val="0"/>
        <w:adjustRightInd w:val="0"/>
        <w:rPr>
          <w:rFonts w:ascii="Arial" w:hAnsi="Arial" w:cs="Arial"/>
          <w:b/>
          <w:bCs/>
        </w:rPr>
      </w:pPr>
      <w:r w:rsidRPr="00512725">
        <w:rPr>
          <w:rFonts w:ascii="Arial" w:hAnsi="Arial" w:cs="Arial"/>
          <w:b/>
          <w:bCs/>
        </w:rPr>
        <w:t>Hydro One Claims</w:t>
      </w:r>
    </w:p>
    <w:p w:rsidR="00A5332F" w:rsidRPr="00512725" w:rsidRDefault="00A5332F" w:rsidP="004B42E7">
      <w:pPr>
        <w:autoSpaceDE w:val="0"/>
        <w:autoSpaceDN w:val="0"/>
        <w:adjustRightInd w:val="0"/>
        <w:rPr>
          <w:rFonts w:ascii="Arial" w:hAnsi="Arial" w:cs="Arial"/>
          <w:b/>
          <w:bCs/>
        </w:rPr>
      </w:pPr>
    </w:p>
    <w:p w:rsidR="00A5332F" w:rsidRPr="00D27DD0" w:rsidRDefault="00D27DD0" w:rsidP="00110B27">
      <w:pPr>
        <w:pStyle w:val="ListParagraph"/>
        <w:tabs>
          <w:tab w:val="left" w:pos="567"/>
        </w:tabs>
        <w:autoSpaceDE w:val="0"/>
        <w:autoSpaceDN w:val="0"/>
        <w:adjustRightInd w:val="0"/>
        <w:ind w:left="0"/>
        <w:rPr>
          <w:rFonts w:ascii="Arial" w:hAnsi="Arial" w:cs="Arial"/>
          <w:bCs/>
        </w:rPr>
      </w:pPr>
      <w:r>
        <w:rPr>
          <w:rFonts w:ascii="Arial" w:hAnsi="Arial" w:cs="Arial"/>
          <w:bCs/>
        </w:rPr>
        <w:t xml:space="preserve">5.1 </w:t>
      </w:r>
      <w:r w:rsidR="00110B27">
        <w:rPr>
          <w:rFonts w:ascii="Arial" w:hAnsi="Arial" w:cs="Arial"/>
          <w:bCs/>
        </w:rPr>
        <w:tab/>
      </w:r>
      <w:r w:rsidR="00AB4B06" w:rsidRPr="00D27DD0">
        <w:rPr>
          <w:rFonts w:ascii="Arial" w:hAnsi="Arial" w:cs="Arial"/>
          <w:bCs/>
        </w:rPr>
        <w:t>A</w:t>
      </w:r>
      <w:r w:rsidR="00A5332F" w:rsidRPr="00D27DD0">
        <w:rPr>
          <w:rFonts w:ascii="Arial" w:hAnsi="Arial" w:cs="Arial"/>
          <w:bCs/>
        </w:rPr>
        <w:t>s noted in its evidence</w:t>
      </w:r>
      <w:r w:rsidR="005157A9">
        <w:rPr>
          <w:rStyle w:val="FootnoteReference"/>
          <w:rFonts w:ascii="Arial" w:hAnsi="Arial" w:cs="Arial"/>
          <w:bCs/>
        </w:rPr>
        <w:footnoteReference w:id="10"/>
      </w:r>
      <w:r w:rsidR="00AB4B06" w:rsidRPr="00D27DD0">
        <w:rPr>
          <w:rFonts w:ascii="Arial" w:hAnsi="Arial" w:cs="Arial"/>
          <w:bCs/>
        </w:rPr>
        <w:t>,</w:t>
      </w:r>
      <w:r w:rsidR="00A5332F" w:rsidRPr="00D27DD0">
        <w:rPr>
          <w:rFonts w:ascii="Arial" w:hAnsi="Arial" w:cs="Arial"/>
          <w:bCs/>
        </w:rPr>
        <w:t xml:space="preserve"> baseline claims are</w:t>
      </w:r>
      <w:r w:rsidR="00AB4B06" w:rsidRPr="00D27DD0">
        <w:rPr>
          <w:rFonts w:ascii="Arial" w:hAnsi="Arial" w:cs="Arial"/>
          <w:bCs/>
        </w:rPr>
        <w:t>:</w:t>
      </w:r>
    </w:p>
    <w:p w:rsidR="00AB4B06" w:rsidRPr="00512725" w:rsidRDefault="00AB4B06" w:rsidP="00AB4B06">
      <w:pPr>
        <w:pStyle w:val="ListParagraph"/>
        <w:autoSpaceDE w:val="0"/>
        <w:autoSpaceDN w:val="0"/>
        <w:adjustRightInd w:val="0"/>
        <w:ind w:left="1080"/>
        <w:rPr>
          <w:rFonts w:ascii="Arial" w:hAnsi="Arial" w:cs="Arial"/>
          <w:b/>
          <w:bCs/>
        </w:rPr>
      </w:pPr>
    </w:p>
    <w:p w:rsidR="00A5332F" w:rsidRPr="00D27DD0" w:rsidRDefault="004B42E7" w:rsidP="00D27DD0">
      <w:pPr>
        <w:pStyle w:val="ListParagraph"/>
        <w:numPr>
          <w:ilvl w:val="0"/>
          <w:numId w:val="8"/>
        </w:numPr>
        <w:autoSpaceDE w:val="0"/>
        <w:autoSpaceDN w:val="0"/>
        <w:adjustRightInd w:val="0"/>
        <w:ind w:left="1191" w:hanging="397"/>
        <w:rPr>
          <w:rFonts w:ascii="Arial" w:hAnsi="Arial" w:cs="Arial"/>
        </w:rPr>
      </w:pPr>
      <w:r w:rsidRPr="00D27DD0">
        <w:rPr>
          <w:rFonts w:ascii="Arial" w:hAnsi="Arial" w:cs="Arial"/>
        </w:rPr>
        <w:t>The adequacy, reliability and quality of service of GLPT’s transmission service will not</w:t>
      </w:r>
      <w:r w:rsidRPr="00D27DD0">
        <w:rPr>
          <w:rFonts w:ascii="Arial" w:hAnsi="Arial" w:cs="Arial"/>
          <w:sz w:val="16"/>
          <w:szCs w:val="16"/>
        </w:rPr>
        <w:t xml:space="preserve"> </w:t>
      </w:r>
      <w:r w:rsidRPr="00D27DD0">
        <w:rPr>
          <w:rFonts w:ascii="Arial" w:hAnsi="Arial" w:cs="Arial"/>
        </w:rPr>
        <w:t>be impacted.</w:t>
      </w:r>
    </w:p>
    <w:p w:rsidR="004B42E7" w:rsidRPr="00512725" w:rsidRDefault="004B42E7" w:rsidP="00D27DD0">
      <w:pPr>
        <w:pStyle w:val="ListParagraph"/>
        <w:numPr>
          <w:ilvl w:val="0"/>
          <w:numId w:val="8"/>
        </w:numPr>
        <w:autoSpaceDE w:val="0"/>
        <w:autoSpaceDN w:val="0"/>
        <w:adjustRightInd w:val="0"/>
        <w:ind w:left="1151" w:hanging="357"/>
        <w:rPr>
          <w:rFonts w:ascii="Arial" w:hAnsi="Arial" w:cs="Arial"/>
        </w:rPr>
      </w:pPr>
      <w:r w:rsidRPr="00512725">
        <w:rPr>
          <w:rFonts w:ascii="Arial" w:hAnsi="Arial" w:cs="Arial"/>
        </w:rPr>
        <w:t>Longer term synergy savings opportunities are reasonably expected to result in reductions</w:t>
      </w:r>
      <w:r w:rsidR="00A5332F" w:rsidRPr="00512725">
        <w:rPr>
          <w:rFonts w:ascii="Arial" w:hAnsi="Arial" w:cs="Arial"/>
        </w:rPr>
        <w:t xml:space="preserve"> </w:t>
      </w:r>
      <w:r w:rsidRPr="00512725">
        <w:rPr>
          <w:rFonts w:ascii="Arial" w:hAnsi="Arial" w:cs="Arial"/>
        </w:rPr>
        <w:t xml:space="preserve">to underlying cost structures. These opportunities to reduce </w:t>
      </w:r>
      <w:r w:rsidRPr="00512725">
        <w:rPr>
          <w:rFonts w:ascii="Arial" w:hAnsi="Arial" w:cs="Arial"/>
        </w:rPr>
        <w:lastRenderedPageBreak/>
        <w:t>underlying cost structures</w:t>
      </w:r>
      <w:r w:rsidR="00A5332F" w:rsidRPr="00512725">
        <w:rPr>
          <w:rFonts w:ascii="Arial" w:hAnsi="Arial" w:cs="Arial"/>
        </w:rPr>
        <w:t xml:space="preserve"> </w:t>
      </w:r>
      <w:r w:rsidRPr="00512725">
        <w:rPr>
          <w:rFonts w:ascii="Arial" w:hAnsi="Arial" w:cs="Arial"/>
        </w:rPr>
        <w:t>would not otherwise arise but for the transaction and thus the transaction promotes</w:t>
      </w:r>
      <w:r w:rsidR="00A5332F" w:rsidRPr="00512725">
        <w:rPr>
          <w:rFonts w:ascii="Arial" w:hAnsi="Arial" w:cs="Arial"/>
        </w:rPr>
        <w:t xml:space="preserve"> </w:t>
      </w:r>
      <w:r w:rsidRPr="00512725">
        <w:rPr>
          <w:rFonts w:ascii="Arial" w:hAnsi="Arial" w:cs="Arial"/>
        </w:rPr>
        <w:t>economic efficiencies and cost effectiveness which benefits customers in the long term.</w:t>
      </w:r>
    </w:p>
    <w:p w:rsidR="004B42E7" w:rsidRPr="00512725" w:rsidRDefault="004B42E7" w:rsidP="00AB4B06">
      <w:pPr>
        <w:pStyle w:val="ListParagraph"/>
        <w:numPr>
          <w:ilvl w:val="0"/>
          <w:numId w:val="8"/>
        </w:numPr>
        <w:autoSpaceDE w:val="0"/>
        <w:autoSpaceDN w:val="0"/>
        <w:adjustRightInd w:val="0"/>
        <w:ind w:left="1118"/>
        <w:rPr>
          <w:rFonts w:ascii="Arial" w:hAnsi="Arial" w:cs="Arial"/>
        </w:rPr>
      </w:pPr>
      <w:r w:rsidRPr="00512725">
        <w:rPr>
          <w:rFonts w:ascii="Arial" w:hAnsi="Arial" w:cs="Arial"/>
        </w:rPr>
        <w:t>While longer term synergy savings opportunities are reasonably expected, reductions to</w:t>
      </w:r>
      <w:r w:rsidRPr="00512725">
        <w:rPr>
          <w:rFonts w:ascii="Arial" w:hAnsi="Arial" w:cs="Arial"/>
          <w:sz w:val="16"/>
          <w:szCs w:val="16"/>
        </w:rPr>
        <w:t xml:space="preserve"> </w:t>
      </w:r>
      <w:r w:rsidRPr="00512725">
        <w:rPr>
          <w:rFonts w:ascii="Arial" w:hAnsi="Arial" w:cs="Arial"/>
        </w:rPr>
        <w:t>the GLPT cost structure over time are not expected to result in significant reductions to</w:t>
      </w:r>
      <w:r w:rsidRPr="00512725">
        <w:rPr>
          <w:rFonts w:ascii="Arial" w:hAnsi="Arial" w:cs="Arial"/>
          <w:sz w:val="16"/>
          <w:szCs w:val="16"/>
        </w:rPr>
        <w:t xml:space="preserve"> </w:t>
      </w:r>
      <w:r w:rsidRPr="00512725">
        <w:rPr>
          <w:rFonts w:ascii="Arial" w:hAnsi="Arial" w:cs="Arial"/>
        </w:rPr>
        <w:t>the level of the UTR relative to the UTR rate had the transaction not proceeded. This</w:t>
      </w:r>
      <w:r w:rsidRPr="00512725">
        <w:rPr>
          <w:rFonts w:ascii="Arial" w:hAnsi="Arial" w:cs="Arial"/>
          <w:sz w:val="16"/>
          <w:szCs w:val="16"/>
        </w:rPr>
        <w:t xml:space="preserve"> </w:t>
      </w:r>
      <w:r w:rsidRPr="00512725">
        <w:rPr>
          <w:rFonts w:ascii="Arial" w:hAnsi="Arial" w:cs="Arial"/>
        </w:rPr>
        <w:t>outcome is due to the relatively small size of the GLPT revenue requirement as compared</w:t>
      </w:r>
      <w:r w:rsidR="00A5332F" w:rsidRPr="00512725">
        <w:rPr>
          <w:rFonts w:ascii="Arial" w:hAnsi="Arial" w:cs="Arial"/>
        </w:rPr>
        <w:t xml:space="preserve"> </w:t>
      </w:r>
      <w:r w:rsidRPr="00512725">
        <w:rPr>
          <w:rFonts w:ascii="Arial" w:hAnsi="Arial" w:cs="Arial"/>
        </w:rPr>
        <w:t>to the overall revenue requirement recovered through the UTR.</w:t>
      </w:r>
    </w:p>
    <w:p w:rsidR="004B42E7" w:rsidRPr="00512725" w:rsidRDefault="004B42E7" w:rsidP="004B42E7">
      <w:pPr>
        <w:autoSpaceDE w:val="0"/>
        <w:autoSpaceDN w:val="0"/>
        <w:adjustRightInd w:val="0"/>
        <w:rPr>
          <w:rFonts w:ascii="Arial" w:hAnsi="Arial" w:cs="Arial"/>
          <w:b/>
        </w:rPr>
      </w:pPr>
    </w:p>
    <w:p w:rsidR="008E4B78" w:rsidRPr="00512725" w:rsidRDefault="008E4B78" w:rsidP="008E4B78">
      <w:pPr>
        <w:autoSpaceDE w:val="0"/>
        <w:autoSpaceDN w:val="0"/>
        <w:adjustRightInd w:val="0"/>
        <w:rPr>
          <w:rFonts w:ascii="Arial" w:hAnsi="Arial" w:cs="Arial"/>
        </w:rPr>
      </w:pPr>
    </w:p>
    <w:p w:rsidR="008E4B78" w:rsidRPr="003B033E" w:rsidRDefault="008E4B78" w:rsidP="00110B27">
      <w:pPr>
        <w:tabs>
          <w:tab w:val="left" w:pos="567"/>
        </w:tabs>
        <w:autoSpaceDE w:val="0"/>
        <w:autoSpaceDN w:val="0"/>
        <w:adjustRightInd w:val="0"/>
        <w:rPr>
          <w:rFonts w:ascii="Arial" w:hAnsi="Arial" w:cs="Arial"/>
          <w:b/>
          <w:sz w:val="22"/>
          <w:szCs w:val="22"/>
        </w:rPr>
      </w:pPr>
      <w:r w:rsidRPr="003B033E">
        <w:rPr>
          <w:rFonts w:ascii="Arial" w:hAnsi="Arial" w:cs="Arial"/>
          <w:sz w:val="22"/>
          <w:szCs w:val="22"/>
        </w:rPr>
        <w:t xml:space="preserve"> </w:t>
      </w:r>
      <w:r w:rsidR="001177DA" w:rsidRPr="003B033E">
        <w:rPr>
          <w:rFonts w:ascii="Arial" w:hAnsi="Arial" w:cs="Arial"/>
          <w:sz w:val="22"/>
          <w:szCs w:val="22"/>
        </w:rPr>
        <w:t xml:space="preserve">5.2 </w:t>
      </w:r>
      <w:r w:rsidR="00110B27">
        <w:rPr>
          <w:rFonts w:ascii="Arial" w:hAnsi="Arial" w:cs="Arial"/>
          <w:sz w:val="22"/>
          <w:szCs w:val="22"/>
        </w:rPr>
        <w:tab/>
      </w:r>
      <w:r w:rsidRPr="003B033E">
        <w:rPr>
          <w:rFonts w:ascii="Arial" w:hAnsi="Arial" w:cs="Arial"/>
          <w:sz w:val="22"/>
          <w:szCs w:val="22"/>
        </w:rPr>
        <w:t xml:space="preserve">In 2017-2018, GLPT and Hydro One will continue to operate as stand-alone licensed transmitters. During this period, </w:t>
      </w:r>
      <w:r w:rsidRPr="003B033E">
        <w:rPr>
          <w:rFonts w:ascii="Arial" w:hAnsi="Arial" w:cs="Arial"/>
          <w:b/>
          <w:sz w:val="22"/>
          <w:szCs w:val="22"/>
        </w:rPr>
        <w:t>Hydro One will examine areas where operational</w:t>
      </w:r>
      <w:r w:rsidR="001177DA" w:rsidRPr="003B033E">
        <w:rPr>
          <w:rFonts w:ascii="Arial" w:hAnsi="Arial" w:cs="Arial"/>
          <w:b/>
          <w:sz w:val="22"/>
          <w:szCs w:val="22"/>
        </w:rPr>
        <w:t xml:space="preserve"> </w:t>
      </w:r>
      <w:r w:rsidRPr="003B033E">
        <w:rPr>
          <w:rFonts w:ascii="Arial" w:hAnsi="Arial" w:cs="Arial"/>
          <w:b/>
          <w:sz w:val="22"/>
          <w:szCs w:val="22"/>
        </w:rPr>
        <w:t xml:space="preserve">efficiencies may be achieved through integration. The areas in which </w:t>
      </w:r>
      <w:r w:rsidRPr="003B033E">
        <w:rPr>
          <w:rFonts w:ascii="Arial" w:hAnsi="Arial" w:cs="Arial"/>
          <w:sz w:val="22"/>
          <w:szCs w:val="22"/>
        </w:rPr>
        <w:t>OM&amp;A savings are expected to be realized following 2018 relate to scale and operational synergies</w:t>
      </w:r>
      <w:r w:rsidRPr="003B033E">
        <w:rPr>
          <w:rFonts w:ascii="Arial" w:hAnsi="Arial" w:cs="Arial"/>
          <w:b/>
          <w:sz w:val="22"/>
          <w:szCs w:val="22"/>
        </w:rPr>
        <w:t>.</w:t>
      </w:r>
    </w:p>
    <w:p w:rsidR="008E4B78" w:rsidRPr="003B033E" w:rsidRDefault="00164D85" w:rsidP="008E4B78">
      <w:pPr>
        <w:autoSpaceDE w:val="0"/>
        <w:autoSpaceDN w:val="0"/>
        <w:adjustRightInd w:val="0"/>
        <w:rPr>
          <w:rFonts w:ascii="Arial" w:hAnsi="Arial" w:cs="Arial"/>
          <w:sz w:val="22"/>
          <w:szCs w:val="22"/>
        </w:rPr>
      </w:pPr>
      <w:r w:rsidRPr="003B033E">
        <w:rPr>
          <w:rFonts w:ascii="Arial" w:hAnsi="Arial" w:cs="Arial"/>
          <w:sz w:val="22"/>
          <w:szCs w:val="22"/>
        </w:rPr>
        <w:t>……</w:t>
      </w:r>
      <w:r w:rsidR="008E4B78" w:rsidRPr="003B033E">
        <w:rPr>
          <w:rFonts w:ascii="Arial" w:hAnsi="Arial" w:cs="Arial"/>
          <w:sz w:val="22"/>
          <w:szCs w:val="22"/>
        </w:rPr>
        <w:t>as well as opportunities for GLPT’s management and staff to work within</w:t>
      </w:r>
      <w:r w:rsidR="00110B27">
        <w:rPr>
          <w:rFonts w:ascii="Arial" w:hAnsi="Arial" w:cs="Arial"/>
          <w:sz w:val="22"/>
          <w:szCs w:val="22"/>
        </w:rPr>
        <w:t xml:space="preserve"> </w:t>
      </w:r>
      <w:r w:rsidR="008E4B78" w:rsidRPr="003B033E">
        <w:rPr>
          <w:rFonts w:ascii="Arial" w:hAnsi="Arial" w:cs="Arial"/>
          <w:sz w:val="22"/>
          <w:szCs w:val="22"/>
        </w:rPr>
        <w:t>the Hydro One organization. These resources will help address expected retirements</w:t>
      </w:r>
      <w:r w:rsidR="00110B27">
        <w:rPr>
          <w:rFonts w:ascii="Arial" w:hAnsi="Arial" w:cs="Arial"/>
          <w:sz w:val="22"/>
          <w:szCs w:val="22"/>
        </w:rPr>
        <w:t xml:space="preserve"> </w:t>
      </w:r>
      <w:r w:rsidR="008E4B78" w:rsidRPr="003B033E">
        <w:rPr>
          <w:rFonts w:ascii="Arial" w:hAnsi="Arial" w:cs="Arial"/>
          <w:sz w:val="22"/>
          <w:szCs w:val="22"/>
        </w:rPr>
        <w:t>and other attrition within Hydro One.</w:t>
      </w:r>
      <w:r w:rsidR="003B033E">
        <w:rPr>
          <w:rStyle w:val="FootnoteReference"/>
          <w:rFonts w:ascii="Arial" w:hAnsi="Arial" w:cs="Arial"/>
          <w:sz w:val="22"/>
          <w:szCs w:val="22"/>
        </w:rPr>
        <w:footnoteReference w:id="11"/>
      </w:r>
      <w:r w:rsidR="001177DA" w:rsidRPr="003B033E">
        <w:rPr>
          <w:rFonts w:ascii="Arial" w:hAnsi="Arial" w:cs="Arial"/>
          <w:sz w:val="22"/>
          <w:szCs w:val="22"/>
        </w:rPr>
        <w:t xml:space="preserve"> </w:t>
      </w:r>
    </w:p>
    <w:p w:rsidR="008E4B78" w:rsidRPr="003B033E" w:rsidRDefault="008E4B78" w:rsidP="008E4B78">
      <w:pPr>
        <w:autoSpaceDE w:val="0"/>
        <w:autoSpaceDN w:val="0"/>
        <w:adjustRightInd w:val="0"/>
        <w:rPr>
          <w:rFonts w:ascii="Arial" w:hAnsi="Arial" w:cs="Arial"/>
          <w:sz w:val="22"/>
          <w:szCs w:val="22"/>
        </w:rPr>
      </w:pPr>
    </w:p>
    <w:p w:rsidR="008E4B78" w:rsidRPr="003B033E" w:rsidRDefault="001177DA" w:rsidP="00110B27">
      <w:pPr>
        <w:tabs>
          <w:tab w:val="left" w:pos="567"/>
        </w:tabs>
        <w:autoSpaceDE w:val="0"/>
        <w:autoSpaceDN w:val="0"/>
        <w:adjustRightInd w:val="0"/>
        <w:rPr>
          <w:rFonts w:ascii="Arial" w:hAnsi="Arial" w:cs="Arial"/>
          <w:bCs/>
          <w:sz w:val="22"/>
          <w:szCs w:val="22"/>
        </w:rPr>
      </w:pPr>
      <w:r w:rsidRPr="003B033E">
        <w:rPr>
          <w:rFonts w:ascii="Arial" w:hAnsi="Arial" w:cs="Arial"/>
          <w:sz w:val="22"/>
          <w:szCs w:val="22"/>
        </w:rPr>
        <w:t xml:space="preserve">5.3 </w:t>
      </w:r>
      <w:r w:rsidR="00110B27">
        <w:rPr>
          <w:rFonts w:ascii="Arial" w:hAnsi="Arial" w:cs="Arial"/>
          <w:sz w:val="22"/>
          <w:szCs w:val="22"/>
        </w:rPr>
        <w:tab/>
      </w:r>
      <w:r w:rsidR="008E4B78" w:rsidRPr="003B033E">
        <w:rPr>
          <w:rFonts w:ascii="Arial" w:hAnsi="Arial" w:cs="Arial"/>
          <w:sz w:val="22"/>
          <w:szCs w:val="22"/>
        </w:rPr>
        <w:t>Additional synergy areas exist in capital expenditure reductions arising from some</w:t>
      </w:r>
      <w:r w:rsidR="00110B27">
        <w:rPr>
          <w:rFonts w:ascii="Arial" w:hAnsi="Arial" w:cs="Arial"/>
          <w:sz w:val="22"/>
          <w:szCs w:val="22"/>
        </w:rPr>
        <w:t xml:space="preserve"> </w:t>
      </w:r>
      <w:r w:rsidR="008E4B78" w:rsidRPr="003B033E">
        <w:rPr>
          <w:rFonts w:ascii="Arial" w:hAnsi="Arial" w:cs="Arial"/>
          <w:sz w:val="22"/>
          <w:szCs w:val="22"/>
        </w:rPr>
        <w:t>asset redundancy, the economic scale of Hydro One’s operations, and potential</w:t>
      </w:r>
      <w:r w:rsidR="00110B27">
        <w:rPr>
          <w:rFonts w:ascii="Arial" w:hAnsi="Arial" w:cs="Arial"/>
          <w:sz w:val="22"/>
          <w:szCs w:val="22"/>
        </w:rPr>
        <w:t xml:space="preserve"> </w:t>
      </w:r>
      <w:r w:rsidR="008E4B78" w:rsidRPr="003B033E">
        <w:rPr>
          <w:rFonts w:ascii="Arial" w:hAnsi="Arial" w:cs="Arial"/>
          <w:sz w:val="22"/>
          <w:szCs w:val="22"/>
        </w:rPr>
        <w:t xml:space="preserve">savings from adopting Hydro One’s asset management programs. </w:t>
      </w:r>
      <w:r w:rsidR="007651B8">
        <w:rPr>
          <w:rFonts w:ascii="Arial" w:hAnsi="Arial" w:cs="Arial"/>
          <w:sz w:val="22"/>
          <w:szCs w:val="22"/>
        </w:rPr>
        <w:t>The evidence shows material differences between Business as Usual and Post consolidation</w:t>
      </w:r>
      <w:r w:rsidR="007651B8">
        <w:rPr>
          <w:rStyle w:val="FootnoteReference"/>
          <w:rFonts w:ascii="Arial" w:hAnsi="Arial" w:cs="Arial"/>
          <w:sz w:val="22"/>
          <w:szCs w:val="22"/>
        </w:rPr>
        <w:footnoteReference w:id="12"/>
      </w:r>
      <w:r w:rsidR="007651B8">
        <w:rPr>
          <w:rFonts w:ascii="Arial" w:hAnsi="Arial" w:cs="Arial"/>
          <w:sz w:val="22"/>
          <w:szCs w:val="22"/>
        </w:rPr>
        <w:t>.</w:t>
      </w:r>
    </w:p>
    <w:p w:rsidR="008E4B78" w:rsidRPr="003B033E" w:rsidRDefault="008E4B78" w:rsidP="008E4B78">
      <w:pPr>
        <w:autoSpaceDE w:val="0"/>
        <w:autoSpaceDN w:val="0"/>
        <w:adjustRightInd w:val="0"/>
        <w:rPr>
          <w:rFonts w:ascii="Arial" w:hAnsi="Arial" w:cs="Arial"/>
          <w:bCs/>
          <w:sz w:val="22"/>
          <w:szCs w:val="22"/>
        </w:rPr>
      </w:pPr>
    </w:p>
    <w:p w:rsidR="00164D85" w:rsidRPr="00512725" w:rsidRDefault="001177DA" w:rsidP="00110B27">
      <w:pPr>
        <w:tabs>
          <w:tab w:val="left" w:pos="567"/>
        </w:tabs>
        <w:autoSpaceDE w:val="0"/>
        <w:autoSpaceDN w:val="0"/>
        <w:adjustRightInd w:val="0"/>
        <w:rPr>
          <w:rFonts w:ascii="Arial" w:hAnsi="Arial" w:cs="Arial"/>
          <w:b/>
          <w:bCs/>
        </w:rPr>
      </w:pPr>
      <w:r w:rsidRPr="00512725">
        <w:rPr>
          <w:rFonts w:ascii="Arial" w:hAnsi="Arial" w:cs="Arial"/>
          <w:sz w:val="22"/>
          <w:szCs w:val="22"/>
        </w:rPr>
        <w:t xml:space="preserve">5.4 </w:t>
      </w:r>
      <w:r w:rsidR="00110B27">
        <w:rPr>
          <w:rFonts w:ascii="Arial" w:hAnsi="Arial" w:cs="Arial"/>
          <w:sz w:val="22"/>
          <w:szCs w:val="22"/>
        </w:rPr>
        <w:tab/>
      </w:r>
      <w:r w:rsidR="00164D85" w:rsidRPr="00512725">
        <w:rPr>
          <w:rFonts w:ascii="Arial" w:hAnsi="Arial" w:cs="Arial"/>
          <w:sz w:val="22"/>
          <w:szCs w:val="22"/>
        </w:rPr>
        <w:t>Hydro One and GLPT have provided a long term Capital Plan for the Consolidation period 2017-2027</w:t>
      </w:r>
      <w:r w:rsidR="003B033E">
        <w:rPr>
          <w:rStyle w:val="FootnoteReference"/>
          <w:rFonts w:ascii="Arial" w:hAnsi="Arial" w:cs="Arial"/>
          <w:sz w:val="22"/>
          <w:szCs w:val="22"/>
        </w:rPr>
        <w:footnoteReference w:id="13"/>
      </w:r>
      <w:r w:rsidR="00E61793">
        <w:rPr>
          <w:rFonts w:ascii="Arial" w:hAnsi="Arial" w:cs="Arial"/>
          <w:sz w:val="22"/>
          <w:szCs w:val="22"/>
        </w:rPr>
        <w:t xml:space="preserve"> </w:t>
      </w:r>
      <w:r w:rsidR="00164D85" w:rsidRPr="00512725">
        <w:rPr>
          <w:rFonts w:ascii="Arial" w:hAnsi="Arial" w:cs="Arial"/>
          <w:sz w:val="22"/>
          <w:szCs w:val="22"/>
        </w:rPr>
        <w:t xml:space="preserve">, Hydro one projects 10% reductions during the 10 years but only provides </w:t>
      </w:r>
      <w:r w:rsidR="00E61793">
        <w:rPr>
          <w:rFonts w:ascii="Arial" w:hAnsi="Arial" w:cs="Arial"/>
          <w:sz w:val="22"/>
          <w:szCs w:val="22"/>
        </w:rPr>
        <w:t xml:space="preserve">a </w:t>
      </w:r>
      <w:r w:rsidR="00164D85" w:rsidRPr="00512725">
        <w:rPr>
          <w:rFonts w:ascii="Arial" w:hAnsi="Arial" w:cs="Arial"/>
          <w:sz w:val="22"/>
          <w:szCs w:val="22"/>
        </w:rPr>
        <w:t>qualitative ass</w:t>
      </w:r>
      <w:r w:rsidR="00D27DD0">
        <w:rPr>
          <w:rFonts w:ascii="Arial" w:hAnsi="Arial" w:cs="Arial"/>
          <w:sz w:val="22"/>
          <w:szCs w:val="22"/>
        </w:rPr>
        <w:t>es</w:t>
      </w:r>
      <w:r w:rsidR="00164D85" w:rsidRPr="00512725">
        <w:rPr>
          <w:rFonts w:ascii="Arial" w:hAnsi="Arial" w:cs="Arial"/>
          <w:sz w:val="22"/>
          <w:szCs w:val="22"/>
        </w:rPr>
        <w:t xml:space="preserve">sment. This is a matter to be addressed in the Review of the GLPT rate Application but the significance to the current Application is that HO is making such synergy </w:t>
      </w:r>
      <w:r w:rsidRPr="00512725">
        <w:rPr>
          <w:rFonts w:ascii="Arial" w:hAnsi="Arial" w:cs="Arial"/>
          <w:sz w:val="22"/>
          <w:szCs w:val="22"/>
        </w:rPr>
        <w:t>cost reduction</w:t>
      </w:r>
      <w:r w:rsidR="00164D85" w:rsidRPr="00512725">
        <w:rPr>
          <w:rFonts w:ascii="Arial" w:hAnsi="Arial" w:cs="Arial"/>
          <w:sz w:val="22"/>
          <w:szCs w:val="22"/>
        </w:rPr>
        <w:t xml:space="preserve"> claims</w:t>
      </w:r>
      <w:r w:rsidR="00E61793">
        <w:rPr>
          <w:rFonts w:ascii="Arial" w:hAnsi="Arial" w:cs="Arial"/>
          <w:sz w:val="22"/>
          <w:szCs w:val="22"/>
        </w:rPr>
        <w:t>.</w:t>
      </w:r>
    </w:p>
    <w:p w:rsidR="001177DA" w:rsidRPr="00512725" w:rsidRDefault="001177DA" w:rsidP="008E4B78">
      <w:pPr>
        <w:autoSpaceDE w:val="0"/>
        <w:autoSpaceDN w:val="0"/>
        <w:adjustRightInd w:val="0"/>
        <w:rPr>
          <w:rFonts w:ascii="Arial" w:hAnsi="Arial" w:cs="Arial"/>
          <w:b/>
          <w:bCs/>
        </w:rPr>
      </w:pPr>
    </w:p>
    <w:p w:rsidR="008E4B78" w:rsidRPr="00D27DD0" w:rsidRDefault="001177DA" w:rsidP="00110B27">
      <w:pPr>
        <w:tabs>
          <w:tab w:val="left" w:pos="567"/>
        </w:tabs>
        <w:autoSpaceDE w:val="0"/>
        <w:autoSpaceDN w:val="0"/>
        <w:adjustRightInd w:val="0"/>
        <w:rPr>
          <w:rFonts w:ascii="Arial" w:hAnsi="Arial" w:cs="Arial"/>
          <w:sz w:val="22"/>
          <w:szCs w:val="22"/>
        </w:rPr>
      </w:pPr>
      <w:r w:rsidRPr="00D27DD0">
        <w:rPr>
          <w:rFonts w:ascii="Arial" w:hAnsi="Arial" w:cs="Arial"/>
          <w:sz w:val="22"/>
          <w:szCs w:val="22"/>
        </w:rPr>
        <w:t xml:space="preserve">5.5 </w:t>
      </w:r>
      <w:r w:rsidR="00110B27">
        <w:rPr>
          <w:rFonts w:ascii="Arial" w:hAnsi="Arial" w:cs="Arial"/>
          <w:sz w:val="22"/>
          <w:szCs w:val="22"/>
        </w:rPr>
        <w:tab/>
      </w:r>
      <w:r w:rsidR="00DA4FEF" w:rsidRPr="00D27DD0">
        <w:rPr>
          <w:rFonts w:ascii="Arial" w:hAnsi="Arial" w:cs="Arial"/>
          <w:sz w:val="22"/>
          <w:szCs w:val="22"/>
        </w:rPr>
        <w:t>Hydro One Notes that t</w:t>
      </w:r>
      <w:r w:rsidR="008E4B78" w:rsidRPr="00D27DD0">
        <w:rPr>
          <w:rFonts w:ascii="Arial" w:hAnsi="Arial" w:cs="Arial"/>
          <w:sz w:val="22"/>
          <w:szCs w:val="22"/>
        </w:rPr>
        <w:t>here are no widely-accepted measures of productivity used in the transmission sector. As has been described in previous benchmarking studies before the Board strong correlations exist between spending and assets. These same studies found that</w:t>
      </w:r>
    </w:p>
    <w:p w:rsidR="001177DA" w:rsidRPr="00512725" w:rsidRDefault="00D27DD0" w:rsidP="008E4B78">
      <w:pPr>
        <w:autoSpaceDE w:val="0"/>
        <w:autoSpaceDN w:val="0"/>
        <w:adjustRightInd w:val="0"/>
        <w:rPr>
          <w:rFonts w:ascii="Arial" w:hAnsi="Arial" w:cs="Arial"/>
        </w:rPr>
      </w:pPr>
      <w:r>
        <w:rPr>
          <w:rFonts w:ascii="Arial" w:hAnsi="Arial" w:cs="Arial"/>
        </w:rPr>
        <w:t>n</w:t>
      </w:r>
      <w:r w:rsidR="008E4B78" w:rsidRPr="00512725">
        <w:rPr>
          <w:rFonts w:ascii="Arial" w:hAnsi="Arial" w:cs="Arial"/>
        </w:rPr>
        <w:t>ormalizing factors, such as the number of customers or circuit kilometers, are</w:t>
      </w:r>
      <w:r w:rsidR="00110B27">
        <w:rPr>
          <w:rFonts w:ascii="Arial" w:hAnsi="Arial" w:cs="Arial"/>
        </w:rPr>
        <w:t xml:space="preserve"> </w:t>
      </w:r>
      <w:r w:rsidR="008E4B78" w:rsidRPr="00512725">
        <w:rPr>
          <w:rFonts w:ascii="Arial" w:hAnsi="Arial" w:cs="Arial"/>
        </w:rPr>
        <w:t>not appropriate, as the correlation between these variables and costs is weak. Gross</w:t>
      </w:r>
      <w:r w:rsidR="00110B27">
        <w:rPr>
          <w:rFonts w:ascii="Arial" w:hAnsi="Arial" w:cs="Arial"/>
        </w:rPr>
        <w:t xml:space="preserve"> </w:t>
      </w:r>
      <w:r w:rsidR="008E4B78" w:rsidRPr="00512725">
        <w:rPr>
          <w:rFonts w:ascii="Arial" w:hAnsi="Arial" w:cs="Arial"/>
        </w:rPr>
        <w:t>fixed assets, instead of net assets, is used as a normalizing factor because depreciation</w:t>
      </w:r>
      <w:r>
        <w:rPr>
          <w:rFonts w:ascii="Arial" w:hAnsi="Arial" w:cs="Arial"/>
        </w:rPr>
        <w:t xml:space="preserve"> </w:t>
      </w:r>
      <w:r w:rsidR="008E4B78" w:rsidRPr="00512725">
        <w:rPr>
          <w:rFonts w:ascii="Arial" w:hAnsi="Arial" w:cs="Arial"/>
        </w:rPr>
        <w:t>meth</w:t>
      </w:r>
      <w:r w:rsidR="001177DA" w:rsidRPr="00512725">
        <w:rPr>
          <w:rFonts w:ascii="Arial" w:hAnsi="Arial" w:cs="Arial"/>
        </w:rPr>
        <w:t>odologies vary amongst entities</w:t>
      </w:r>
      <w:r w:rsidR="00E61793">
        <w:rPr>
          <w:rStyle w:val="FootnoteReference"/>
          <w:rFonts w:ascii="Arial" w:hAnsi="Arial" w:cs="Arial"/>
        </w:rPr>
        <w:footnoteReference w:id="14"/>
      </w:r>
      <w:r w:rsidR="001177DA" w:rsidRPr="00512725">
        <w:rPr>
          <w:rFonts w:ascii="Arial" w:hAnsi="Arial" w:cs="Arial"/>
        </w:rPr>
        <w:t>.</w:t>
      </w:r>
      <w:r w:rsidR="00854EB7" w:rsidRPr="00512725">
        <w:rPr>
          <w:rFonts w:ascii="Arial" w:hAnsi="Arial" w:cs="Arial"/>
        </w:rPr>
        <w:t xml:space="preserve"> </w:t>
      </w:r>
    </w:p>
    <w:p w:rsidR="001177DA" w:rsidRPr="00512725" w:rsidRDefault="001177DA" w:rsidP="008E4B78">
      <w:pPr>
        <w:autoSpaceDE w:val="0"/>
        <w:autoSpaceDN w:val="0"/>
        <w:adjustRightInd w:val="0"/>
        <w:rPr>
          <w:rFonts w:ascii="Arial" w:hAnsi="Arial" w:cs="Arial"/>
        </w:rPr>
      </w:pPr>
    </w:p>
    <w:p w:rsidR="00F86D09" w:rsidRDefault="001177DA" w:rsidP="00110B27">
      <w:pPr>
        <w:tabs>
          <w:tab w:val="left" w:pos="567"/>
        </w:tabs>
        <w:autoSpaceDE w:val="0"/>
        <w:autoSpaceDN w:val="0"/>
        <w:adjustRightInd w:val="0"/>
        <w:rPr>
          <w:rFonts w:ascii="Arial" w:hAnsi="Arial" w:cs="Arial"/>
        </w:rPr>
      </w:pPr>
      <w:r w:rsidRPr="00D27DD0">
        <w:rPr>
          <w:rFonts w:ascii="Arial" w:hAnsi="Arial" w:cs="Arial"/>
        </w:rPr>
        <w:t>5.6</w:t>
      </w:r>
      <w:r w:rsidR="008E4B78" w:rsidRPr="00D27DD0">
        <w:rPr>
          <w:rFonts w:ascii="Arial" w:hAnsi="Arial" w:cs="Arial"/>
          <w:sz w:val="16"/>
          <w:szCs w:val="16"/>
        </w:rPr>
        <w:t xml:space="preserve"> </w:t>
      </w:r>
      <w:r w:rsidR="00110B27">
        <w:rPr>
          <w:rFonts w:ascii="Arial" w:hAnsi="Arial" w:cs="Arial"/>
          <w:sz w:val="16"/>
          <w:szCs w:val="16"/>
        </w:rPr>
        <w:tab/>
      </w:r>
      <w:r w:rsidR="008E4B78" w:rsidRPr="00D27DD0">
        <w:rPr>
          <w:rFonts w:ascii="Arial" w:hAnsi="Arial" w:cs="Arial"/>
        </w:rPr>
        <w:t>With respect to the cost variable used in HOI’s analysis in this Application, HOI</w:t>
      </w:r>
      <w:r w:rsidR="00D27DD0" w:rsidRPr="00D27DD0">
        <w:rPr>
          <w:rFonts w:ascii="Arial" w:hAnsi="Arial" w:cs="Arial"/>
        </w:rPr>
        <w:t xml:space="preserve"> </w:t>
      </w:r>
      <w:r w:rsidR="008E4B78" w:rsidRPr="00D27DD0">
        <w:rPr>
          <w:rFonts w:ascii="Arial" w:hAnsi="Arial" w:cs="Arial"/>
        </w:rPr>
        <w:t>proposed to use OM&amp;A as the cost variable as that is the most controllable</w:t>
      </w:r>
      <w:r w:rsidR="008E4B78" w:rsidRPr="00D27DD0">
        <w:rPr>
          <w:rFonts w:ascii="Arial" w:hAnsi="Arial" w:cs="Arial"/>
          <w:sz w:val="16"/>
          <w:szCs w:val="16"/>
        </w:rPr>
        <w:t xml:space="preserve"> </w:t>
      </w:r>
      <w:r w:rsidR="008E4B78" w:rsidRPr="00D27DD0">
        <w:rPr>
          <w:rFonts w:ascii="Arial" w:hAnsi="Arial" w:cs="Arial"/>
        </w:rPr>
        <w:t>transmitter cost</w:t>
      </w:r>
      <w:r w:rsidR="00E61793">
        <w:rPr>
          <w:rStyle w:val="FootnoteReference"/>
          <w:rFonts w:ascii="Arial" w:hAnsi="Arial" w:cs="Arial"/>
        </w:rPr>
        <w:footnoteReference w:id="15"/>
      </w:r>
      <w:r w:rsidR="008E4B78" w:rsidRPr="00D27DD0">
        <w:rPr>
          <w:rFonts w:ascii="Arial" w:hAnsi="Arial" w:cs="Arial"/>
        </w:rPr>
        <w:t>.</w:t>
      </w:r>
      <w:r w:rsidR="00854EB7" w:rsidRPr="00D27DD0">
        <w:rPr>
          <w:rFonts w:ascii="Arial" w:hAnsi="Arial" w:cs="Arial"/>
        </w:rPr>
        <w:t xml:space="preserve"> </w:t>
      </w:r>
    </w:p>
    <w:p w:rsidR="00E61793" w:rsidRDefault="00E61793" w:rsidP="008E4B78">
      <w:pPr>
        <w:autoSpaceDE w:val="0"/>
        <w:autoSpaceDN w:val="0"/>
        <w:adjustRightInd w:val="0"/>
        <w:rPr>
          <w:rFonts w:ascii="Arial" w:hAnsi="Arial" w:cs="Arial"/>
        </w:rPr>
      </w:pPr>
    </w:p>
    <w:p w:rsidR="00110B27" w:rsidRDefault="00110B27" w:rsidP="008E4B78">
      <w:pPr>
        <w:autoSpaceDE w:val="0"/>
        <w:autoSpaceDN w:val="0"/>
        <w:adjustRightInd w:val="0"/>
        <w:rPr>
          <w:rFonts w:ascii="Arial" w:hAnsi="Arial" w:cs="Arial"/>
        </w:rPr>
      </w:pPr>
    </w:p>
    <w:p w:rsidR="00110B27" w:rsidRDefault="00110B27" w:rsidP="008E4B78">
      <w:pPr>
        <w:autoSpaceDE w:val="0"/>
        <w:autoSpaceDN w:val="0"/>
        <w:adjustRightInd w:val="0"/>
        <w:rPr>
          <w:rFonts w:ascii="Arial" w:hAnsi="Arial" w:cs="Arial"/>
        </w:rPr>
      </w:pPr>
    </w:p>
    <w:p w:rsidR="00110B27" w:rsidRDefault="00110B27" w:rsidP="008E4B78">
      <w:pPr>
        <w:autoSpaceDE w:val="0"/>
        <w:autoSpaceDN w:val="0"/>
        <w:adjustRightInd w:val="0"/>
        <w:rPr>
          <w:rFonts w:ascii="Arial" w:hAnsi="Arial" w:cs="Arial"/>
        </w:rPr>
      </w:pPr>
    </w:p>
    <w:p w:rsidR="00110B27" w:rsidRDefault="00110B27" w:rsidP="008E4B78">
      <w:pPr>
        <w:autoSpaceDE w:val="0"/>
        <w:autoSpaceDN w:val="0"/>
        <w:adjustRightInd w:val="0"/>
        <w:rPr>
          <w:rFonts w:ascii="Arial" w:hAnsi="Arial" w:cs="Arial"/>
        </w:rPr>
      </w:pPr>
    </w:p>
    <w:p w:rsidR="00DA4FEF" w:rsidRPr="00D27DD0" w:rsidRDefault="00DA4FEF" w:rsidP="008E4B78">
      <w:pPr>
        <w:autoSpaceDE w:val="0"/>
        <w:autoSpaceDN w:val="0"/>
        <w:adjustRightInd w:val="0"/>
        <w:rPr>
          <w:rFonts w:ascii="Arial" w:hAnsi="Arial" w:cs="Arial"/>
          <w:b/>
          <w:i/>
        </w:rPr>
      </w:pPr>
      <w:r w:rsidRPr="00D27DD0">
        <w:rPr>
          <w:rFonts w:ascii="Arial" w:hAnsi="Arial" w:cs="Arial"/>
          <w:b/>
          <w:i/>
        </w:rPr>
        <w:t>Discussion</w:t>
      </w:r>
    </w:p>
    <w:p w:rsidR="001177DA" w:rsidRPr="00D27DD0" w:rsidRDefault="001177DA" w:rsidP="00C85228">
      <w:pPr>
        <w:autoSpaceDE w:val="0"/>
        <w:autoSpaceDN w:val="0"/>
        <w:adjustRightInd w:val="0"/>
        <w:rPr>
          <w:rFonts w:ascii="Arial" w:hAnsi="Arial" w:cs="Arial"/>
          <w:b/>
          <w:i/>
        </w:rPr>
      </w:pPr>
    </w:p>
    <w:p w:rsidR="00C85228" w:rsidRPr="00D27DD0" w:rsidRDefault="00C85228" w:rsidP="00C85228">
      <w:pPr>
        <w:autoSpaceDE w:val="0"/>
        <w:autoSpaceDN w:val="0"/>
        <w:adjustRightInd w:val="0"/>
        <w:rPr>
          <w:rFonts w:ascii="Arial" w:hAnsi="Arial" w:cs="Arial"/>
          <w:b/>
          <w:i/>
        </w:rPr>
      </w:pPr>
      <w:r w:rsidRPr="00D27DD0">
        <w:rPr>
          <w:rFonts w:ascii="Arial" w:hAnsi="Arial" w:cs="Arial"/>
          <w:b/>
          <w:i/>
        </w:rPr>
        <w:t xml:space="preserve">Desirable </w:t>
      </w:r>
      <w:r w:rsidR="00FE6A1D">
        <w:rPr>
          <w:rFonts w:ascii="Arial" w:hAnsi="Arial" w:cs="Arial"/>
          <w:b/>
          <w:i/>
        </w:rPr>
        <w:t xml:space="preserve">High Level </w:t>
      </w:r>
      <w:r w:rsidRPr="00D27DD0">
        <w:rPr>
          <w:rFonts w:ascii="Arial" w:hAnsi="Arial" w:cs="Arial"/>
          <w:b/>
          <w:i/>
        </w:rPr>
        <w:t xml:space="preserve">Outcomes for Electricity Ratepayers from </w:t>
      </w:r>
      <w:r w:rsidR="00FE6A1D">
        <w:rPr>
          <w:rFonts w:ascii="Arial" w:hAnsi="Arial" w:cs="Arial"/>
          <w:b/>
          <w:i/>
        </w:rPr>
        <w:t xml:space="preserve">this </w:t>
      </w:r>
      <w:r w:rsidRPr="00D27DD0">
        <w:rPr>
          <w:rFonts w:ascii="Arial" w:hAnsi="Arial" w:cs="Arial"/>
          <w:b/>
          <w:i/>
        </w:rPr>
        <w:t xml:space="preserve">consolidation </w:t>
      </w:r>
      <w:r w:rsidR="00854EB7" w:rsidRPr="00D27DD0">
        <w:rPr>
          <w:rFonts w:ascii="Arial" w:hAnsi="Arial" w:cs="Arial"/>
          <w:b/>
          <w:i/>
        </w:rPr>
        <w:t xml:space="preserve">include: </w:t>
      </w:r>
    </w:p>
    <w:p w:rsidR="00C85228" w:rsidRPr="00D27DD0" w:rsidRDefault="00C85228" w:rsidP="00C85228">
      <w:pPr>
        <w:pStyle w:val="ListParagraph"/>
        <w:numPr>
          <w:ilvl w:val="0"/>
          <w:numId w:val="6"/>
        </w:numPr>
        <w:autoSpaceDE w:val="0"/>
        <w:autoSpaceDN w:val="0"/>
        <w:adjustRightInd w:val="0"/>
        <w:rPr>
          <w:rFonts w:ascii="Arial" w:hAnsi="Arial" w:cs="Arial"/>
          <w:b/>
          <w:i/>
        </w:rPr>
      </w:pPr>
      <w:r w:rsidRPr="00D27DD0">
        <w:rPr>
          <w:rFonts w:ascii="Arial" w:hAnsi="Arial" w:cs="Arial"/>
          <w:b/>
          <w:i/>
        </w:rPr>
        <w:t>Maintain/Enhance Reliability and Meeting Peak on GLPT System</w:t>
      </w:r>
    </w:p>
    <w:p w:rsidR="00C85228" w:rsidRPr="00D27DD0" w:rsidRDefault="00C85228" w:rsidP="00C85228">
      <w:pPr>
        <w:pStyle w:val="ListParagraph"/>
        <w:numPr>
          <w:ilvl w:val="0"/>
          <w:numId w:val="6"/>
        </w:numPr>
        <w:autoSpaceDE w:val="0"/>
        <w:autoSpaceDN w:val="0"/>
        <w:adjustRightInd w:val="0"/>
        <w:rPr>
          <w:rFonts w:ascii="Arial" w:hAnsi="Arial" w:cs="Arial"/>
          <w:b/>
          <w:i/>
        </w:rPr>
      </w:pPr>
      <w:r w:rsidRPr="00D27DD0">
        <w:rPr>
          <w:rFonts w:ascii="Arial" w:hAnsi="Arial" w:cs="Arial"/>
          <w:b/>
          <w:i/>
        </w:rPr>
        <w:t>Improved productivity</w:t>
      </w:r>
      <w:r w:rsidR="00211711">
        <w:rPr>
          <w:rFonts w:ascii="Arial" w:hAnsi="Arial" w:cs="Arial"/>
          <w:b/>
          <w:i/>
        </w:rPr>
        <w:t xml:space="preserve"> (Capital and Labour)</w:t>
      </w:r>
      <w:r w:rsidRPr="00D27DD0">
        <w:rPr>
          <w:rFonts w:ascii="Arial" w:hAnsi="Arial" w:cs="Arial"/>
          <w:b/>
          <w:i/>
        </w:rPr>
        <w:t xml:space="preserve"> resulting in Lower Unit Costs (Revenue Requirement per TWH)</w:t>
      </w:r>
    </w:p>
    <w:p w:rsidR="00C85228" w:rsidRPr="00D27DD0" w:rsidRDefault="00C85228" w:rsidP="008E4B78">
      <w:pPr>
        <w:autoSpaceDE w:val="0"/>
        <w:autoSpaceDN w:val="0"/>
        <w:adjustRightInd w:val="0"/>
        <w:rPr>
          <w:rFonts w:ascii="Arial" w:hAnsi="Arial" w:cs="Arial"/>
          <w:b/>
          <w:i/>
        </w:rPr>
      </w:pPr>
    </w:p>
    <w:p w:rsidR="00BF0EA2" w:rsidRPr="00D27DD0" w:rsidRDefault="00854EB7" w:rsidP="00BF0EA2">
      <w:pPr>
        <w:autoSpaceDE w:val="0"/>
        <w:autoSpaceDN w:val="0"/>
        <w:adjustRightInd w:val="0"/>
        <w:rPr>
          <w:rFonts w:ascii="Arial" w:hAnsi="Arial" w:cs="Arial"/>
          <w:b/>
          <w:i/>
        </w:rPr>
      </w:pPr>
      <w:r w:rsidRPr="00D27DD0">
        <w:rPr>
          <w:rFonts w:ascii="Arial" w:hAnsi="Arial" w:cs="Arial"/>
          <w:b/>
          <w:i/>
        </w:rPr>
        <w:t>The evidence provides</w:t>
      </w:r>
      <w:r w:rsidR="00BF0EA2" w:rsidRPr="00D27DD0">
        <w:rPr>
          <w:rFonts w:ascii="Arial" w:hAnsi="Arial" w:cs="Arial"/>
          <w:b/>
          <w:i/>
        </w:rPr>
        <w:t xml:space="preserve"> </w:t>
      </w:r>
      <w:r w:rsidR="00FE6A1D">
        <w:rPr>
          <w:rFonts w:ascii="Arial" w:hAnsi="Arial" w:cs="Arial"/>
          <w:b/>
          <w:i/>
        </w:rPr>
        <w:t xml:space="preserve">mostly </w:t>
      </w:r>
      <w:r w:rsidR="00BF0EA2" w:rsidRPr="00D27DD0">
        <w:rPr>
          <w:rFonts w:ascii="Arial" w:hAnsi="Arial" w:cs="Arial"/>
          <w:b/>
          <w:i/>
        </w:rPr>
        <w:t xml:space="preserve">qualitative claims </w:t>
      </w:r>
      <w:r w:rsidR="00FE6A1D">
        <w:rPr>
          <w:rFonts w:ascii="Arial" w:hAnsi="Arial" w:cs="Arial"/>
          <w:b/>
          <w:i/>
        </w:rPr>
        <w:t xml:space="preserve">and </w:t>
      </w:r>
      <w:r w:rsidR="007651B8">
        <w:rPr>
          <w:rFonts w:ascii="Arial" w:hAnsi="Arial" w:cs="Arial"/>
          <w:b/>
          <w:i/>
        </w:rPr>
        <w:t xml:space="preserve">some </w:t>
      </w:r>
      <w:r w:rsidR="00BF0EA2" w:rsidRPr="00D27DD0">
        <w:rPr>
          <w:rFonts w:ascii="Arial" w:hAnsi="Arial" w:cs="Arial"/>
          <w:b/>
          <w:i/>
          <w:u w:val="single"/>
        </w:rPr>
        <w:t>quantitative</w:t>
      </w:r>
      <w:r w:rsidR="00BF0EA2" w:rsidRPr="00D27DD0">
        <w:rPr>
          <w:rFonts w:ascii="Arial" w:hAnsi="Arial" w:cs="Arial"/>
          <w:b/>
          <w:i/>
        </w:rPr>
        <w:t xml:space="preserve"> </w:t>
      </w:r>
      <w:r w:rsidR="007651B8">
        <w:rPr>
          <w:rFonts w:ascii="Arial" w:hAnsi="Arial" w:cs="Arial"/>
          <w:b/>
          <w:i/>
        </w:rPr>
        <w:t xml:space="preserve">projections </w:t>
      </w:r>
      <w:r w:rsidR="00BF0EA2" w:rsidRPr="00D27DD0">
        <w:rPr>
          <w:rFonts w:ascii="Arial" w:hAnsi="Arial" w:cs="Arial"/>
          <w:b/>
          <w:i/>
        </w:rPr>
        <w:t>on synergy or other cost reductions. Accordingly</w:t>
      </w:r>
      <w:r w:rsidR="00D338F4">
        <w:rPr>
          <w:rFonts w:ascii="Arial" w:hAnsi="Arial" w:cs="Arial"/>
          <w:b/>
          <w:i/>
        </w:rPr>
        <w:t>,</w:t>
      </w:r>
      <w:r w:rsidR="00BF0EA2" w:rsidRPr="00D27DD0">
        <w:rPr>
          <w:rFonts w:ascii="Arial" w:hAnsi="Arial" w:cs="Arial"/>
          <w:b/>
          <w:i/>
        </w:rPr>
        <w:t xml:space="preserve"> outcomes from consolidation depend on whether claimed </w:t>
      </w:r>
      <w:r w:rsidR="00D338F4">
        <w:rPr>
          <w:rFonts w:ascii="Arial" w:hAnsi="Arial" w:cs="Arial"/>
          <w:b/>
          <w:i/>
        </w:rPr>
        <w:t>s</w:t>
      </w:r>
      <w:r w:rsidR="00BF0EA2" w:rsidRPr="00D27DD0">
        <w:rPr>
          <w:rFonts w:ascii="Arial" w:hAnsi="Arial" w:cs="Arial"/>
          <w:b/>
          <w:i/>
        </w:rPr>
        <w:t xml:space="preserve">ynergy/productivity </w:t>
      </w:r>
      <w:r w:rsidR="00211711">
        <w:rPr>
          <w:rFonts w:ascii="Arial" w:hAnsi="Arial" w:cs="Arial"/>
          <w:b/>
          <w:i/>
        </w:rPr>
        <w:t xml:space="preserve">leading to </w:t>
      </w:r>
      <w:r w:rsidR="00BF0EA2" w:rsidRPr="00D27DD0">
        <w:rPr>
          <w:rFonts w:ascii="Arial" w:hAnsi="Arial" w:cs="Arial"/>
          <w:b/>
          <w:i/>
        </w:rPr>
        <w:t xml:space="preserve">cost reductions shown in the </w:t>
      </w:r>
      <w:r w:rsidRPr="00D27DD0">
        <w:rPr>
          <w:rFonts w:ascii="Arial" w:hAnsi="Arial" w:cs="Arial"/>
          <w:b/>
          <w:i/>
        </w:rPr>
        <w:t xml:space="preserve">Hydro One/GLPT </w:t>
      </w:r>
      <w:r w:rsidR="007651B8">
        <w:rPr>
          <w:rFonts w:ascii="Arial" w:hAnsi="Arial" w:cs="Arial"/>
          <w:b/>
          <w:i/>
        </w:rPr>
        <w:t xml:space="preserve">evidence and </w:t>
      </w:r>
      <w:r w:rsidR="00BF0EA2" w:rsidRPr="00D27DD0">
        <w:rPr>
          <w:rFonts w:ascii="Arial" w:hAnsi="Arial" w:cs="Arial"/>
          <w:b/>
          <w:i/>
        </w:rPr>
        <w:t>pro-forma scenarios</w:t>
      </w:r>
      <w:r w:rsidR="005157A9">
        <w:rPr>
          <w:rStyle w:val="FootnoteReference"/>
          <w:rFonts w:ascii="Arial" w:hAnsi="Arial" w:cs="Arial"/>
          <w:b/>
          <w:i/>
        </w:rPr>
        <w:footnoteReference w:id="16"/>
      </w:r>
      <w:r w:rsidR="00BF0EA2" w:rsidRPr="00D27DD0">
        <w:rPr>
          <w:rFonts w:ascii="Arial" w:hAnsi="Arial" w:cs="Arial"/>
          <w:b/>
          <w:i/>
        </w:rPr>
        <w:t xml:space="preserve"> can be achieved</w:t>
      </w:r>
      <w:r w:rsidR="007651B8">
        <w:rPr>
          <w:rFonts w:ascii="Arial" w:hAnsi="Arial" w:cs="Arial"/>
          <w:b/>
          <w:i/>
        </w:rPr>
        <w:t>.</w:t>
      </w:r>
    </w:p>
    <w:p w:rsidR="00BF0EA2" w:rsidRPr="00D27DD0" w:rsidRDefault="00BF0EA2" w:rsidP="008E4B78">
      <w:pPr>
        <w:autoSpaceDE w:val="0"/>
        <w:autoSpaceDN w:val="0"/>
        <w:adjustRightInd w:val="0"/>
        <w:rPr>
          <w:rFonts w:ascii="Arial" w:hAnsi="Arial" w:cs="Arial"/>
          <w:b/>
          <w:i/>
        </w:rPr>
      </w:pPr>
    </w:p>
    <w:p w:rsidR="00BF0EA2" w:rsidRPr="00D27DD0" w:rsidRDefault="00BF0EA2" w:rsidP="008E4B78">
      <w:pPr>
        <w:autoSpaceDE w:val="0"/>
        <w:autoSpaceDN w:val="0"/>
        <w:adjustRightInd w:val="0"/>
        <w:rPr>
          <w:rFonts w:ascii="Arial" w:hAnsi="Arial" w:cs="Arial"/>
          <w:b/>
          <w:i/>
        </w:rPr>
      </w:pPr>
      <w:r w:rsidRPr="00D27DD0">
        <w:rPr>
          <w:rFonts w:ascii="Arial" w:hAnsi="Arial" w:cs="Arial"/>
          <w:b/>
          <w:i/>
        </w:rPr>
        <w:t>A</w:t>
      </w:r>
      <w:r w:rsidR="00854EB7" w:rsidRPr="00D27DD0">
        <w:rPr>
          <w:rFonts w:ascii="Arial" w:hAnsi="Arial" w:cs="Arial"/>
          <w:b/>
          <w:i/>
        </w:rPr>
        <w:t>n appropriate c</w:t>
      </w:r>
      <w:r w:rsidRPr="00D27DD0">
        <w:rPr>
          <w:rFonts w:ascii="Arial" w:hAnsi="Arial" w:cs="Arial"/>
          <w:b/>
          <w:i/>
        </w:rPr>
        <w:t xml:space="preserve">ontext is to consider </w:t>
      </w:r>
      <w:r w:rsidR="007651B8">
        <w:rPr>
          <w:rFonts w:ascii="Arial" w:hAnsi="Arial" w:cs="Arial"/>
          <w:b/>
          <w:i/>
        </w:rPr>
        <w:t xml:space="preserve">productivity and unit costs is </w:t>
      </w:r>
      <w:r w:rsidRPr="00D27DD0">
        <w:rPr>
          <w:rFonts w:ascii="Arial" w:hAnsi="Arial" w:cs="Arial"/>
          <w:b/>
          <w:i/>
        </w:rPr>
        <w:t xml:space="preserve">the </w:t>
      </w:r>
      <w:r w:rsidR="007651B8">
        <w:rPr>
          <w:rFonts w:ascii="Arial" w:hAnsi="Arial" w:cs="Arial"/>
          <w:b/>
          <w:i/>
        </w:rPr>
        <w:t xml:space="preserve">comparison </w:t>
      </w:r>
      <w:r w:rsidRPr="00D27DD0">
        <w:rPr>
          <w:rFonts w:ascii="Arial" w:hAnsi="Arial" w:cs="Arial"/>
          <w:b/>
          <w:i/>
        </w:rPr>
        <w:t>o</w:t>
      </w:r>
      <w:r w:rsidR="00854EB7" w:rsidRPr="00D27DD0">
        <w:rPr>
          <w:rFonts w:ascii="Arial" w:hAnsi="Arial" w:cs="Arial"/>
          <w:b/>
          <w:i/>
        </w:rPr>
        <w:t>f Hydro One and its costs relat</w:t>
      </w:r>
      <w:r w:rsidRPr="00D27DD0">
        <w:rPr>
          <w:rFonts w:ascii="Arial" w:hAnsi="Arial" w:cs="Arial"/>
          <w:b/>
          <w:i/>
        </w:rPr>
        <w:t>ive to other North American Transmitters.</w:t>
      </w:r>
    </w:p>
    <w:p w:rsidR="00BF0EA2" w:rsidRPr="00D27DD0" w:rsidRDefault="00BF0EA2" w:rsidP="008E4B78">
      <w:pPr>
        <w:autoSpaceDE w:val="0"/>
        <w:autoSpaceDN w:val="0"/>
        <w:adjustRightInd w:val="0"/>
        <w:rPr>
          <w:rFonts w:ascii="Arial" w:hAnsi="Arial" w:cs="Arial"/>
          <w:b/>
          <w:i/>
        </w:rPr>
      </w:pPr>
    </w:p>
    <w:p w:rsidR="00E523D5" w:rsidRPr="00512725" w:rsidRDefault="00E523D5" w:rsidP="008E4B78">
      <w:pPr>
        <w:autoSpaceDE w:val="0"/>
        <w:autoSpaceDN w:val="0"/>
        <w:adjustRightInd w:val="0"/>
        <w:rPr>
          <w:rFonts w:ascii="Arial" w:hAnsi="Arial" w:cs="Arial"/>
          <w:b/>
        </w:rPr>
      </w:pPr>
      <w:r w:rsidRPr="00D27DD0">
        <w:rPr>
          <w:rFonts w:ascii="Arial" w:hAnsi="Arial" w:cs="Arial"/>
          <w:b/>
          <w:i/>
        </w:rPr>
        <w:t xml:space="preserve">Following Board </w:t>
      </w:r>
      <w:r w:rsidR="00FC362A">
        <w:rPr>
          <w:rFonts w:ascii="Arial" w:hAnsi="Arial" w:cs="Arial"/>
          <w:b/>
          <w:i/>
        </w:rPr>
        <w:t>d</w:t>
      </w:r>
      <w:r w:rsidRPr="00D27DD0">
        <w:rPr>
          <w:rFonts w:ascii="Arial" w:hAnsi="Arial" w:cs="Arial"/>
          <w:b/>
          <w:i/>
        </w:rPr>
        <w:t>irection</w:t>
      </w:r>
      <w:r w:rsidR="006C2C8D" w:rsidRPr="00D27DD0">
        <w:rPr>
          <w:rFonts w:ascii="Arial" w:hAnsi="Arial" w:cs="Arial"/>
          <w:b/>
          <w:i/>
        </w:rPr>
        <w:t xml:space="preserve"> in the last rates case</w:t>
      </w:r>
      <w:r w:rsidRPr="00D27DD0">
        <w:rPr>
          <w:rFonts w:ascii="Arial" w:hAnsi="Arial" w:cs="Arial"/>
          <w:b/>
          <w:i/>
        </w:rPr>
        <w:t>, Hydro One has worked with Stakeholders and recently completed a major Benchmarking Study.</w:t>
      </w:r>
    </w:p>
    <w:p w:rsidR="00E523D5" w:rsidRPr="00D27DD0" w:rsidRDefault="00E523D5" w:rsidP="008E4B78">
      <w:pPr>
        <w:autoSpaceDE w:val="0"/>
        <w:autoSpaceDN w:val="0"/>
        <w:adjustRightInd w:val="0"/>
        <w:rPr>
          <w:rFonts w:ascii="Arial" w:hAnsi="Arial" w:cs="Arial"/>
          <w:b/>
          <w:i/>
        </w:rPr>
      </w:pPr>
      <w:r w:rsidRPr="00D27DD0">
        <w:rPr>
          <w:rFonts w:ascii="Arial" w:hAnsi="Arial" w:cs="Arial"/>
          <w:b/>
          <w:i/>
        </w:rPr>
        <w:t xml:space="preserve">This new study provides cross-jurisdictional comparisons on several key </w:t>
      </w:r>
      <w:r w:rsidR="00FC362A">
        <w:rPr>
          <w:rFonts w:ascii="Arial" w:hAnsi="Arial" w:cs="Arial"/>
          <w:b/>
          <w:i/>
        </w:rPr>
        <w:t xml:space="preserve">performance and cost </w:t>
      </w:r>
      <w:r w:rsidRPr="00D27DD0">
        <w:rPr>
          <w:rFonts w:ascii="Arial" w:hAnsi="Arial" w:cs="Arial"/>
          <w:b/>
          <w:i/>
        </w:rPr>
        <w:t>comparators.</w:t>
      </w:r>
    </w:p>
    <w:p w:rsidR="00211711" w:rsidRDefault="00211711" w:rsidP="008E4B78">
      <w:pPr>
        <w:autoSpaceDE w:val="0"/>
        <w:autoSpaceDN w:val="0"/>
        <w:adjustRightInd w:val="0"/>
        <w:rPr>
          <w:rFonts w:ascii="Arial" w:hAnsi="Arial" w:cs="Arial"/>
          <w:b/>
          <w:i/>
        </w:rPr>
      </w:pPr>
    </w:p>
    <w:p w:rsidR="004A623D" w:rsidRPr="00D27DD0" w:rsidRDefault="004A623D" w:rsidP="008E4B78">
      <w:pPr>
        <w:autoSpaceDE w:val="0"/>
        <w:autoSpaceDN w:val="0"/>
        <w:adjustRightInd w:val="0"/>
        <w:rPr>
          <w:rFonts w:ascii="Arial" w:hAnsi="Arial" w:cs="Arial"/>
          <w:b/>
          <w:i/>
        </w:rPr>
      </w:pPr>
      <w:r w:rsidRPr="00D27DD0">
        <w:rPr>
          <w:rFonts w:ascii="Arial" w:hAnsi="Arial" w:cs="Arial"/>
          <w:b/>
          <w:i/>
        </w:rPr>
        <w:t>In its two year cost of Service Application EB-2016-0160 Hydro One provides</w:t>
      </w:r>
      <w:r w:rsidR="004C767F">
        <w:rPr>
          <w:rFonts w:ascii="Arial" w:hAnsi="Arial" w:cs="Arial"/>
          <w:b/>
          <w:i/>
        </w:rPr>
        <w:t xml:space="preserve"> the Benchmarking Study as well as </w:t>
      </w:r>
      <w:r w:rsidRPr="00D27DD0">
        <w:rPr>
          <w:rFonts w:ascii="Arial" w:hAnsi="Arial" w:cs="Arial"/>
          <w:b/>
          <w:i/>
        </w:rPr>
        <w:t xml:space="preserve"> certain Key Performance Measures/Metrics</w:t>
      </w:r>
      <w:r w:rsidR="00C85228" w:rsidRPr="00D27DD0">
        <w:rPr>
          <w:rFonts w:ascii="Arial" w:hAnsi="Arial" w:cs="Arial"/>
          <w:b/>
          <w:i/>
        </w:rPr>
        <w:t xml:space="preserve"> (KPMs)</w:t>
      </w:r>
      <w:r w:rsidR="00DA4FEF" w:rsidRPr="00D27DD0">
        <w:rPr>
          <w:rFonts w:ascii="Arial" w:hAnsi="Arial" w:cs="Arial"/>
          <w:b/>
          <w:i/>
        </w:rPr>
        <w:t>,</w:t>
      </w:r>
      <w:r w:rsidR="00E523D5" w:rsidRPr="00D27DD0">
        <w:rPr>
          <w:rFonts w:ascii="Arial" w:hAnsi="Arial" w:cs="Arial"/>
          <w:b/>
          <w:i/>
        </w:rPr>
        <w:t xml:space="preserve"> </w:t>
      </w:r>
      <w:r w:rsidRPr="00D27DD0">
        <w:rPr>
          <w:rFonts w:ascii="Arial" w:hAnsi="Arial" w:cs="Arial"/>
          <w:b/>
          <w:i/>
        </w:rPr>
        <w:t xml:space="preserve">including </w:t>
      </w:r>
      <w:r w:rsidR="00C04112">
        <w:rPr>
          <w:rFonts w:ascii="Arial" w:hAnsi="Arial" w:cs="Arial"/>
          <w:b/>
          <w:i/>
        </w:rPr>
        <w:t xml:space="preserve">measures such as </w:t>
      </w:r>
      <w:r w:rsidRPr="00D27DD0">
        <w:rPr>
          <w:rFonts w:ascii="Arial" w:hAnsi="Arial" w:cs="Arial"/>
          <w:b/>
          <w:i/>
        </w:rPr>
        <w:t>the R</w:t>
      </w:r>
      <w:r w:rsidR="00C04112">
        <w:rPr>
          <w:rFonts w:ascii="Arial" w:hAnsi="Arial" w:cs="Arial"/>
          <w:b/>
          <w:i/>
        </w:rPr>
        <w:t>eliability Cost Efficiency Metric R</w:t>
      </w:r>
      <w:r w:rsidRPr="00D27DD0">
        <w:rPr>
          <w:rFonts w:ascii="Arial" w:hAnsi="Arial" w:cs="Arial"/>
          <w:b/>
          <w:i/>
        </w:rPr>
        <w:t>CE</w:t>
      </w:r>
      <w:r w:rsidR="00E61793">
        <w:rPr>
          <w:rStyle w:val="FootnoteReference"/>
          <w:rFonts w:ascii="Arial" w:hAnsi="Arial" w:cs="Arial"/>
          <w:b/>
          <w:i/>
        </w:rPr>
        <w:footnoteReference w:id="17"/>
      </w:r>
      <w:r w:rsidRPr="00D27DD0">
        <w:rPr>
          <w:rFonts w:ascii="Arial" w:hAnsi="Arial" w:cs="Arial"/>
          <w:b/>
          <w:i/>
        </w:rPr>
        <w:t xml:space="preserve">  </w:t>
      </w:r>
    </w:p>
    <w:p w:rsidR="00DA4FEF" w:rsidRPr="00D27DD0" w:rsidRDefault="00DA4FEF" w:rsidP="004A623D">
      <w:pPr>
        <w:autoSpaceDE w:val="0"/>
        <w:autoSpaceDN w:val="0"/>
        <w:adjustRightInd w:val="0"/>
        <w:rPr>
          <w:rFonts w:ascii="Arial" w:hAnsi="Arial" w:cs="Arial"/>
          <w:b/>
          <w:i/>
        </w:rPr>
      </w:pPr>
    </w:p>
    <w:p w:rsidR="004A623D" w:rsidRPr="00D27DD0" w:rsidRDefault="004A623D" w:rsidP="004A623D">
      <w:pPr>
        <w:autoSpaceDE w:val="0"/>
        <w:autoSpaceDN w:val="0"/>
        <w:adjustRightInd w:val="0"/>
        <w:rPr>
          <w:rFonts w:ascii="Arial" w:hAnsi="Arial" w:cs="Arial"/>
          <w:b/>
          <w:i/>
        </w:rPr>
      </w:pPr>
      <w:r w:rsidRPr="00D27DD0">
        <w:rPr>
          <w:rFonts w:ascii="Arial" w:hAnsi="Arial" w:cs="Arial"/>
          <w:b/>
          <w:i/>
        </w:rPr>
        <w:t>In claiming impro</w:t>
      </w:r>
      <w:r w:rsidR="00D338F4">
        <w:rPr>
          <w:rFonts w:ascii="Arial" w:hAnsi="Arial" w:cs="Arial"/>
          <w:b/>
          <w:i/>
        </w:rPr>
        <w:t>ved performance for GPLT</w:t>
      </w:r>
      <w:r w:rsidR="00110B27">
        <w:rPr>
          <w:rFonts w:ascii="Arial" w:hAnsi="Arial" w:cs="Arial"/>
          <w:b/>
          <w:i/>
        </w:rPr>
        <w:t>,</w:t>
      </w:r>
      <w:r w:rsidR="00D338F4">
        <w:rPr>
          <w:rFonts w:ascii="Arial" w:hAnsi="Arial" w:cs="Arial"/>
          <w:b/>
          <w:i/>
        </w:rPr>
        <w:t xml:space="preserve"> Hydro O</w:t>
      </w:r>
      <w:r w:rsidRPr="00D27DD0">
        <w:rPr>
          <w:rFonts w:ascii="Arial" w:hAnsi="Arial" w:cs="Arial"/>
          <w:b/>
          <w:i/>
        </w:rPr>
        <w:t xml:space="preserve">ne should have supported </w:t>
      </w:r>
      <w:r w:rsidR="00DA4FEF" w:rsidRPr="00D27DD0">
        <w:rPr>
          <w:rFonts w:ascii="Arial" w:hAnsi="Arial" w:cs="Arial"/>
          <w:b/>
          <w:i/>
        </w:rPr>
        <w:t>its claims</w:t>
      </w:r>
      <w:r w:rsidRPr="00D27DD0">
        <w:rPr>
          <w:rFonts w:ascii="Arial" w:hAnsi="Arial" w:cs="Arial"/>
          <w:b/>
          <w:i/>
        </w:rPr>
        <w:t xml:space="preserve"> with </w:t>
      </w:r>
      <w:r w:rsidR="00D338F4">
        <w:rPr>
          <w:rFonts w:ascii="Arial" w:hAnsi="Arial" w:cs="Arial"/>
          <w:b/>
          <w:i/>
        </w:rPr>
        <w:t>d</w:t>
      </w:r>
      <w:r w:rsidRPr="00D27DD0">
        <w:rPr>
          <w:rFonts w:ascii="Arial" w:hAnsi="Arial" w:cs="Arial"/>
          <w:b/>
          <w:i/>
        </w:rPr>
        <w:t>ata on GLPT</w:t>
      </w:r>
      <w:r w:rsidR="00C85228" w:rsidRPr="00D27DD0">
        <w:rPr>
          <w:rFonts w:ascii="Arial" w:hAnsi="Arial" w:cs="Arial"/>
          <w:b/>
          <w:i/>
        </w:rPr>
        <w:t xml:space="preserve">’s </w:t>
      </w:r>
      <w:r w:rsidRPr="00D27DD0">
        <w:rPr>
          <w:rFonts w:ascii="Arial" w:hAnsi="Arial" w:cs="Arial"/>
          <w:b/>
          <w:i/>
        </w:rPr>
        <w:t xml:space="preserve">historic </w:t>
      </w:r>
      <w:r w:rsidR="00A86579">
        <w:rPr>
          <w:rFonts w:ascii="Arial" w:hAnsi="Arial" w:cs="Arial"/>
          <w:b/>
          <w:i/>
        </w:rPr>
        <w:t xml:space="preserve">performance </w:t>
      </w:r>
      <w:r w:rsidRPr="00D27DD0">
        <w:rPr>
          <w:rFonts w:ascii="Arial" w:hAnsi="Arial" w:cs="Arial"/>
          <w:b/>
          <w:i/>
        </w:rPr>
        <w:t xml:space="preserve">and </w:t>
      </w:r>
      <w:r w:rsidR="00C85228" w:rsidRPr="00D27DD0">
        <w:rPr>
          <w:rFonts w:ascii="Arial" w:hAnsi="Arial" w:cs="Arial"/>
          <w:b/>
          <w:i/>
        </w:rPr>
        <w:t>importantly</w:t>
      </w:r>
      <w:r w:rsidR="00D338F4">
        <w:rPr>
          <w:rFonts w:ascii="Arial" w:hAnsi="Arial" w:cs="Arial"/>
          <w:b/>
          <w:i/>
        </w:rPr>
        <w:t>,</w:t>
      </w:r>
      <w:r w:rsidR="00FE6A1D">
        <w:rPr>
          <w:rFonts w:ascii="Arial" w:hAnsi="Arial" w:cs="Arial"/>
          <w:b/>
          <w:i/>
        </w:rPr>
        <w:t xml:space="preserve"> </w:t>
      </w:r>
      <w:r w:rsidR="00A5332F" w:rsidRPr="00D27DD0">
        <w:rPr>
          <w:rFonts w:ascii="Arial" w:hAnsi="Arial" w:cs="Arial"/>
          <w:b/>
          <w:i/>
        </w:rPr>
        <w:t xml:space="preserve">future </w:t>
      </w:r>
      <w:r w:rsidRPr="00D27DD0">
        <w:rPr>
          <w:rFonts w:ascii="Arial" w:hAnsi="Arial" w:cs="Arial"/>
          <w:b/>
          <w:i/>
        </w:rPr>
        <w:t xml:space="preserve">projected metrics </w:t>
      </w:r>
      <w:r w:rsidR="00DA4FEF" w:rsidRPr="00D27DD0">
        <w:rPr>
          <w:rFonts w:ascii="Arial" w:hAnsi="Arial" w:cs="Arial"/>
          <w:b/>
          <w:i/>
        </w:rPr>
        <w:t xml:space="preserve">related to </w:t>
      </w:r>
      <w:r w:rsidRPr="00D27DD0">
        <w:rPr>
          <w:rFonts w:ascii="Arial" w:hAnsi="Arial" w:cs="Arial"/>
          <w:b/>
          <w:i/>
        </w:rPr>
        <w:t>improved performance as a result of the merger.</w:t>
      </w:r>
    </w:p>
    <w:p w:rsidR="004A623D" w:rsidRPr="00D27DD0" w:rsidRDefault="004A623D" w:rsidP="004A623D">
      <w:pPr>
        <w:autoSpaceDE w:val="0"/>
        <w:autoSpaceDN w:val="0"/>
        <w:adjustRightInd w:val="0"/>
        <w:rPr>
          <w:rFonts w:ascii="Arial" w:hAnsi="Arial" w:cs="Arial"/>
          <w:b/>
          <w:i/>
        </w:rPr>
      </w:pPr>
      <w:r w:rsidRPr="00D27DD0">
        <w:rPr>
          <w:rFonts w:ascii="Arial" w:hAnsi="Arial" w:cs="Arial"/>
          <w:b/>
          <w:i/>
        </w:rPr>
        <w:t xml:space="preserve">The fact that these data were not provided </w:t>
      </w:r>
      <w:r w:rsidR="007651B8">
        <w:rPr>
          <w:rFonts w:ascii="Arial" w:hAnsi="Arial" w:cs="Arial"/>
          <w:b/>
          <w:i/>
        </w:rPr>
        <w:t xml:space="preserve">as part of this application and we must </w:t>
      </w:r>
      <w:r w:rsidR="00FC362A">
        <w:rPr>
          <w:rFonts w:ascii="Arial" w:hAnsi="Arial" w:cs="Arial"/>
          <w:b/>
          <w:i/>
        </w:rPr>
        <w:t>wait for</w:t>
      </w:r>
      <w:r w:rsidR="007651B8">
        <w:rPr>
          <w:rFonts w:ascii="Arial" w:hAnsi="Arial" w:cs="Arial"/>
          <w:b/>
          <w:i/>
        </w:rPr>
        <w:t xml:space="preserve"> the GLPT rates case</w:t>
      </w:r>
      <w:r w:rsidR="00FE6A1D">
        <w:rPr>
          <w:rFonts w:ascii="Arial" w:hAnsi="Arial" w:cs="Arial"/>
          <w:b/>
          <w:i/>
        </w:rPr>
        <w:t>,</w:t>
      </w:r>
      <w:r w:rsidR="007651B8">
        <w:rPr>
          <w:rFonts w:ascii="Arial" w:hAnsi="Arial" w:cs="Arial"/>
          <w:b/>
          <w:i/>
        </w:rPr>
        <w:t xml:space="preserve"> </w:t>
      </w:r>
      <w:r w:rsidRPr="00D27DD0">
        <w:rPr>
          <w:rFonts w:ascii="Arial" w:hAnsi="Arial" w:cs="Arial"/>
          <w:b/>
          <w:i/>
        </w:rPr>
        <w:t xml:space="preserve">does not </w:t>
      </w:r>
      <w:r w:rsidR="007725C4">
        <w:rPr>
          <w:rFonts w:ascii="Arial" w:hAnsi="Arial" w:cs="Arial"/>
          <w:b/>
          <w:i/>
        </w:rPr>
        <w:t>give us</w:t>
      </w:r>
      <w:r w:rsidRPr="00D27DD0">
        <w:rPr>
          <w:rFonts w:ascii="Arial" w:hAnsi="Arial" w:cs="Arial"/>
          <w:b/>
          <w:i/>
        </w:rPr>
        <w:t xml:space="preserve"> confidence in the </w:t>
      </w:r>
      <w:r w:rsidR="00FC362A">
        <w:rPr>
          <w:rFonts w:ascii="Arial" w:hAnsi="Arial" w:cs="Arial"/>
          <w:b/>
          <w:i/>
        </w:rPr>
        <w:t xml:space="preserve">performance and cost reduction </w:t>
      </w:r>
      <w:r w:rsidRPr="00D27DD0">
        <w:rPr>
          <w:rFonts w:ascii="Arial" w:hAnsi="Arial" w:cs="Arial"/>
          <w:b/>
          <w:i/>
        </w:rPr>
        <w:t>claims</w:t>
      </w:r>
      <w:r w:rsidR="00211711">
        <w:rPr>
          <w:rFonts w:ascii="Arial" w:hAnsi="Arial" w:cs="Arial"/>
          <w:b/>
          <w:i/>
        </w:rPr>
        <w:t xml:space="preserve"> </w:t>
      </w:r>
      <w:r w:rsidR="00FC362A">
        <w:rPr>
          <w:rFonts w:ascii="Arial" w:hAnsi="Arial" w:cs="Arial"/>
          <w:b/>
          <w:i/>
        </w:rPr>
        <w:t>and</w:t>
      </w:r>
      <w:r w:rsidR="00BF0EA2" w:rsidRPr="00D27DD0">
        <w:rPr>
          <w:rFonts w:ascii="Arial" w:hAnsi="Arial" w:cs="Arial"/>
          <w:b/>
          <w:i/>
        </w:rPr>
        <w:t xml:space="preserve"> p</w:t>
      </w:r>
      <w:r w:rsidR="001E444E">
        <w:rPr>
          <w:rFonts w:ascii="Arial" w:hAnsi="Arial" w:cs="Arial"/>
          <w:b/>
          <w:i/>
        </w:rPr>
        <w:t>ro</w:t>
      </w:r>
      <w:r w:rsidR="00BF0EA2" w:rsidRPr="00D27DD0">
        <w:rPr>
          <w:rFonts w:ascii="Arial" w:hAnsi="Arial" w:cs="Arial"/>
          <w:b/>
          <w:i/>
        </w:rPr>
        <w:t xml:space="preserve">forma </w:t>
      </w:r>
      <w:r w:rsidR="00FC362A">
        <w:rPr>
          <w:rFonts w:ascii="Arial" w:hAnsi="Arial" w:cs="Arial"/>
          <w:b/>
          <w:i/>
        </w:rPr>
        <w:t xml:space="preserve">financial </w:t>
      </w:r>
      <w:r w:rsidR="00BF0EA2" w:rsidRPr="00D27DD0">
        <w:rPr>
          <w:rFonts w:ascii="Arial" w:hAnsi="Arial" w:cs="Arial"/>
          <w:b/>
          <w:i/>
        </w:rPr>
        <w:t>projections</w:t>
      </w:r>
      <w:r w:rsidR="00FC362A">
        <w:rPr>
          <w:rFonts w:ascii="Arial" w:hAnsi="Arial" w:cs="Arial"/>
          <w:b/>
          <w:i/>
        </w:rPr>
        <w:t>.</w:t>
      </w:r>
    </w:p>
    <w:p w:rsidR="00C85228" w:rsidRPr="00D27DD0" w:rsidRDefault="00C85228" w:rsidP="004A623D">
      <w:pPr>
        <w:autoSpaceDE w:val="0"/>
        <w:autoSpaceDN w:val="0"/>
        <w:adjustRightInd w:val="0"/>
        <w:rPr>
          <w:rFonts w:ascii="Arial" w:hAnsi="Arial" w:cs="Arial"/>
          <w:b/>
          <w:i/>
        </w:rPr>
      </w:pPr>
    </w:p>
    <w:p w:rsidR="00C85228" w:rsidRPr="00D27DD0" w:rsidRDefault="00C85228" w:rsidP="004A623D">
      <w:pPr>
        <w:autoSpaceDE w:val="0"/>
        <w:autoSpaceDN w:val="0"/>
        <w:adjustRightInd w:val="0"/>
        <w:rPr>
          <w:rFonts w:ascii="Arial" w:hAnsi="Arial" w:cs="Arial"/>
          <w:b/>
          <w:i/>
        </w:rPr>
      </w:pPr>
      <w:r w:rsidRPr="00D27DD0">
        <w:rPr>
          <w:rFonts w:ascii="Arial" w:hAnsi="Arial" w:cs="Arial"/>
          <w:b/>
          <w:i/>
        </w:rPr>
        <w:t xml:space="preserve">We suggest that </w:t>
      </w:r>
      <w:r w:rsidR="00795467">
        <w:rPr>
          <w:rFonts w:ascii="Arial" w:hAnsi="Arial" w:cs="Arial"/>
          <w:b/>
          <w:i/>
        </w:rPr>
        <w:t xml:space="preserve">as per the Filing Requirements, </w:t>
      </w:r>
      <w:r w:rsidRPr="00D27DD0">
        <w:rPr>
          <w:rFonts w:ascii="Arial" w:hAnsi="Arial" w:cs="Arial"/>
          <w:b/>
          <w:i/>
        </w:rPr>
        <w:t xml:space="preserve">the Board </w:t>
      </w:r>
      <w:r w:rsidR="00FC362A">
        <w:rPr>
          <w:rFonts w:ascii="Arial" w:hAnsi="Arial" w:cs="Arial"/>
          <w:b/>
          <w:i/>
        </w:rPr>
        <w:t xml:space="preserve">rectify this deficiency and </w:t>
      </w:r>
      <w:r w:rsidRPr="00D27DD0">
        <w:rPr>
          <w:rFonts w:ascii="Arial" w:hAnsi="Arial" w:cs="Arial"/>
          <w:b/>
          <w:i/>
        </w:rPr>
        <w:t xml:space="preserve">require GPLT to </w:t>
      </w:r>
      <w:r w:rsidR="00854EB7" w:rsidRPr="00D27DD0">
        <w:rPr>
          <w:rFonts w:ascii="Arial" w:hAnsi="Arial" w:cs="Arial"/>
          <w:b/>
          <w:i/>
        </w:rPr>
        <w:t>p</w:t>
      </w:r>
      <w:r w:rsidRPr="00D27DD0">
        <w:rPr>
          <w:rFonts w:ascii="Arial" w:hAnsi="Arial" w:cs="Arial"/>
          <w:b/>
          <w:i/>
        </w:rPr>
        <w:t xml:space="preserve">rovide </w:t>
      </w:r>
      <w:r w:rsidR="00854EB7" w:rsidRPr="00211711">
        <w:rPr>
          <w:rFonts w:ascii="Arial" w:hAnsi="Arial" w:cs="Arial"/>
          <w:b/>
          <w:i/>
          <w:u w:val="single"/>
        </w:rPr>
        <w:t>detailed</w:t>
      </w:r>
      <w:r w:rsidR="00854EB7" w:rsidRPr="00D27DD0">
        <w:rPr>
          <w:rFonts w:ascii="Arial" w:hAnsi="Arial" w:cs="Arial"/>
          <w:b/>
          <w:i/>
        </w:rPr>
        <w:t xml:space="preserve"> </w:t>
      </w:r>
      <w:r w:rsidRPr="00D27DD0">
        <w:rPr>
          <w:rFonts w:ascii="Arial" w:hAnsi="Arial" w:cs="Arial"/>
          <w:b/>
          <w:i/>
        </w:rPr>
        <w:t>performance KPMs and S</w:t>
      </w:r>
      <w:r w:rsidR="00BF0EA2" w:rsidRPr="00D27DD0">
        <w:rPr>
          <w:rFonts w:ascii="Arial" w:hAnsi="Arial" w:cs="Arial"/>
          <w:b/>
          <w:i/>
        </w:rPr>
        <w:t>c</w:t>
      </w:r>
      <w:r w:rsidRPr="00D27DD0">
        <w:rPr>
          <w:rFonts w:ascii="Arial" w:hAnsi="Arial" w:cs="Arial"/>
          <w:b/>
          <w:i/>
        </w:rPr>
        <w:t>orecard as part of its next Rate Application</w:t>
      </w:r>
      <w:r w:rsidR="00FE6A1D">
        <w:rPr>
          <w:rFonts w:ascii="Arial" w:hAnsi="Arial" w:cs="Arial"/>
          <w:b/>
          <w:i/>
        </w:rPr>
        <w:t>.</w:t>
      </w:r>
    </w:p>
    <w:p w:rsidR="00854EB7" w:rsidRPr="00512725" w:rsidRDefault="00854EB7" w:rsidP="004A623D">
      <w:pPr>
        <w:autoSpaceDE w:val="0"/>
        <w:autoSpaceDN w:val="0"/>
        <w:adjustRightInd w:val="0"/>
        <w:rPr>
          <w:rFonts w:ascii="Arial" w:hAnsi="Arial" w:cs="Arial"/>
          <w:b/>
        </w:rPr>
      </w:pPr>
    </w:p>
    <w:p w:rsidR="004A623D" w:rsidRDefault="004A623D" w:rsidP="008E4B78">
      <w:pPr>
        <w:autoSpaceDE w:val="0"/>
        <w:autoSpaceDN w:val="0"/>
        <w:adjustRightInd w:val="0"/>
        <w:rPr>
          <w:rFonts w:ascii="Arial" w:hAnsi="Arial" w:cs="Arial"/>
          <w:b/>
          <w:bCs/>
        </w:rPr>
      </w:pPr>
    </w:p>
    <w:p w:rsidR="00110B27" w:rsidRDefault="00110B27" w:rsidP="008E4B78">
      <w:pPr>
        <w:autoSpaceDE w:val="0"/>
        <w:autoSpaceDN w:val="0"/>
        <w:adjustRightInd w:val="0"/>
        <w:rPr>
          <w:rFonts w:ascii="Arial" w:hAnsi="Arial" w:cs="Arial"/>
          <w:b/>
          <w:bCs/>
        </w:rPr>
      </w:pPr>
    </w:p>
    <w:p w:rsidR="00110B27" w:rsidRDefault="00110B27" w:rsidP="008E4B78">
      <w:pPr>
        <w:autoSpaceDE w:val="0"/>
        <w:autoSpaceDN w:val="0"/>
        <w:adjustRightInd w:val="0"/>
        <w:rPr>
          <w:rFonts w:ascii="Arial" w:hAnsi="Arial" w:cs="Arial"/>
          <w:b/>
          <w:bCs/>
        </w:rPr>
      </w:pPr>
    </w:p>
    <w:p w:rsidR="00110B27" w:rsidRPr="00512725" w:rsidRDefault="00110B27" w:rsidP="008E4B78">
      <w:pPr>
        <w:autoSpaceDE w:val="0"/>
        <w:autoSpaceDN w:val="0"/>
        <w:adjustRightInd w:val="0"/>
        <w:rPr>
          <w:rFonts w:ascii="Arial" w:hAnsi="Arial" w:cs="Arial"/>
          <w:b/>
          <w:bCs/>
        </w:rPr>
      </w:pPr>
    </w:p>
    <w:p w:rsidR="0076133A" w:rsidRPr="0076133A" w:rsidRDefault="0076133A" w:rsidP="0076133A">
      <w:pPr>
        <w:pStyle w:val="ListParagraph"/>
        <w:numPr>
          <w:ilvl w:val="0"/>
          <w:numId w:val="7"/>
        </w:numPr>
        <w:autoSpaceDE w:val="0"/>
        <w:autoSpaceDN w:val="0"/>
        <w:adjustRightInd w:val="0"/>
        <w:rPr>
          <w:rFonts w:ascii="Arial" w:hAnsi="Arial" w:cs="Arial"/>
          <w:b/>
        </w:rPr>
      </w:pPr>
      <w:r w:rsidRPr="0076133A">
        <w:rPr>
          <w:rFonts w:ascii="Arial" w:hAnsi="Arial" w:cs="Arial"/>
          <w:b/>
        </w:rPr>
        <w:t>Rate Outlook 2019-2027</w:t>
      </w:r>
    </w:p>
    <w:p w:rsidR="00DA4FEF" w:rsidRPr="0076133A" w:rsidRDefault="0076133A" w:rsidP="0076133A">
      <w:pPr>
        <w:pStyle w:val="ListParagraph"/>
        <w:autoSpaceDE w:val="0"/>
        <w:autoSpaceDN w:val="0"/>
        <w:adjustRightInd w:val="0"/>
        <w:ind w:left="1080"/>
        <w:rPr>
          <w:rFonts w:ascii="Arial" w:hAnsi="Arial" w:cs="Arial"/>
          <w:b/>
          <w:bCs/>
        </w:rPr>
      </w:pPr>
      <w:r w:rsidRPr="0076133A">
        <w:rPr>
          <w:rFonts w:ascii="Arial" w:hAnsi="Arial" w:cs="Arial"/>
          <w:b/>
        </w:rPr>
        <w:tab/>
      </w:r>
    </w:p>
    <w:p w:rsidR="00795467" w:rsidRDefault="00AB4B06" w:rsidP="002A1DF9">
      <w:pPr>
        <w:tabs>
          <w:tab w:val="left" w:pos="567"/>
        </w:tabs>
        <w:autoSpaceDE w:val="0"/>
        <w:autoSpaceDN w:val="0"/>
        <w:adjustRightInd w:val="0"/>
        <w:rPr>
          <w:rFonts w:ascii="Arial" w:hAnsi="Arial" w:cs="Arial"/>
        </w:rPr>
      </w:pPr>
      <w:r w:rsidRPr="002A1DF9">
        <w:rPr>
          <w:rFonts w:ascii="Arial" w:hAnsi="Arial" w:cs="Arial"/>
        </w:rPr>
        <w:t>6.1</w:t>
      </w:r>
      <w:r w:rsidR="00DA4FEF" w:rsidRPr="00512725">
        <w:rPr>
          <w:rFonts w:ascii="Arial" w:hAnsi="Arial" w:cs="Arial"/>
          <w:sz w:val="16"/>
          <w:szCs w:val="16"/>
        </w:rPr>
        <w:t xml:space="preserve"> </w:t>
      </w:r>
      <w:r w:rsidR="002A1DF9">
        <w:rPr>
          <w:rFonts w:ascii="Arial" w:hAnsi="Arial" w:cs="Arial"/>
          <w:sz w:val="16"/>
          <w:szCs w:val="16"/>
        </w:rPr>
        <w:tab/>
      </w:r>
      <w:r w:rsidR="00DA4FEF" w:rsidRPr="00512725">
        <w:rPr>
          <w:rFonts w:ascii="Arial" w:hAnsi="Arial" w:cs="Arial"/>
        </w:rPr>
        <w:t>Commencing January 1, 2019 and throughout the balance of the deferral period, HOI proposes to</w:t>
      </w:r>
      <w:r w:rsidR="00DA4FEF" w:rsidRPr="00512725">
        <w:rPr>
          <w:rFonts w:ascii="Arial" w:hAnsi="Arial" w:cs="Arial"/>
          <w:sz w:val="16"/>
          <w:szCs w:val="16"/>
        </w:rPr>
        <w:t xml:space="preserve"> </w:t>
      </w:r>
      <w:r w:rsidR="00DA4FEF" w:rsidRPr="00512725">
        <w:rPr>
          <w:rFonts w:ascii="Arial" w:hAnsi="Arial" w:cs="Arial"/>
        </w:rPr>
        <w:t>calculate GLPT’s revenue requirement in the following manner:</w:t>
      </w:r>
    </w:p>
    <w:p w:rsidR="00795467" w:rsidRPr="00C74F37" w:rsidRDefault="00DA4FEF" w:rsidP="00795467">
      <w:pPr>
        <w:autoSpaceDE w:val="0"/>
        <w:autoSpaceDN w:val="0"/>
        <w:adjustRightInd w:val="0"/>
        <w:ind w:left="720"/>
        <w:rPr>
          <w:rFonts w:ascii="Arial" w:hAnsi="Arial" w:cs="Arial"/>
          <w:b/>
        </w:rPr>
      </w:pPr>
      <w:r w:rsidRPr="00C74F37">
        <w:rPr>
          <w:rFonts w:ascii="Arial" w:hAnsi="Arial" w:cs="Arial"/>
          <w:b/>
        </w:rPr>
        <w:t>The approved 2018 GLPT</w:t>
      </w:r>
      <w:r w:rsidRPr="00C74F37">
        <w:rPr>
          <w:rFonts w:ascii="Arial" w:hAnsi="Arial" w:cs="Arial"/>
          <w:b/>
          <w:sz w:val="16"/>
          <w:szCs w:val="16"/>
        </w:rPr>
        <w:t xml:space="preserve"> </w:t>
      </w:r>
      <w:r w:rsidRPr="00C74F37">
        <w:rPr>
          <w:rFonts w:ascii="Arial" w:hAnsi="Arial" w:cs="Arial"/>
          <w:b/>
        </w:rPr>
        <w:t>revenue requirement will be adjusted for inflation and this amount will be used as the GLPT</w:t>
      </w:r>
      <w:r w:rsidRPr="00C74F37">
        <w:rPr>
          <w:rFonts w:ascii="Arial" w:hAnsi="Arial" w:cs="Arial"/>
          <w:b/>
          <w:sz w:val="16"/>
          <w:szCs w:val="16"/>
        </w:rPr>
        <w:t xml:space="preserve"> </w:t>
      </w:r>
      <w:r w:rsidRPr="00C74F37">
        <w:rPr>
          <w:rFonts w:ascii="Arial" w:hAnsi="Arial" w:cs="Arial"/>
          <w:b/>
        </w:rPr>
        <w:t>2019 revenue requirement. An annual inflation adjustment would then be applied to each</w:t>
      </w:r>
      <w:r w:rsidR="002A1DF9">
        <w:rPr>
          <w:rFonts w:ascii="Arial" w:hAnsi="Arial" w:cs="Arial"/>
          <w:b/>
        </w:rPr>
        <w:t xml:space="preserve"> </w:t>
      </w:r>
      <w:r w:rsidRPr="00C74F37">
        <w:rPr>
          <w:rFonts w:ascii="Arial" w:hAnsi="Arial" w:cs="Arial"/>
          <w:b/>
        </w:rPr>
        <w:t>subsequent year during the deferral period.</w:t>
      </w:r>
    </w:p>
    <w:p w:rsidR="00C85228" w:rsidRPr="00512725" w:rsidRDefault="00DA4FEF" w:rsidP="00795467">
      <w:pPr>
        <w:autoSpaceDE w:val="0"/>
        <w:autoSpaceDN w:val="0"/>
        <w:adjustRightInd w:val="0"/>
        <w:rPr>
          <w:rFonts w:ascii="Arial" w:hAnsi="Arial" w:cs="Arial"/>
        </w:rPr>
      </w:pPr>
      <w:r w:rsidRPr="00512725">
        <w:rPr>
          <w:rFonts w:ascii="Arial" w:hAnsi="Arial" w:cs="Arial"/>
        </w:rPr>
        <w:t>Adoption of this methodology is intended to provide</w:t>
      </w:r>
      <w:r w:rsidRPr="00512725">
        <w:rPr>
          <w:rFonts w:ascii="Arial" w:hAnsi="Arial" w:cs="Arial"/>
          <w:sz w:val="16"/>
          <w:szCs w:val="16"/>
        </w:rPr>
        <w:t xml:space="preserve"> </w:t>
      </w:r>
      <w:r w:rsidRPr="00512725">
        <w:rPr>
          <w:rFonts w:ascii="Arial" w:hAnsi="Arial" w:cs="Arial"/>
        </w:rPr>
        <w:t>rate certainty to customers while creating a reasonable period of time to allow recovery of</w:t>
      </w:r>
      <w:r w:rsidRPr="00512725">
        <w:rPr>
          <w:rFonts w:ascii="Arial" w:hAnsi="Arial" w:cs="Arial"/>
          <w:sz w:val="16"/>
          <w:szCs w:val="16"/>
        </w:rPr>
        <w:t xml:space="preserve"> </w:t>
      </w:r>
      <w:r w:rsidRPr="00512725">
        <w:rPr>
          <w:rFonts w:ascii="Arial" w:hAnsi="Arial" w:cs="Arial"/>
        </w:rPr>
        <w:t>transaction costs and premiums</w:t>
      </w:r>
      <w:r w:rsidR="00C04112">
        <w:rPr>
          <w:rStyle w:val="FootnoteReference"/>
          <w:rFonts w:ascii="Arial" w:hAnsi="Arial" w:cs="Arial"/>
        </w:rPr>
        <w:footnoteReference w:id="18"/>
      </w:r>
      <w:r w:rsidRPr="00512725">
        <w:rPr>
          <w:rFonts w:ascii="Arial" w:hAnsi="Arial" w:cs="Arial"/>
        </w:rPr>
        <w:t>.</w:t>
      </w:r>
      <w:r w:rsidR="00C85228" w:rsidRPr="00512725">
        <w:rPr>
          <w:rFonts w:ascii="Arial" w:hAnsi="Arial" w:cs="Arial"/>
        </w:rPr>
        <w:t xml:space="preserve"> </w:t>
      </w:r>
    </w:p>
    <w:p w:rsidR="00DA4FEF" w:rsidRPr="00512725" w:rsidRDefault="00DA4FEF" w:rsidP="00DA4FEF">
      <w:pPr>
        <w:autoSpaceDE w:val="0"/>
        <w:autoSpaceDN w:val="0"/>
        <w:adjustRightInd w:val="0"/>
        <w:rPr>
          <w:rFonts w:ascii="Arial" w:hAnsi="Arial" w:cs="Arial"/>
          <w:sz w:val="16"/>
          <w:szCs w:val="16"/>
        </w:rPr>
      </w:pPr>
    </w:p>
    <w:p w:rsidR="00DA4FEF" w:rsidRPr="00512725" w:rsidRDefault="0070095B" w:rsidP="002A1DF9">
      <w:pPr>
        <w:tabs>
          <w:tab w:val="left" w:pos="567"/>
        </w:tabs>
        <w:autoSpaceDE w:val="0"/>
        <w:autoSpaceDN w:val="0"/>
        <w:adjustRightInd w:val="0"/>
        <w:rPr>
          <w:rFonts w:ascii="Arial" w:hAnsi="Arial" w:cs="Arial"/>
        </w:rPr>
      </w:pPr>
      <w:r w:rsidRPr="00512725">
        <w:rPr>
          <w:rFonts w:ascii="Arial" w:hAnsi="Arial" w:cs="Arial"/>
        </w:rPr>
        <w:t xml:space="preserve">6.2 </w:t>
      </w:r>
      <w:r w:rsidR="002A1DF9">
        <w:rPr>
          <w:rFonts w:ascii="Arial" w:hAnsi="Arial" w:cs="Arial"/>
        </w:rPr>
        <w:tab/>
      </w:r>
      <w:r w:rsidR="00DA4FEF" w:rsidRPr="00512725">
        <w:rPr>
          <w:rFonts w:ascii="Arial" w:hAnsi="Arial" w:cs="Arial"/>
        </w:rPr>
        <w:t xml:space="preserve">HOI is also proposing to implement an earning sharing mechanism during the </w:t>
      </w:r>
      <w:r w:rsidR="00DA4FEF" w:rsidRPr="00795467">
        <w:rPr>
          <w:rFonts w:ascii="Arial" w:hAnsi="Arial" w:cs="Arial"/>
          <w:b/>
          <w:i/>
        </w:rPr>
        <w:t>last 5 years of the deferral period</w:t>
      </w:r>
      <w:r w:rsidR="00DA4FEF" w:rsidRPr="00512725">
        <w:rPr>
          <w:rFonts w:ascii="Arial" w:hAnsi="Arial" w:cs="Arial"/>
        </w:rPr>
        <w:t>. The proposed mechanism would share GLPT’s</w:t>
      </w:r>
      <w:r w:rsidR="002A1DF9">
        <w:rPr>
          <w:rFonts w:ascii="Arial" w:hAnsi="Arial" w:cs="Arial"/>
        </w:rPr>
        <w:t xml:space="preserve"> </w:t>
      </w:r>
      <w:r w:rsidR="00DA4FEF" w:rsidRPr="00512725">
        <w:rPr>
          <w:rFonts w:ascii="Arial" w:hAnsi="Arial" w:cs="Arial"/>
        </w:rPr>
        <w:t xml:space="preserve">earnings on a 50:50 basis where </w:t>
      </w:r>
      <w:r w:rsidR="00DA4FEF" w:rsidRPr="00512725">
        <w:rPr>
          <w:rFonts w:ascii="Arial" w:hAnsi="Arial" w:cs="Arial"/>
          <w:sz w:val="16"/>
          <w:szCs w:val="16"/>
        </w:rPr>
        <w:t xml:space="preserve"> </w:t>
      </w:r>
      <w:r w:rsidR="00DA4FEF" w:rsidRPr="00512725">
        <w:rPr>
          <w:rFonts w:ascii="Arial" w:hAnsi="Arial" w:cs="Arial"/>
        </w:rPr>
        <w:t>that portion of the achieved return on equity is more than 300 basis points above the ROE</w:t>
      </w:r>
      <w:r w:rsidR="00BC4D80">
        <w:rPr>
          <w:rFonts w:ascii="Arial" w:hAnsi="Arial" w:cs="Arial"/>
        </w:rPr>
        <w:t xml:space="preserve"> </w:t>
      </w:r>
      <w:r w:rsidR="00DA4FEF" w:rsidRPr="00512725">
        <w:rPr>
          <w:rFonts w:ascii="Arial" w:hAnsi="Arial" w:cs="Arial"/>
        </w:rPr>
        <w:t>approved by the Board for 2018 in GLPT’s 2017 and 2018 rate application</w:t>
      </w:r>
      <w:r w:rsidR="00C04112">
        <w:rPr>
          <w:rStyle w:val="FootnoteReference"/>
          <w:rFonts w:ascii="Arial" w:hAnsi="Arial" w:cs="Arial"/>
        </w:rPr>
        <w:footnoteReference w:id="19"/>
      </w:r>
      <w:r w:rsidR="00DA4FEF" w:rsidRPr="00512725">
        <w:rPr>
          <w:rFonts w:ascii="Arial" w:hAnsi="Arial" w:cs="Arial"/>
        </w:rPr>
        <w:t>.</w:t>
      </w:r>
    </w:p>
    <w:p w:rsidR="00FD1E1E" w:rsidRPr="00512725" w:rsidRDefault="00FD1E1E" w:rsidP="00DA4FEF">
      <w:pPr>
        <w:autoSpaceDE w:val="0"/>
        <w:autoSpaceDN w:val="0"/>
        <w:adjustRightInd w:val="0"/>
        <w:rPr>
          <w:rFonts w:ascii="Arial" w:hAnsi="Arial" w:cs="Arial"/>
        </w:rPr>
      </w:pPr>
    </w:p>
    <w:p w:rsidR="00685ED9" w:rsidRDefault="0013729A" w:rsidP="002A1DF9">
      <w:pPr>
        <w:tabs>
          <w:tab w:val="left" w:pos="567"/>
        </w:tabs>
        <w:autoSpaceDE w:val="0"/>
        <w:autoSpaceDN w:val="0"/>
        <w:adjustRightInd w:val="0"/>
        <w:rPr>
          <w:rFonts w:ascii="Arial" w:hAnsi="Arial" w:cs="Arial"/>
        </w:rPr>
      </w:pPr>
      <w:r w:rsidRPr="00512725">
        <w:rPr>
          <w:rFonts w:ascii="Arial" w:hAnsi="Arial" w:cs="Arial"/>
        </w:rPr>
        <w:t xml:space="preserve">6.3 </w:t>
      </w:r>
      <w:r w:rsidR="002A1DF9">
        <w:rPr>
          <w:rFonts w:ascii="Arial" w:hAnsi="Arial" w:cs="Arial"/>
        </w:rPr>
        <w:tab/>
      </w:r>
      <w:r w:rsidR="00FD1E1E" w:rsidRPr="00512725">
        <w:rPr>
          <w:rFonts w:ascii="Arial" w:hAnsi="Arial" w:cs="Arial"/>
        </w:rPr>
        <w:t xml:space="preserve">Hydro One was asked about the </w:t>
      </w:r>
      <w:r w:rsidRPr="00512725">
        <w:rPr>
          <w:rFonts w:ascii="Arial" w:hAnsi="Arial" w:cs="Arial"/>
        </w:rPr>
        <w:t xml:space="preserve">Historic </w:t>
      </w:r>
      <w:r w:rsidR="00FD1E1E" w:rsidRPr="00512725">
        <w:rPr>
          <w:rFonts w:ascii="Arial" w:hAnsi="Arial" w:cs="Arial"/>
        </w:rPr>
        <w:t>Allowed and Achieved ROE</w:t>
      </w:r>
      <w:r w:rsidRPr="00512725">
        <w:rPr>
          <w:rFonts w:ascii="Arial" w:hAnsi="Arial" w:cs="Arial"/>
        </w:rPr>
        <w:t xml:space="preserve"> for each entity. The response indicates that Hydro One has exceeded the allowed ROE for several years with </w:t>
      </w:r>
      <w:r w:rsidR="00685ED9">
        <w:rPr>
          <w:rFonts w:ascii="Arial" w:hAnsi="Arial" w:cs="Arial"/>
        </w:rPr>
        <w:t>range of 10.5 to 13.3 % ROE. GLPT has earned an ROE of 9.7 to 11.9%</w:t>
      </w:r>
      <w:r w:rsidR="00C04112">
        <w:rPr>
          <w:rStyle w:val="FootnoteReference"/>
          <w:rFonts w:ascii="Arial" w:hAnsi="Arial" w:cs="Arial"/>
        </w:rPr>
        <w:footnoteReference w:id="20"/>
      </w:r>
      <w:r w:rsidR="00685ED9">
        <w:rPr>
          <w:rFonts w:ascii="Arial" w:hAnsi="Arial" w:cs="Arial"/>
        </w:rPr>
        <w:t>.</w:t>
      </w:r>
    </w:p>
    <w:p w:rsidR="00BC4D80" w:rsidRDefault="00BC4D80" w:rsidP="008E4B78">
      <w:pPr>
        <w:autoSpaceDE w:val="0"/>
        <w:autoSpaceDN w:val="0"/>
        <w:adjustRightInd w:val="0"/>
        <w:rPr>
          <w:rFonts w:ascii="Arial" w:hAnsi="Arial" w:cs="Arial"/>
          <w:b/>
          <w:bCs/>
          <w:i/>
        </w:rPr>
      </w:pPr>
    </w:p>
    <w:p w:rsidR="00DA4FEF" w:rsidRPr="00512725" w:rsidRDefault="00C74F37" w:rsidP="008E4B78">
      <w:pPr>
        <w:autoSpaceDE w:val="0"/>
        <w:autoSpaceDN w:val="0"/>
        <w:adjustRightInd w:val="0"/>
        <w:rPr>
          <w:rFonts w:ascii="Arial" w:hAnsi="Arial" w:cs="Arial"/>
          <w:b/>
          <w:bCs/>
          <w:i/>
        </w:rPr>
      </w:pPr>
      <w:r>
        <w:rPr>
          <w:rFonts w:ascii="Arial" w:hAnsi="Arial" w:cs="Arial"/>
          <w:b/>
          <w:bCs/>
          <w:i/>
        </w:rPr>
        <w:t>Discu</w:t>
      </w:r>
      <w:r w:rsidR="0013729A" w:rsidRPr="00512725">
        <w:rPr>
          <w:rFonts w:ascii="Arial" w:hAnsi="Arial" w:cs="Arial"/>
          <w:b/>
          <w:bCs/>
          <w:i/>
        </w:rPr>
        <w:t xml:space="preserve">ssion </w:t>
      </w:r>
    </w:p>
    <w:p w:rsidR="00511932" w:rsidRDefault="00511932" w:rsidP="008E4B78">
      <w:pPr>
        <w:autoSpaceDE w:val="0"/>
        <w:autoSpaceDN w:val="0"/>
        <w:adjustRightInd w:val="0"/>
        <w:rPr>
          <w:rFonts w:ascii="Arial" w:hAnsi="Arial" w:cs="Arial"/>
          <w:b/>
          <w:bCs/>
          <w:i/>
        </w:rPr>
      </w:pPr>
    </w:p>
    <w:p w:rsidR="00A86579" w:rsidRDefault="00C74F37" w:rsidP="008E4B78">
      <w:pPr>
        <w:autoSpaceDE w:val="0"/>
        <w:autoSpaceDN w:val="0"/>
        <w:adjustRightInd w:val="0"/>
        <w:rPr>
          <w:rFonts w:ascii="Arial" w:hAnsi="Arial" w:cs="Arial"/>
          <w:b/>
          <w:bCs/>
          <w:i/>
        </w:rPr>
      </w:pPr>
      <w:r>
        <w:rPr>
          <w:rFonts w:ascii="Arial" w:hAnsi="Arial" w:cs="Arial"/>
          <w:b/>
          <w:bCs/>
          <w:i/>
        </w:rPr>
        <w:t xml:space="preserve">We have already expressed our concern </w:t>
      </w:r>
      <w:r w:rsidR="00511932">
        <w:rPr>
          <w:rFonts w:ascii="Arial" w:hAnsi="Arial" w:cs="Arial"/>
          <w:b/>
          <w:bCs/>
          <w:i/>
        </w:rPr>
        <w:t xml:space="preserve">both with providing Hydro </w:t>
      </w:r>
      <w:r w:rsidR="00A86579">
        <w:rPr>
          <w:rFonts w:ascii="Arial" w:hAnsi="Arial" w:cs="Arial"/>
          <w:b/>
          <w:bCs/>
          <w:i/>
        </w:rPr>
        <w:t>O</w:t>
      </w:r>
      <w:r w:rsidR="00511932">
        <w:rPr>
          <w:rFonts w:ascii="Arial" w:hAnsi="Arial" w:cs="Arial"/>
          <w:b/>
          <w:bCs/>
          <w:i/>
        </w:rPr>
        <w:t xml:space="preserve">ne/GLPT with any comfort regarding </w:t>
      </w:r>
      <w:r>
        <w:rPr>
          <w:rFonts w:ascii="Arial" w:hAnsi="Arial" w:cs="Arial"/>
          <w:b/>
          <w:bCs/>
          <w:i/>
        </w:rPr>
        <w:t>the 2019-2027 rate indexing period and rates</w:t>
      </w:r>
      <w:r w:rsidR="00A86579">
        <w:rPr>
          <w:rFonts w:ascii="Arial" w:hAnsi="Arial" w:cs="Arial"/>
          <w:b/>
          <w:bCs/>
          <w:i/>
        </w:rPr>
        <w:t>.</w:t>
      </w:r>
    </w:p>
    <w:p w:rsidR="00511932" w:rsidRDefault="00C74F37" w:rsidP="008E4B78">
      <w:pPr>
        <w:autoSpaceDE w:val="0"/>
        <w:autoSpaceDN w:val="0"/>
        <w:adjustRightInd w:val="0"/>
        <w:rPr>
          <w:rFonts w:ascii="Arial" w:hAnsi="Arial" w:cs="Arial"/>
          <w:b/>
          <w:bCs/>
          <w:i/>
        </w:rPr>
      </w:pPr>
      <w:r>
        <w:rPr>
          <w:rFonts w:ascii="Arial" w:hAnsi="Arial" w:cs="Arial"/>
          <w:b/>
          <w:bCs/>
          <w:i/>
        </w:rPr>
        <w:t xml:space="preserve"> </w:t>
      </w:r>
    </w:p>
    <w:p w:rsidR="00511932" w:rsidRDefault="00511932" w:rsidP="008E4B78">
      <w:pPr>
        <w:autoSpaceDE w:val="0"/>
        <w:autoSpaceDN w:val="0"/>
        <w:adjustRightInd w:val="0"/>
        <w:rPr>
          <w:rFonts w:ascii="Arial" w:hAnsi="Arial" w:cs="Arial"/>
          <w:b/>
          <w:bCs/>
          <w:i/>
        </w:rPr>
      </w:pPr>
      <w:r>
        <w:rPr>
          <w:rFonts w:ascii="Arial" w:hAnsi="Arial" w:cs="Arial"/>
          <w:b/>
          <w:bCs/>
          <w:i/>
        </w:rPr>
        <w:t>However</w:t>
      </w:r>
      <w:r w:rsidR="00A86579">
        <w:rPr>
          <w:rFonts w:ascii="Arial" w:hAnsi="Arial" w:cs="Arial"/>
          <w:b/>
          <w:bCs/>
          <w:i/>
        </w:rPr>
        <w:t>,</w:t>
      </w:r>
      <w:r>
        <w:rPr>
          <w:rFonts w:ascii="Arial" w:hAnsi="Arial" w:cs="Arial"/>
          <w:b/>
          <w:bCs/>
          <w:i/>
        </w:rPr>
        <w:t xml:space="preserve"> if the Board is inclined to respond to Hydro One/GLPT</w:t>
      </w:r>
      <w:r w:rsidR="00A86579">
        <w:rPr>
          <w:rFonts w:ascii="Arial" w:hAnsi="Arial" w:cs="Arial"/>
          <w:b/>
          <w:bCs/>
          <w:i/>
        </w:rPr>
        <w:t xml:space="preserve"> on this</w:t>
      </w:r>
      <w:r>
        <w:rPr>
          <w:rFonts w:ascii="Arial" w:hAnsi="Arial" w:cs="Arial"/>
          <w:b/>
          <w:bCs/>
          <w:i/>
        </w:rPr>
        <w:t xml:space="preserve">, we repeat our opposition to indexing </w:t>
      </w:r>
      <w:r w:rsidR="00A86579">
        <w:rPr>
          <w:rFonts w:ascii="Arial" w:hAnsi="Arial" w:cs="Arial"/>
          <w:b/>
          <w:bCs/>
          <w:i/>
        </w:rPr>
        <w:t>at inflation without a Stretch F</w:t>
      </w:r>
      <w:r>
        <w:rPr>
          <w:rFonts w:ascii="Arial" w:hAnsi="Arial" w:cs="Arial"/>
          <w:b/>
          <w:bCs/>
          <w:i/>
        </w:rPr>
        <w:t xml:space="preserve">actor and deferring the ESM. </w:t>
      </w:r>
    </w:p>
    <w:p w:rsidR="00511932" w:rsidRDefault="00511932" w:rsidP="008E4B78">
      <w:pPr>
        <w:autoSpaceDE w:val="0"/>
        <w:autoSpaceDN w:val="0"/>
        <w:adjustRightInd w:val="0"/>
        <w:rPr>
          <w:rFonts w:ascii="Arial" w:hAnsi="Arial" w:cs="Arial"/>
          <w:b/>
          <w:bCs/>
          <w:i/>
        </w:rPr>
      </w:pPr>
    </w:p>
    <w:p w:rsidR="0013729A" w:rsidRPr="00512725" w:rsidRDefault="0013729A" w:rsidP="008E4B78">
      <w:pPr>
        <w:autoSpaceDE w:val="0"/>
        <w:autoSpaceDN w:val="0"/>
        <w:adjustRightInd w:val="0"/>
        <w:rPr>
          <w:rFonts w:ascii="Arial" w:hAnsi="Arial" w:cs="Arial"/>
          <w:b/>
          <w:bCs/>
          <w:i/>
        </w:rPr>
      </w:pPr>
      <w:r w:rsidRPr="00512725">
        <w:rPr>
          <w:rFonts w:ascii="Arial" w:hAnsi="Arial" w:cs="Arial"/>
          <w:b/>
          <w:bCs/>
          <w:i/>
        </w:rPr>
        <w:t xml:space="preserve">Both </w:t>
      </w:r>
      <w:r w:rsidR="008B73DC">
        <w:rPr>
          <w:rFonts w:ascii="Arial" w:hAnsi="Arial" w:cs="Arial"/>
          <w:b/>
          <w:bCs/>
          <w:i/>
        </w:rPr>
        <w:t xml:space="preserve">Hydro One Tx and GLPT </w:t>
      </w:r>
      <w:r w:rsidRPr="00512725">
        <w:rPr>
          <w:rFonts w:ascii="Arial" w:hAnsi="Arial" w:cs="Arial"/>
          <w:b/>
          <w:bCs/>
          <w:i/>
        </w:rPr>
        <w:t xml:space="preserve">have </w:t>
      </w:r>
      <w:r w:rsidR="00795A12" w:rsidRPr="00512725">
        <w:rPr>
          <w:rFonts w:ascii="Arial" w:hAnsi="Arial" w:cs="Arial"/>
          <w:b/>
          <w:bCs/>
          <w:i/>
        </w:rPr>
        <w:t xml:space="preserve">consistently </w:t>
      </w:r>
      <w:r w:rsidRPr="00512725">
        <w:rPr>
          <w:rFonts w:ascii="Arial" w:hAnsi="Arial" w:cs="Arial"/>
          <w:b/>
          <w:bCs/>
          <w:i/>
        </w:rPr>
        <w:t>exceeded the allowed</w:t>
      </w:r>
      <w:r w:rsidR="00795A12" w:rsidRPr="00512725">
        <w:rPr>
          <w:rFonts w:ascii="Arial" w:hAnsi="Arial" w:cs="Arial"/>
          <w:b/>
          <w:bCs/>
          <w:i/>
        </w:rPr>
        <w:t xml:space="preserve"> R</w:t>
      </w:r>
      <w:r w:rsidRPr="00512725">
        <w:rPr>
          <w:rFonts w:ascii="Arial" w:hAnsi="Arial" w:cs="Arial"/>
          <w:b/>
          <w:bCs/>
          <w:i/>
        </w:rPr>
        <w:t>eturn on Equity for the last 5 years</w:t>
      </w:r>
      <w:r w:rsidR="00795A12" w:rsidRPr="00512725">
        <w:rPr>
          <w:rFonts w:ascii="Arial" w:hAnsi="Arial" w:cs="Arial"/>
          <w:b/>
          <w:bCs/>
          <w:i/>
        </w:rPr>
        <w:t xml:space="preserve">, including in </w:t>
      </w:r>
      <w:r w:rsidR="00795467">
        <w:rPr>
          <w:rFonts w:ascii="Arial" w:hAnsi="Arial" w:cs="Arial"/>
          <w:b/>
          <w:bCs/>
          <w:i/>
        </w:rPr>
        <w:t xml:space="preserve">some years, </w:t>
      </w:r>
      <w:r w:rsidR="00795A12" w:rsidRPr="00512725">
        <w:rPr>
          <w:rFonts w:ascii="Arial" w:hAnsi="Arial" w:cs="Arial"/>
          <w:b/>
          <w:bCs/>
          <w:i/>
        </w:rPr>
        <w:t xml:space="preserve">excess of 300 basis points for Hydro One </w:t>
      </w:r>
      <w:r w:rsidR="005934D6">
        <w:rPr>
          <w:rFonts w:ascii="Arial" w:hAnsi="Arial" w:cs="Arial"/>
          <w:b/>
          <w:bCs/>
          <w:i/>
        </w:rPr>
        <w:t>a</w:t>
      </w:r>
      <w:r w:rsidR="00795A12" w:rsidRPr="00512725">
        <w:rPr>
          <w:rFonts w:ascii="Arial" w:hAnsi="Arial" w:cs="Arial"/>
          <w:b/>
          <w:bCs/>
          <w:i/>
        </w:rPr>
        <w:t xml:space="preserve">nd </w:t>
      </w:r>
      <w:r w:rsidR="00795467">
        <w:rPr>
          <w:rFonts w:ascii="Arial" w:hAnsi="Arial" w:cs="Arial"/>
          <w:b/>
          <w:bCs/>
          <w:i/>
        </w:rPr>
        <w:t xml:space="preserve">over </w:t>
      </w:r>
      <w:r w:rsidR="00795A12" w:rsidRPr="00512725">
        <w:rPr>
          <w:rFonts w:ascii="Arial" w:hAnsi="Arial" w:cs="Arial"/>
          <w:b/>
          <w:bCs/>
          <w:i/>
        </w:rPr>
        <w:t>150 basis points for GLPT.</w:t>
      </w:r>
    </w:p>
    <w:p w:rsidR="00795A12" w:rsidRPr="00512725" w:rsidRDefault="00795A12" w:rsidP="008E4B78">
      <w:pPr>
        <w:autoSpaceDE w:val="0"/>
        <w:autoSpaceDN w:val="0"/>
        <w:adjustRightInd w:val="0"/>
        <w:rPr>
          <w:rFonts w:ascii="Arial" w:hAnsi="Arial" w:cs="Arial"/>
          <w:b/>
          <w:bCs/>
          <w:i/>
        </w:rPr>
      </w:pPr>
    </w:p>
    <w:p w:rsidR="00795A12" w:rsidRPr="00512725" w:rsidRDefault="00795A12" w:rsidP="008E4B78">
      <w:pPr>
        <w:autoSpaceDE w:val="0"/>
        <w:autoSpaceDN w:val="0"/>
        <w:adjustRightInd w:val="0"/>
        <w:rPr>
          <w:rFonts w:ascii="Arial" w:hAnsi="Arial" w:cs="Arial"/>
          <w:b/>
          <w:bCs/>
        </w:rPr>
      </w:pPr>
      <w:r w:rsidRPr="00512725">
        <w:rPr>
          <w:rFonts w:ascii="Arial" w:hAnsi="Arial" w:cs="Arial"/>
          <w:b/>
          <w:bCs/>
          <w:i/>
        </w:rPr>
        <w:t xml:space="preserve">This should be </w:t>
      </w:r>
      <w:r w:rsidR="00BC4D80">
        <w:rPr>
          <w:rFonts w:ascii="Arial" w:hAnsi="Arial" w:cs="Arial"/>
          <w:b/>
          <w:bCs/>
          <w:i/>
        </w:rPr>
        <w:t xml:space="preserve">a factor to be </w:t>
      </w:r>
      <w:r w:rsidR="005934D6">
        <w:rPr>
          <w:rFonts w:ascii="Arial" w:hAnsi="Arial" w:cs="Arial"/>
          <w:b/>
          <w:bCs/>
          <w:i/>
        </w:rPr>
        <w:t xml:space="preserve">taken into account </w:t>
      </w:r>
      <w:r w:rsidR="00BC4D80">
        <w:rPr>
          <w:rFonts w:ascii="Arial" w:hAnsi="Arial" w:cs="Arial"/>
          <w:b/>
          <w:bCs/>
          <w:i/>
        </w:rPr>
        <w:t>when</w:t>
      </w:r>
      <w:r w:rsidRPr="00512725">
        <w:rPr>
          <w:rFonts w:ascii="Arial" w:hAnsi="Arial" w:cs="Arial"/>
          <w:b/>
          <w:bCs/>
          <w:i/>
        </w:rPr>
        <w:t xml:space="preserve"> </w:t>
      </w:r>
      <w:r w:rsidR="005934D6">
        <w:rPr>
          <w:rFonts w:ascii="Arial" w:hAnsi="Arial" w:cs="Arial"/>
          <w:b/>
          <w:bCs/>
          <w:i/>
        </w:rPr>
        <w:t xml:space="preserve">considering </w:t>
      </w:r>
      <w:r w:rsidRPr="00512725">
        <w:rPr>
          <w:rFonts w:ascii="Arial" w:hAnsi="Arial" w:cs="Arial"/>
          <w:b/>
          <w:bCs/>
          <w:i/>
        </w:rPr>
        <w:t>the</w:t>
      </w:r>
      <w:r w:rsidR="00795467">
        <w:rPr>
          <w:rFonts w:ascii="Arial" w:hAnsi="Arial" w:cs="Arial"/>
          <w:b/>
          <w:bCs/>
          <w:i/>
        </w:rPr>
        <w:t xml:space="preserve"> </w:t>
      </w:r>
      <w:r w:rsidR="00511932">
        <w:rPr>
          <w:rFonts w:ascii="Arial" w:hAnsi="Arial" w:cs="Arial"/>
          <w:b/>
          <w:bCs/>
          <w:i/>
        </w:rPr>
        <w:t xml:space="preserve">appropriateness of the </w:t>
      </w:r>
      <w:r w:rsidR="00795467">
        <w:rPr>
          <w:rFonts w:ascii="Arial" w:hAnsi="Arial" w:cs="Arial"/>
          <w:b/>
          <w:bCs/>
          <w:i/>
        </w:rPr>
        <w:t>proposed</w:t>
      </w:r>
      <w:r w:rsidRPr="00512725">
        <w:rPr>
          <w:rFonts w:ascii="Arial" w:hAnsi="Arial" w:cs="Arial"/>
          <w:b/>
          <w:bCs/>
          <w:i/>
        </w:rPr>
        <w:t xml:space="preserve"> inflationary increase to the revenue requirement from 2019-2027 and the deferral of the ESM</w:t>
      </w:r>
      <w:r w:rsidR="00795467">
        <w:rPr>
          <w:rFonts w:ascii="Arial" w:hAnsi="Arial" w:cs="Arial"/>
          <w:b/>
          <w:bCs/>
          <w:i/>
        </w:rPr>
        <w:t xml:space="preserve"> </w:t>
      </w:r>
      <w:r w:rsidR="005D1753">
        <w:rPr>
          <w:rFonts w:ascii="Arial" w:hAnsi="Arial" w:cs="Arial"/>
          <w:b/>
          <w:bCs/>
          <w:i/>
        </w:rPr>
        <w:t>till the last</w:t>
      </w:r>
      <w:r w:rsidR="00795467">
        <w:rPr>
          <w:rFonts w:ascii="Arial" w:hAnsi="Arial" w:cs="Arial"/>
          <w:b/>
          <w:bCs/>
          <w:i/>
        </w:rPr>
        <w:t xml:space="preserve"> 5 years</w:t>
      </w:r>
      <w:r w:rsidRPr="00512725">
        <w:rPr>
          <w:rFonts w:ascii="Arial" w:hAnsi="Arial" w:cs="Arial"/>
          <w:b/>
          <w:bCs/>
        </w:rPr>
        <w:t>.</w:t>
      </w:r>
    </w:p>
    <w:p w:rsidR="00795A12" w:rsidRDefault="00795A12">
      <w:pPr>
        <w:spacing w:after="200" w:line="276" w:lineRule="auto"/>
        <w:rPr>
          <w:rFonts w:ascii="Arial" w:hAnsi="Arial" w:cs="Arial"/>
          <w:b/>
          <w:bCs/>
        </w:rPr>
      </w:pPr>
    </w:p>
    <w:p w:rsidR="002A1DF9" w:rsidRDefault="002A1DF9">
      <w:pPr>
        <w:spacing w:after="200" w:line="276" w:lineRule="auto"/>
        <w:rPr>
          <w:rFonts w:ascii="Arial" w:hAnsi="Arial" w:cs="Arial"/>
          <w:b/>
          <w:bCs/>
        </w:rPr>
      </w:pPr>
    </w:p>
    <w:p w:rsidR="002A1DF9" w:rsidRPr="00512725" w:rsidRDefault="002A1DF9">
      <w:pPr>
        <w:spacing w:after="200" w:line="276" w:lineRule="auto"/>
        <w:rPr>
          <w:rFonts w:ascii="Arial" w:hAnsi="Arial" w:cs="Arial"/>
          <w:b/>
          <w:bCs/>
        </w:rPr>
      </w:pPr>
    </w:p>
    <w:p w:rsidR="00854EB7" w:rsidRPr="00BC4D80" w:rsidRDefault="00301512" w:rsidP="00BC4D80">
      <w:pPr>
        <w:pStyle w:val="ListParagraph"/>
        <w:numPr>
          <w:ilvl w:val="0"/>
          <w:numId w:val="7"/>
        </w:numPr>
        <w:spacing w:after="200" w:line="276" w:lineRule="auto"/>
        <w:rPr>
          <w:rFonts w:ascii="Arial" w:hAnsi="Arial" w:cs="Arial"/>
          <w:b/>
          <w:bCs/>
          <w:i/>
        </w:rPr>
      </w:pPr>
      <w:r>
        <w:rPr>
          <w:rFonts w:ascii="Arial" w:hAnsi="Arial" w:cs="Arial"/>
          <w:b/>
          <w:bCs/>
          <w:i/>
        </w:rPr>
        <w:t xml:space="preserve">Comments on </w:t>
      </w:r>
      <w:r w:rsidR="00854EB7" w:rsidRPr="00BC4D80">
        <w:rPr>
          <w:rFonts w:ascii="Arial" w:hAnsi="Arial" w:cs="Arial"/>
          <w:b/>
          <w:bCs/>
          <w:i/>
        </w:rPr>
        <w:t>Hydro One AIC</w:t>
      </w:r>
    </w:p>
    <w:p w:rsidR="007577EC" w:rsidRPr="00512725" w:rsidRDefault="007725C4" w:rsidP="00577202">
      <w:pPr>
        <w:spacing w:after="200" w:line="276" w:lineRule="auto"/>
        <w:rPr>
          <w:rFonts w:ascii="Arial" w:hAnsi="Arial" w:cs="Arial"/>
          <w:b/>
          <w:bCs/>
          <w:i/>
        </w:rPr>
      </w:pPr>
      <w:r>
        <w:rPr>
          <w:rFonts w:ascii="Arial" w:hAnsi="Arial" w:cs="Arial"/>
          <w:b/>
          <w:bCs/>
          <w:i/>
        </w:rPr>
        <w:t>We have</w:t>
      </w:r>
      <w:r w:rsidR="00795A12" w:rsidRPr="00512725">
        <w:rPr>
          <w:rFonts w:ascii="Arial" w:hAnsi="Arial" w:cs="Arial"/>
          <w:b/>
          <w:bCs/>
          <w:i/>
        </w:rPr>
        <w:t xml:space="preserve"> </w:t>
      </w:r>
      <w:r w:rsidR="00D338F4">
        <w:rPr>
          <w:rFonts w:ascii="Arial" w:hAnsi="Arial" w:cs="Arial"/>
          <w:b/>
          <w:bCs/>
          <w:i/>
        </w:rPr>
        <w:t>comments</w:t>
      </w:r>
      <w:r w:rsidR="00795A12" w:rsidRPr="00512725">
        <w:rPr>
          <w:rFonts w:ascii="Arial" w:hAnsi="Arial" w:cs="Arial"/>
          <w:b/>
          <w:bCs/>
          <w:i/>
        </w:rPr>
        <w:t xml:space="preserve"> on </w:t>
      </w:r>
      <w:r w:rsidR="003D20B5" w:rsidRPr="00512725">
        <w:rPr>
          <w:rFonts w:ascii="Arial" w:hAnsi="Arial" w:cs="Arial"/>
          <w:b/>
          <w:bCs/>
          <w:i/>
        </w:rPr>
        <w:t xml:space="preserve">Hydro One’s Argument in Chief and </w:t>
      </w:r>
      <w:r w:rsidR="00795A12" w:rsidRPr="00512725">
        <w:rPr>
          <w:rFonts w:ascii="Arial" w:hAnsi="Arial" w:cs="Arial"/>
          <w:b/>
          <w:bCs/>
          <w:i/>
        </w:rPr>
        <w:t xml:space="preserve">the </w:t>
      </w:r>
      <w:r w:rsidR="003D20B5" w:rsidRPr="00512725">
        <w:rPr>
          <w:rFonts w:ascii="Arial" w:hAnsi="Arial" w:cs="Arial"/>
          <w:b/>
          <w:bCs/>
          <w:i/>
        </w:rPr>
        <w:t>Conclusions at Paragraph 22</w:t>
      </w:r>
      <w:r w:rsidR="002A1DF9">
        <w:rPr>
          <w:rFonts w:ascii="Arial" w:hAnsi="Arial" w:cs="Arial"/>
          <w:b/>
          <w:bCs/>
          <w:i/>
        </w:rPr>
        <w:t>:</w:t>
      </w:r>
    </w:p>
    <w:p w:rsidR="007577EC" w:rsidRPr="00512725" w:rsidRDefault="007577EC" w:rsidP="007577EC">
      <w:pPr>
        <w:autoSpaceDE w:val="0"/>
        <w:autoSpaceDN w:val="0"/>
        <w:adjustRightInd w:val="0"/>
        <w:rPr>
          <w:rFonts w:ascii="Arial" w:hAnsi="Arial" w:cs="Arial"/>
          <w:sz w:val="22"/>
          <w:szCs w:val="22"/>
        </w:rPr>
      </w:pPr>
      <w:r w:rsidRPr="00512725">
        <w:rPr>
          <w:rFonts w:ascii="Arial" w:hAnsi="Arial" w:cs="Arial"/>
          <w:sz w:val="22"/>
          <w:szCs w:val="22"/>
        </w:rPr>
        <w:t>22. HOI submits that the evidentiary record in this proceeding satisfies the requirements to</w:t>
      </w:r>
    </w:p>
    <w:p w:rsidR="007577EC" w:rsidRPr="00512725" w:rsidRDefault="007577EC" w:rsidP="007577EC">
      <w:pPr>
        <w:autoSpaceDE w:val="0"/>
        <w:autoSpaceDN w:val="0"/>
        <w:adjustRightInd w:val="0"/>
        <w:rPr>
          <w:rFonts w:ascii="Arial" w:hAnsi="Arial" w:cs="Arial"/>
          <w:sz w:val="22"/>
          <w:szCs w:val="22"/>
        </w:rPr>
      </w:pPr>
      <w:r w:rsidRPr="00512725">
        <w:rPr>
          <w:rFonts w:ascii="Arial" w:hAnsi="Arial" w:cs="Arial"/>
          <w:sz w:val="22"/>
          <w:szCs w:val="22"/>
        </w:rPr>
        <w:t>grant relief sought:</w:t>
      </w:r>
    </w:p>
    <w:p w:rsidR="003D20B5" w:rsidRPr="00D9351A" w:rsidRDefault="007577EC" w:rsidP="00D9351A">
      <w:pPr>
        <w:pStyle w:val="ListParagraph"/>
        <w:numPr>
          <w:ilvl w:val="0"/>
          <w:numId w:val="15"/>
        </w:numPr>
        <w:autoSpaceDE w:val="0"/>
        <w:autoSpaceDN w:val="0"/>
        <w:adjustRightInd w:val="0"/>
        <w:rPr>
          <w:rFonts w:ascii="Arial" w:hAnsi="Arial" w:cs="Arial"/>
          <w:sz w:val="22"/>
          <w:szCs w:val="22"/>
        </w:rPr>
      </w:pPr>
      <w:r w:rsidRPr="00D9351A">
        <w:rPr>
          <w:rFonts w:ascii="Arial" w:hAnsi="Arial" w:cs="Arial"/>
          <w:sz w:val="22"/>
          <w:szCs w:val="22"/>
        </w:rPr>
        <w:t>The transaction has been reasonably demonstrated to not cause harm to the Board’s</w:t>
      </w:r>
      <w:r w:rsidR="00D9351A" w:rsidRPr="00D9351A">
        <w:rPr>
          <w:rFonts w:ascii="Arial" w:hAnsi="Arial" w:cs="Arial"/>
          <w:sz w:val="22"/>
          <w:szCs w:val="22"/>
        </w:rPr>
        <w:t xml:space="preserve"> </w:t>
      </w:r>
      <w:r w:rsidRPr="00D9351A">
        <w:rPr>
          <w:rFonts w:ascii="Arial" w:hAnsi="Arial" w:cs="Arial"/>
          <w:sz w:val="22"/>
          <w:szCs w:val="22"/>
        </w:rPr>
        <w:t>fulfillment of its statutory obligations. Leave to purchase all outstanding voting</w:t>
      </w:r>
      <w:r w:rsidR="005934D6">
        <w:rPr>
          <w:rFonts w:ascii="Arial" w:hAnsi="Arial" w:cs="Arial"/>
          <w:sz w:val="22"/>
          <w:szCs w:val="22"/>
        </w:rPr>
        <w:t xml:space="preserve"> </w:t>
      </w:r>
      <w:r w:rsidRPr="00D9351A">
        <w:rPr>
          <w:rFonts w:ascii="Arial" w:hAnsi="Arial" w:cs="Arial"/>
          <w:sz w:val="22"/>
          <w:szCs w:val="22"/>
        </w:rPr>
        <w:t>securities of GLPT should therefore be granted.</w:t>
      </w:r>
      <w:r w:rsidR="00154AE8" w:rsidRPr="00D9351A">
        <w:rPr>
          <w:rFonts w:ascii="Arial" w:hAnsi="Arial" w:cs="Arial"/>
          <w:sz w:val="22"/>
          <w:szCs w:val="22"/>
        </w:rPr>
        <w:t xml:space="preserve"> </w:t>
      </w:r>
    </w:p>
    <w:p w:rsidR="003D20B5" w:rsidRPr="00512725" w:rsidRDefault="003D20B5" w:rsidP="00154AE8">
      <w:pPr>
        <w:autoSpaceDE w:val="0"/>
        <w:autoSpaceDN w:val="0"/>
        <w:adjustRightInd w:val="0"/>
        <w:ind w:left="720" w:firstLine="720"/>
        <w:rPr>
          <w:rFonts w:ascii="Arial" w:hAnsi="Arial" w:cs="Arial"/>
          <w:sz w:val="22"/>
          <w:szCs w:val="22"/>
        </w:rPr>
      </w:pPr>
    </w:p>
    <w:p w:rsidR="007577EC" w:rsidRPr="00512725" w:rsidRDefault="00154AE8" w:rsidP="00154AE8">
      <w:pPr>
        <w:autoSpaceDE w:val="0"/>
        <w:autoSpaceDN w:val="0"/>
        <w:adjustRightInd w:val="0"/>
        <w:ind w:left="720" w:firstLine="720"/>
        <w:rPr>
          <w:rFonts w:ascii="Arial" w:hAnsi="Arial" w:cs="Arial"/>
          <w:sz w:val="22"/>
          <w:szCs w:val="22"/>
        </w:rPr>
      </w:pPr>
      <w:r w:rsidRPr="00512725">
        <w:rPr>
          <w:rFonts w:ascii="Arial" w:hAnsi="Arial" w:cs="Arial"/>
          <w:b/>
          <w:i/>
          <w:sz w:val="22"/>
          <w:szCs w:val="22"/>
        </w:rPr>
        <w:t>No Comment</w:t>
      </w:r>
    </w:p>
    <w:p w:rsidR="00154AE8" w:rsidRPr="00512725" w:rsidRDefault="00154AE8" w:rsidP="00154AE8">
      <w:pPr>
        <w:autoSpaceDE w:val="0"/>
        <w:autoSpaceDN w:val="0"/>
        <w:adjustRightInd w:val="0"/>
        <w:ind w:left="720" w:firstLine="720"/>
        <w:rPr>
          <w:rFonts w:ascii="Arial" w:hAnsi="Arial" w:cs="Arial"/>
          <w:sz w:val="22"/>
          <w:szCs w:val="22"/>
        </w:rPr>
      </w:pPr>
    </w:p>
    <w:p w:rsidR="00154AE8" w:rsidRPr="00512725" w:rsidRDefault="00154AE8" w:rsidP="00154AE8">
      <w:pPr>
        <w:autoSpaceDE w:val="0"/>
        <w:autoSpaceDN w:val="0"/>
        <w:adjustRightInd w:val="0"/>
        <w:ind w:left="720" w:firstLine="720"/>
        <w:rPr>
          <w:rFonts w:ascii="Arial" w:hAnsi="Arial" w:cs="Arial"/>
          <w:sz w:val="22"/>
          <w:szCs w:val="22"/>
        </w:rPr>
      </w:pPr>
    </w:p>
    <w:p w:rsidR="007577EC" w:rsidRPr="00D9351A" w:rsidRDefault="007577EC" w:rsidP="00D9351A">
      <w:pPr>
        <w:pStyle w:val="ListParagraph"/>
        <w:numPr>
          <w:ilvl w:val="0"/>
          <w:numId w:val="15"/>
        </w:numPr>
        <w:autoSpaceDE w:val="0"/>
        <w:autoSpaceDN w:val="0"/>
        <w:adjustRightInd w:val="0"/>
        <w:rPr>
          <w:rFonts w:ascii="Arial" w:hAnsi="Arial" w:cs="Arial"/>
          <w:sz w:val="22"/>
          <w:szCs w:val="22"/>
        </w:rPr>
      </w:pPr>
      <w:r w:rsidRPr="00D9351A">
        <w:rPr>
          <w:rFonts w:ascii="Arial" w:hAnsi="Arial" w:cs="Arial"/>
          <w:sz w:val="22"/>
          <w:szCs w:val="22"/>
        </w:rPr>
        <w:t>The proposed rate rebasing period accords with the duration requirements described</w:t>
      </w:r>
    </w:p>
    <w:p w:rsidR="007577EC" w:rsidRPr="00512725" w:rsidRDefault="007577EC" w:rsidP="00D9351A">
      <w:pPr>
        <w:autoSpaceDE w:val="0"/>
        <w:autoSpaceDN w:val="0"/>
        <w:adjustRightInd w:val="0"/>
        <w:ind w:left="360" w:firstLine="720"/>
        <w:rPr>
          <w:rFonts w:ascii="Arial" w:hAnsi="Arial" w:cs="Arial"/>
          <w:sz w:val="22"/>
          <w:szCs w:val="22"/>
        </w:rPr>
      </w:pPr>
      <w:r w:rsidRPr="00512725">
        <w:rPr>
          <w:rFonts w:ascii="Arial" w:hAnsi="Arial" w:cs="Arial"/>
          <w:sz w:val="22"/>
          <w:szCs w:val="22"/>
        </w:rPr>
        <w:t>in the Handbook and therefore should be accepted.</w:t>
      </w:r>
    </w:p>
    <w:p w:rsidR="00154AE8" w:rsidRPr="00512725" w:rsidRDefault="00154AE8" w:rsidP="00154AE8">
      <w:pPr>
        <w:autoSpaceDE w:val="0"/>
        <w:autoSpaceDN w:val="0"/>
        <w:adjustRightInd w:val="0"/>
        <w:ind w:left="720" w:firstLine="720"/>
        <w:rPr>
          <w:rFonts w:ascii="Arial" w:hAnsi="Arial" w:cs="Arial"/>
          <w:sz w:val="22"/>
          <w:szCs w:val="22"/>
        </w:rPr>
      </w:pPr>
    </w:p>
    <w:p w:rsidR="00511932" w:rsidRDefault="00154AE8" w:rsidP="00154AE8">
      <w:pPr>
        <w:autoSpaceDE w:val="0"/>
        <w:autoSpaceDN w:val="0"/>
        <w:adjustRightInd w:val="0"/>
        <w:ind w:left="1440"/>
        <w:rPr>
          <w:rFonts w:ascii="Arial" w:hAnsi="Arial" w:cs="Arial"/>
          <w:b/>
          <w:i/>
          <w:sz w:val="22"/>
          <w:szCs w:val="22"/>
        </w:rPr>
      </w:pPr>
      <w:r w:rsidRPr="00BC4D80">
        <w:rPr>
          <w:rFonts w:ascii="Arial" w:hAnsi="Arial" w:cs="Arial"/>
          <w:b/>
          <w:i/>
          <w:sz w:val="22"/>
          <w:szCs w:val="22"/>
        </w:rPr>
        <w:t>Comment</w:t>
      </w:r>
      <w:r w:rsidR="003D20B5" w:rsidRPr="00BC4D80">
        <w:rPr>
          <w:rFonts w:ascii="Arial" w:hAnsi="Arial" w:cs="Arial"/>
          <w:b/>
          <w:i/>
          <w:sz w:val="22"/>
          <w:szCs w:val="22"/>
        </w:rPr>
        <w:t>: T</w:t>
      </w:r>
      <w:r w:rsidRPr="00BC4D80">
        <w:rPr>
          <w:rFonts w:ascii="Arial" w:hAnsi="Arial" w:cs="Arial"/>
          <w:b/>
          <w:i/>
          <w:sz w:val="22"/>
          <w:szCs w:val="22"/>
        </w:rPr>
        <w:t xml:space="preserve">his ignores that </w:t>
      </w:r>
      <w:r w:rsidR="00511932">
        <w:rPr>
          <w:rFonts w:ascii="Arial" w:hAnsi="Arial" w:cs="Arial"/>
          <w:b/>
          <w:i/>
          <w:sz w:val="22"/>
          <w:szCs w:val="22"/>
        </w:rPr>
        <w:t>the deferral period commence when the COS rate application is Filed.</w:t>
      </w:r>
    </w:p>
    <w:p w:rsidR="00106E84" w:rsidRDefault="00106E84" w:rsidP="00154AE8">
      <w:pPr>
        <w:autoSpaceDE w:val="0"/>
        <w:autoSpaceDN w:val="0"/>
        <w:adjustRightInd w:val="0"/>
        <w:ind w:left="1440"/>
        <w:rPr>
          <w:rFonts w:ascii="Arial" w:hAnsi="Arial" w:cs="Arial"/>
          <w:b/>
          <w:i/>
          <w:sz w:val="22"/>
          <w:szCs w:val="22"/>
        </w:rPr>
      </w:pPr>
    </w:p>
    <w:p w:rsidR="00154AE8" w:rsidRPr="00BC4D80" w:rsidRDefault="00511932" w:rsidP="00154AE8">
      <w:pPr>
        <w:autoSpaceDE w:val="0"/>
        <w:autoSpaceDN w:val="0"/>
        <w:adjustRightInd w:val="0"/>
        <w:ind w:left="1440"/>
        <w:rPr>
          <w:rFonts w:ascii="Arial" w:hAnsi="Arial" w:cs="Arial"/>
          <w:b/>
          <w:i/>
          <w:sz w:val="22"/>
          <w:szCs w:val="22"/>
        </w:rPr>
      </w:pPr>
      <w:r>
        <w:rPr>
          <w:rFonts w:ascii="Arial" w:hAnsi="Arial" w:cs="Arial"/>
          <w:b/>
          <w:i/>
          <w:sz w:val="22"/>
          <w:szCs w:val="22"/>
        </w:rPr>
        <w:t xml:space="preserve">It also ignores that </w:t>
      </w:r>
      <w:r w:rsidR="00154AE8" w:rsidRPr="00BC4D80">
        <w:rPr>
          <w:rFonts w:ascii="Arial" w:hAnsi="Arial" w:cs="Arial"/>
          <w:b/>
          <w:i/>
          <w:sz w:val="22"/>
          <w:szCs w:val="22"/>
        </w:rPr>
        <w:t xml:space="preserve">the Rate-Setting </w:t>
      </w:r>
      <w:r w:rsidR="003D20B5" w:rsidRPr="00BC4D80">
        <w:rPr>
          <w:rFonts w:ascii="Arial" w:hAnsi="Arial" w:cs="Arial"/>
          <w:b/>
          <w:i/>
          <w:sz w:val="22"/>
          <w:szCs w:val="22"/>
        </w:rPr>
        <w:t xml:space="preserve">Methodology and </w:t>
      </w:r>
      <w:r w:rsidR="00210B72">
        <w:rPr>
          <w:rFonts w:ascii="Arial" w:hAnsi="Arial" w:cs="Arial"/>
          <w:b/>
          <w:i/>
          <w:sz w:val="22"/>
          <w:szCs w:val="22"/>
        </w:rPr>
        <w:t>R</w:t>
      </w:r>
      <w:r w:rsidR="00795467">
        <w:rPr>
          <w:rFonts w:ascii="Arial" w:hAnsi="Arial" w:cs="Arial"/>
          <w:b/>
          <w:i/>
          <w:sz w:val="22"/>
          <w:szCs w:val="22"/>
        </w:rPr>
        <w:t xml:space="preserve">ebasing </w:t>
      </w:r>
      <w:r w:rsidR="00154AE8" w:rsidRPr="00BC4D80">
        <w:rPr>
          <w:rFonts w:ascii="Arial" w:hAnsi="Arial" w:cs="Arial"/>
          <w:b/>
          <w:i/>
          <w:sz w:val="22"/>
          <w:szCs w:val="22"/>
        </w:rPr>
        <w:t xml:space="preserve">Periods do not confirm to the </w:t>
      </w:r>
      <w:r w:rsidR="005934D6">
        <w:rPr>
          <w:rFonts w:ascii="Arial" w:hAnsi="Arial" w:cs="Arial"/>
          <w:b/>
          <w:i/>
          <w:sz w:val="22"/>
          <w:szCs w:val="22"/>
        </w:rPr>
        <w:t xml:space="preserve">Handbook and </w:t>
      </w:r>
      <w:r w:rsidR="00154AE8" w:rsidRPr="00BC4D80">
        <w:rPr>
          <w:rFonts w:ascii="Arial" w:hAnsi="Arial" w:cs="Arial"/>
          <w:b/>
          <w:i/>
          <w:sz w:val="22"/>
          <w:szCs w:val="22"/>
        </w:rPr>
        <w:t>F</w:t>
      </w:r>
      <w:r w:rsidR="00795A12" w:rsidRPr="00BC4D80">
        <w:rPr>
          <w:rFonts w:ascii="Arial" w:hAnsi="Arial" w:cs="Arial"/>
          <w:b/>
          <w:i/>
          <w:sz w:val="22"/>
          <w:szCs w:val="22"/>
        </w:rPr>
        <w:t>i</w:t>
      </w:r>
      <w:r w:rsidR="00154AE8" w:rsidRPr="00BC4D80">
        <w:rPr>
          <w:rFonts w:ascii="Arial" w:hAnsi="Arial" w:cs="Arial"/>
          <w:b/>
          <w:i/>
          <w:sz w:val="22"/>
          <w:szCs w:val="22"/>
        </w:rPr>
        <w:t>ling Requiremen</w:t>
      </w:r>
      <w:r w:rsidR="002A1DF9">
        <w:rPr>
          <w:rFonts w:ascii="Arial" w:hAnsi="Arial" w:cs="Arial"/>
          <w:b/>
          <w:i/>
          <w:sz w:val="22"/>
          <w:szCs w:val="22"/>
        </w:rPr>
        <w:t>ts for Electricity Transmitters.</w:t>
      </w:r>
    </w:p>
    <w:p w:rsidR="00154AE8" w:rsidRPr="00512725" w:rsidRDefault="00154AE8" w:rsidP="00154AE8">
      <w:pPr>
        <w:autoSpaceDE w:val="0"/>
        <w:autoSpaceDN w:val="0"/>
        <w:adjustRightInd w:val="0"/>
        <w:ind w:left="720"/>
        <w:rPr>
          <w:rFonts w:ascii="Arial" w:eastAsia="SymbolMT" w:hAnsi="Arial" w:cs="Arial"/>
          <w:sz w:val="22"/>
          <w:szCs w:val="22"/>
        </w:rPr>
      </w:pPr>
    </w:p>
    <w:p w:rsidR="007577EC" w:rsidRPr="00D9351A" w:rsidRDefault="007577EC" w:rsidP="00D9351A">
      <w:pPr>
        <w:pStyle w:val="ListParagraph"/>
        <w:numPr>
          <w:ilvl w:val="0"/>
          <w:numId w:val="15"/>
        </w:numPr>
        <w:autoSpaceDE w:val="0"/>
        <w:autoSpaceDN w:val="0"/>
        <w:adjustRightInd w:val="0"/>
        <w:rPr>
          <w:rFonts w:ascii="Arial" w:hAnsi="Arial" w:cs="Arial"/>
          <w:sz w:val="22"/>
          <w:szCs w:val="22"/>
        </w:rPr>
      </w:pPr>
      <w:r w:rsidRPr="00D9351A">
        <w:rPr>
          <w:rFonts w:ascii="Arial" w:hAnsi="Arial" w:cs="Arial"/>
          <w:sz w:val="22"/>
          <w:szCs w:val="22"/>
        </w:rPr>
        <w:t>The proposed ESM is reasonable and should be accepted as it comports with the</w:t>
      </w:r>
    </w:p>
    <w:p w:rsidR="007577EC" w:rsidRPr="00512725" w:rsidRDefault="007577EC" w:rsidP="00D9351A">
      <w:pPr>
        <w:autoSpaceDE w:val="0"/>
        <w:autoSpaceDN w:val="0"/>
        <w:adjustRightInd w:val="0"/>
        <w:ind w:left="360" w:firstLine="720"/>
        <w:rPr>
          <w:rFonts w:ascii="Arial" w:hAnsi="Arial" w:cs="Arial"/>
          <w:sz w:val="22"/>
          <w:szCs w:val="22"/>
        </w:rPr>
      </w:pPr>
      <w:r w:rsidRPr="00512725">
        <w:rPr>
          <w:rFonts w:ascii="Arial" w:hAnsi="Arial" w:cs="Arial"/>
          <w:sz w:val="22"/>
          <w:szCs w:val="22"/>
        </w:rPr>
        <w:t>principles set out in the Handbook.</w:t>
      </w:r>
    </w:p>
    <w:p w:rsidR="003D20B5" w:rsidRPr="00512725" w:rsidRDefault="003D20B5" w:rsidP="003D20B5">
      <w:pPr>
        <w:autoSpaceDE w:val="0"/>
        <w:autoSpaceDN w:val="0"/>
        <w:adjustRightInd w:val="0"/>
        <w:ind w:left="1440"/>
        <w:rPr>
          <w:rFonts w:ascii="Arial" w:hAnsi="Arial" w:cs="Arial"/>
          <w:sz w:val="22"/>
          <w:szCs w:val="22"/>
        </w:rPr>
      </w:pPr>
    </w:p>
    <w:p w:rsidR="00154AE8" w:rsidRPr="00512725" w:rsidRDefault="00154AE8" w:rsidP="003D20B5">
      <w:pPr>
        <w:autoSpaceDE w:val="0"/>
        <w:autoSpaceDN w:val="0"/>
        <w:adjustRightInd w:val="0"/>
        <w:ind w:left="1440"/>
        <w:rPr>
          <w:rFonts w:ascii="Arial" w:hAnsi="Arial" w:cs="Arial"/>
          <w:b/>
          <w:i/>
          <w:sz w:val="22"/>
          <w:szCs w:val="22"/>
        </w:rPr>
      </w:pPr>
      <w:r w:rsidRPr="00512725">
        <w:rPr>
          <w:rFonts w:ascii="Arial" w:hAnsi="Arial" w:cs="Arial"/>
          <w:b/>
          <w:i/>
          <w:sz w:val="22"/>
          <w:szCs w:val="22"/>
        </w:rPr>
        <w:t>Comment</w:t>
      </w:r>
      <w:r w:rsidR="00795467">
        <w:rPr>
          <w:rFonts w:ascii="Arial" w:hAnsi="Arial" w:cs="Arial"/>
          <w:b/>
          <w:i/>
          <w:sz w:val="22"/>
          <w:szCs w:val="22"/>
        </w:rPr>
        <w:t>:</w:t>
      </w:r>
      <w:r w:rsidRPr="00512725">
        <w:rPr>
          <w:rFonts w:ascii="Arial" w:hAnsi="Arial" w:cs="Arial"/>
          <w:b/>
          <w:i/>
          <w:sz w:val="22"/>
          <w:szCs w:val="22"/>
        </w:rPr>
        <w:t xml:space="preserve"> th</w:t>
      </w:r>
      <w:r w:rsidR="00795A12" w:rsidRPr="00512725">
        <w:rPr>
          <w:rFonts w:ascii="Arial" w:hAnsi="Arial" w:cs="Arial"/>
          <w:b/>
          <w:i/>
          <w:sz w:val="22"/>
          <w:szCs w:val="22"/>
        </w:rPr>
        <w:t xml:space="preserve">e proposal to </w:t>
      </w:r>
      <w:r w:rsidRPr="00512725">
        <w:rPr>
          <w:rFonts w:ascii="Arial" w:hAnsi="Arial" w:cs="Arial"/>
          <w:b/>
          <w:i/>
          <w:sz w:val="22"/>
          <w:szCs w:val="22"/>
        </w:rPr>
        <w:t>delay</w:t>
      </w:r>
      <w:r w:rsidR="00795A12" w:rsidRPr="00512725">
        <w:rPr>
          <w:rFonts w:ascii="Arial" w:hAnsi="Arial" w:cs="Arial"/>
          <w:b/>
          <w:i/>
          <w:sz w:val="22"/>
          <w:szCs w:val="22"/>
        </w:rPr>
        <w:t xml:space="preserve"> the</w:t>
      </w:r>
      <w:r w:rsidRPr="00512725">
        <w:rPr>
          <w:rFonts w:ascii="Arial" w:hAnsi="Arial" w:cs="Arial"/>
          <w:b/>
          <w:i/>
          <w:sz w:val="22"/>
          <w:szCs w:val="22"/>
        </w:rPr>
        <w:t xml:space="preserve"> ESM is not in conformity either with </w:t>
      </w:r>
      <w:r w:rsidR="00D9351A">
        <w:rPr>
          <w:rFonts w:ascii="Arial" w:hAnsi="Arial" w:cs="Arial"/>
          <w:b/>
          <w:i/>
          <w:sz w:val="22"/>
          <w:szCs w:val="22"/>
        </w:rPr>
        <w:t>the</w:t>
      </w:r>
      <w:r w:rsidRPr="00512725">
        <w:rPr>
          <w:rFonts w:ascii="Arial" w:hAnsi="Arial" w:cs="Arial"/>
          <w:b/>
          <w:i/>
          <w:sz w:val="22"/>
          <w:szCs w:val="22"/>
        </w:rPr>
        <w:t xml:space="preserve"> </w:t>
      </w:r>
      <w:r w:rsidR="005934D6">
        <w:rPr>
          <w:rFonts w:ascii="Arial" w:hAnsi="Arial" w:cs="Arial"/>
          <w:b/>
          <w:i/>
          <w:sz w:val="22"/>
          <w:szCs w:val="22"/>
        </w:rPr>
        <w:t xml:space="preserve">rebasing </w:t>
      </w:r>
      <w:r w:rsidRPr="00512725">
        <w:rPr>
          <w:rFonts w:ascii="Arial" w:hAnsi="Arial" w:cs="Arial"/>
          <w:b/>
          <w:i/>
          <w:sz w:val="22"/>
          <w:szCs w:val="22"/>
        </w:rPr>
        <w:t xml:space="preserve">term or the </w:t>
      </w:r>
      <w:r w:rsidR="00106E84">
        <w:rPr>
          <w:rFonts w:ascii="Arial" w:hAnsi="Arial" w:cs="Arial"/>
          <w:b/>
          <w:i/>
          <w:sz w:val="22"/>
          <w:szCs w:val="22"/>
        </w:rPr>
        <w:t xml:space="preserve">proposal for the </w:t>
      </w:r>
      <w:r w:rsidRPr="00512725">
        <w:rPr>
          <w:rFonts w:ascii="Arial" w:hAnsi="Arial" w:cs="Arial"/>
          <w:b/>
          <w:i/>
          <w:sz w:val="22"/>
          <w:szCs w:val="22"/>
        </w:rPr>
        <w:t xml:space="preserve">GLPT </w:t>
      </w:r>
      <w:r w:rsidR="007725C4">
        <w:rPr>
          <w:rFonts w:ascii="Arial" w:hAnsi="Arial" w:cs="Arial"/>
          <w:b/>
          <w:i/>
          <w:sz w:val="22"/>
          <w:szCs w:val="22"/>
        </w:rPr>
        <w:t>R</w:t>
      </w:r>
      <w:r w:rsidRPr="00512725">
        <w:rPr>
          <w:rFonts w:ascii="Arial" w:hAnsi="Arial" w:cs="Arial"/>
          <w:b/>
          <w:i/>
          <w:sz w:val="22"/>
          <w:szCs w:val="22"/>
        </w:rPr>
        <w:t xml:space="preserve">evenue </w:t>
      </w:r>
      <w:r w:rsidR="007725C4">
        <w:rPr>
          <w:rFonts w:ascii="Arial" w:hAnsi="Arial" w:cs="Arial"/>
          <w:b/>
          <w:i/>
          <w:sz w:val="22"/>
          <w:szCs w:val="22"/>
        </w:rPr>
        <w:t>R</w:t>
      </w:r>
      <w:r w:rsidRPr="00512725">
        <w:rPr>
          <w:rFonts w:ascii="Arial" w:hAnsi="Arial" w:cs="Arial"/>
          <w:b/>
          <w:i/>
          <w:sz w:val="22"/>
          <w:szCs w:val="22"/>
        </w:rPr>
        <w:t xml:space="preserve">equirement </w:t>
      </w:r>
      <w:r w:rsidR="007725C4">
        <w:rPr>
          <w:rFonts w:ascii="Arial" w:hAnsi="Arial" w:cs="Arial"/>
          <w:b/>
          <w:i/>
          <w:sz w:val="22"/>
          <w:szCs w:val="22"/>
        </w:rPr>
        <w:t xml:space="preserve">to be </w:t>
      </w:r>
      <w:r w:rsidRPr="00512725">
        <w:rPr>
          <w:rFonts w:ascii="Arial" w:hAnsi="Arial" w:cs="Arial"/>
          <w:b/>
          <w:i/>
          <w:sz w:val="22"/>
          <w:szCs w:val="22"/>
        </w:rPr>
        <w:t>indexed at inflation without any productivity or stretch factor.</w:t>
      </w:r>
    </w:p>
    <w:p w:rsidR="003D20B5" w:rsidRPr="00512725" w:rsidRDefault="003D20B5" w:rsidP="003D20B5">
      <w:pPr>
        <w:autoSpaceDE w:val="0"/>
        <w:autoSpaceDN w:val="0"/>
        <w:adjustRightInd w:val="0"/>
        <w:ind w:left="1440"/>
        <w:rPr>
          <w:rFonts w:ascii="Arial" w:hAnsi="Arial" w:cs="Arial"/>
          <w:b/>
          <w:i/>
          <w:sz w:val="22"/>
          <w:szCs w:val="22"/>
        </w:rPr>
      </w:pPr>
    </w:p>
    <w:p w:rsidR="007577EC" w:rsidRPr="00D9351A" w:rsidRDefault="007577EC" w:rsidP="00D9351A">
      <w:pPr>
        <w:pStyle w:val="ListParagraph"/>
        <w:numPr>
          <w:ilvl w:val="0"/>
          <w:numId w:val="15"/>
        </w:numPr>
        <w:autoSpaceDE w:val="0"/>
        <w:autoSpaceDN w:val="0"/>
        <w:adjustRightInd w:val="0"/>
        <w:rPr>
          <w:rFonts w:ascii="Arial" w:hAnsi="Arial" w:cs="Arial"/>
          <w:sz w:val="22"/>
          <w:szCs w:val="22"/>
        </w:rPr>
      </w:pPr>
      <w:r w:rsidRPr="00D9351A">
        <w:rPr>
          <w:rFonts w:ascii="Arial" w:hAnsi="Arial" w:cs="Arial"/>
          <w:sz w:val="22"/>
          <w:szCs w:val="22"/>
        </w:rPr>
        <w:t>The proposed methodology to calculate GLPT’s 2019-2026 revenue requirement</w:t>
      </w:r>
    </w:p>
    <w:p w:rsidR="003D20B5" w:rsidRPr="00512725" w:rsidRDefault="007577EC" w:rsidP="00D9351A">
      <w:pPr>
        <w:autoSpaceDE w:val="0"/>
        <w:autoSpaceDN w:val="0"/>
        <w:adjustRightInd w:val="0"/>
        <w:ind w:left="1080"/>
        <w:rPr>
          <w:rFonts w:ascii="Arial" w:hAnsi="Arial" w:cs="Arial"/>
          <w:b/>
          <w:bCs/>
        </w:rPr>
      </w:pPr>
      <w:r w:rsidRPr="00512725">
        <w:rPr>
          <w:rFonts w:ascii="Arial" w:hAnsi="Arial" w:cs="Arial"/>
          <w:sz w:val="22"/>
          <w:szCs w:val="22"/>
        </w:rPr>
        <w:t>during the deferral rebasing period should be accepted as it accords with the principles</w:t>
      </w:r>
      <w:r w:rsidR="003D20B5" w:rsidRPr="00512725">
        <w:rPr>
          <w:rFonts w:ascii="Arial" w:hAnsi="Arial" w:cs="Arial"/>
          <w:sz w:val="22"/>
          <w:szCs w:val="22"/>
        </w:rPr>
        <w:t xml:space="preserve"> </w:t>
      </w:r>
      <w:r w:rsidRPr="00512725">
        <w:rPr>
          <w:rFonts w:ascii="Arial" w:hAnsi="Arial" w:cs="Arial"/>
          <w:sz w:val="22"/>
          <w:szCs w:val="22"/>
        </w:rPr>
        <w:t>set out in the Handbook and provides a pract</w:t>
      </w:r>
      <w:r w:rsidR="003D20B5" w:rsidRPr="00512725">
        <w:rPr>
          <w:rFonts w:ascii="Arial" w:hAnsi="Arial" w:cs="Arial"/>
          <w:sz w:val="22"/>
          <w:szCs w:val="22"/>
        </w:rPr>
        <w:t xml:space="preserve">ical way of balancing the unique </w:t>
      </w:r>
      <w:r w:rsidRPr="00512725">
        <w:rPr>
          <w:rFonts w:ascii="Arial" w:hAnsi="Arial" w:cs="Arial"/>
          <w:sz w:val="22"/>
          <w:szCs w:val="22"/>
        </w:rPr>
        <w:t>circumstances and interests involved in this transaction.</w:t>
      </w:r>
      <w:bookmarkStart w:id="0" w:name="_GoBack"/>
      <w:bookmarkEnd w:id="0"/>
      <w:r w:rsidRPr="00512725">
        <w:rPr>
          <w:rFonts w:ascii="Arial" w:hAnsi="Arial" w:cs="Arial"/>
          <w:b/>
          <w:bCs/>
        </w:rPr>
        <w:t xml:space="preserve"> </w:t>
      </w:r>
    </w:p>
    <w:p w:rsidR="003D20B5" w:rsidRPr="00512725" w:rsidRDefault="003D20B5" w:rsidP="003D20B5">
      <w:pPr>
        <w:autoSpaceDE w:val="0"/>
        <w:autoSpaceDN w:val="0"/>
        <w:adjustRightInd w:val="0"/>
        <w:ind w:left="1440"/>
        <w:rPr>
          <w:rFonts w:ascii="Arial" w:hAnsi="Arial" w:cs="Arial"/>
          <w:b/>
          <w:bCs/>
        </w:rPr>
      </w:pPr>
    </w:p>
    <w:p w:rsidR="00BC4D80" w:rsidRDefault="003D20B5" w:rsidP="00930CA4">
      <w:pPr>
        <w:autoSpaceDE w:val="0"/>
        <w:autoSpaceDN w:val="0"/>
        <w:adjustRightInd w:val="0"/>
        <w:ind w:left="1440"/>
        <w:rPr>
          <w:rFonts w:ascii="Arial" w:hAnsi="Arial" w:cs="Arial"/>
          <w:b/>
          <w:bCs/>
          <w:i/>
          <w:sz w:val="22"/>
          <w:szCs w:val="22"/>
        </w:rPr>
      </w:pPr>
      <w:r w:rsidRPr="00512725">
        <w:rPr>
          <w:rFonts w:ascii="Arial" w:hAnsi="Arial" w:cs="Arial"/>
          <w:b/>
          <w:bCs/>
          <w:i/>
          <w:sz w:val="22"/>
          <w:szCs w:val="22"/>
        </w:rPr>
        <w:t>Comment: Hydro One is requesting that the Bo</w:t>
      </w:r>
      <w:r w:rsidR="00795467">
        <w:rPr>
          <w:rFonts w:ascii="Arial" w:hAnsi="Arial" w:cs="Arial"/>
          <w:b/>
          <w:bCs/>
          <w:i/>
          <w:sz w:val="22"/>
          <w:szCs w:val="22"/>
        </w:rPr>
        <w:t>a</w:t>
      </w:r>
      <w:r w:rsidRPr="00512725">
        <w:rPr>
          <w:rFonts w:ascii="Arial" w:hAnsi="Arial" w:cs="Arial"/>
          <w:b/>
          <w:bCs/>
          <w:i/>
          <w:sz w:val="22"/>
          <w:szCs w:val="22"/>
        </w:rPr>
        <w:t xml:space="preserve">rd accept the unique circumstances related to this </w:t>
      </w:r>
      <w:r w:rsidR="00A86579">
        <w:rPr>
          <w:rFonts w:ascii="Arial" w:hAnsi="Arial" w:cs="Arial"/>
          <w:b/>
          <w:bCs/>
          <w:i/>
          <w:sz w:val="22"/>
          <w:szCs w:val="22"/>
        </w:rPr>
        <w:t>C</w:t>
      </w:r>
      <w:r w:rsidRPr="00512725">
        <w:rPr>
          <w:rFonts w:ascii="Arial" w:hAnsi="Arial" w:cs="Arial"/>
          <w:b/>
          <w:bCs/>
          <w:i/>
          <w:sz w:val="22"/>
          <w:szCs w:val="22"/>
        </w:rPr>
        <w:t xml:space="preserve">onsolidation. We are concerned about </w:t>
      </w:r>
      <w:r w:rsidR="00A86579">
        <w:rPr>
          <w:rFonts w:ascii="Arial" w:hAnsi="Arial" w:cs="Arial"/>
          <w:b/>
          <w:bCs/>
          <w:i/>
          <w:sz w:val="22"/>
          <w:szCs w:val="22"/>
        </w:rPr>
        <w:t xml:space="preserve">the proposal and </w:t>
      </w:r>
      <w:r w:rsidRPr="00512725">
        <w:rPr>
          <w:rFonts w:ascii="Arial" w:hAnsi="Arial" w:cs="Arial"/>
          <w:b/>
          <w:bCs/>
          <w:i/>
          <w:sz w:val="22"/>
          <w:szCs w:val="22"/>
        </w:rPr>
        <w:t>the message this sends for other potential consolidations in both the Electricity Transmission and Distribution Sectors</w:t>
      </w:r>
      <w:r w:rsidR="00BC4D80">
        <w:rPr>
          <w:rFonts w:ascii="Arial" w:hAnsi="Arial" w:cs="Arial"/>
          <w:b/>
          <w:bCs/>
          <w:i/>
          <w:sz w:val="22"/>
          <w:szCs w:val="22"/>
        </w:rPr>
        <w:t>.</w:t>
      </w:r>
    </w:p>
    <w:p w:rsidR="00C04112" w:rsidRDefault="00C04112" w:rsidP="00930CA4">
      <w:pPr>
        <w:autoSpaceDE w:val="0"/>
        <w:autoSpaceDN w:val="0"/>
        <w:adjustRightInd w:val="0"/>
        <w:ind w:left="1440"/>
        <w:rPr>
          <w:rFonts w:ascii="Arial" w:hAnsi="Arial" w:cs="Arial"/>
          <w:b/>
          <w:bCs/>
          <w:i/>
          <w:sz w:val="22"/>
          <w:szCs w:val="22"/>
        </w:rPr>
      </w:pPr>
    </w:p>
    <w:p w:rsidR="00795467" w:rsidRDefault="00795467" w:rsidP="00930CA4">
      <w:pPr>
        <w:autoSpaceDE w:val="0"/>
        <w:autoSpaceDN w:val="0"/>
        <w:adjustRightInd w:val="0"/>
        <w:ind w:left="1440"/>
        <w:rPr>
          <w:rFonts w:ascii="Arial" w:hAnsi="Arial" w:cs="Arial"/>
          <w:b/>
          <w:bCs/>
          <w:i/>
          <w:sz w:val="22"/>
          <w:szCs w:val="22"/>
        </w:rPr>
      </w:pPr>
    </w:p>
    <w:p w:rsidR="00883E4A" w:rsidRDefault="00883E4A">
      <w:pPr>
        <w:spacing w:after="200" w:line="276" w:lineRule="auto"/>
        <w:rPr>
          <w:rFonts w:ascii="Arial" w:hAnsi="Arial" w:cs="Arial"/>
          <w:b/>
          <w:bCs/>
          <w:i/>
          <w:u w:val="single"/>
        </w:rPr>
      </w:pPr>
      <w:r>
        <w:rPr>
          <w:rFonts w:ascii="Arial" w:hAnsi="Arial" w:cs="Arial"/>
          <w:b/>
          <w:bCs/>
          <w:i/>
          <w:u w:val="single"/>
        </w:rPr>
        <w:br w:type="page"/>
      </w:r>
    </w:p>
    <w:p w:rsidR="00EA4DBC" w:rsidRPr="00301512" w:rsidRDefault="00EA4DBC" w:rsidP="00301512">
      <w:pPr>
        <w:pStyle w:val="ListParagraph"/>
        <w:numPr>
          <w:ilvl w:val="0"/>
          <w:numId w:val="7"/>
        </w:numPr>
        <w:spacing w:after="200" w:line="276" w:lineRule="auto"/>
        <w:rPr>
          <w:rFonts w:ascii="Arial" w:hAnsi="Arial" w:cs="Arial"/>
          <w:b/>
          <w:bCs/>
          <w:i/>
          <w:u w:val="single"/>
        </w:rPr>
      </w:pPr>
      <w:r w:rsidRPr="00301512">
        <w:rPr>
          <w:rFonts w:ascii="Arial" w:hAnsi="Arial" w:cs="Arial"/>
          <w:b/>
          <w:bCs/>
          <w:i/>
          <w:u w:val="single"/>
        </w:rPr>
        <w:lastRenderedPageBreak/>
        <w:t>Conclusions and Recommendations</w:t>
      </w:r>
    </w:p>
    <w:p w:rsidR="00EA4DBC" w:rsidRPr="00512725" w:rsidRDefault="00EA4DBC" w:rsidP="00EA4DBC">
      <w:pPr>
        <w:spacing w:after="200" w:line="276" w:lineRule="auto"/>
        <w:rPr>
          <w:rFonts w:ascii="Arial" w:hAnsi="Arial" w:cs="Arial"/>
          <w:b/>
          <w:bCs/>
          <w:i/>
        </w:rPr>
      </w:pPr>
      <w:r w:rsidRPr="00512725">
        <w:rPr>
          <w:rFonts w:ascii="Arial" w:hAnsi="Arial" w:cs="Arial"/>
          <w:b/>
          <w:bCs/>
          <w:i/>
        </w:rPr>
        <w:t>In principle, Consolidation among Electricity Transmitters is a reasonable goal, in order to improve the reliability and costs of transmission in Ontario. Accordingly, Energy Probe supports this goal.</w:t>
      </w:r>
    </w:p>
    <w:p w:rsidR="00EA4DBC" w:rsidRPr="00512725" w:rsidRDefault="00EA4DBC" w:rsidP="00EA4DBC">
      <w:pPr>
        <w:spacing w:after="200" w:line="276" w:lineRule="auto"/>
        <w:rPr>
          <w:rFonts w:ascii="Arial" w:hAnsi="Arial" w:cs="Arial"/>
          <w:b/>
          <w:bCs/>
          <w:i/>
        </w:rPr>
      </w:pPr>
      <w:r w:rsidRPr="00512725">
        <w:rPr>
          <w:rFonts w:ascii="Arial" w:hAnsi="Arial" w:cs="Arial"/>
          <w:b/>
          <w:bCs/>
          <w:i/>
          <w:u w:val="single"/>
        </w:rPr>
        <w:t>If</w:t>
      </w:r>
      <w:r w:rsidRPr="00512725">
        <w:rPr>
          <w:rFonts w:ascii="Arial" w:hAnsi="Arial" w:cs="Arial"/>
          <w:b/>
          <w:bCs/>
          <w:i/>
        </w:rPr>
        <w:t xml:space="preserve"> the claims of Hydro One are realized, this </w:t>
      </w:r>
      <w:r>
        <w:rPr>
          <w:rFonts w:ascii="Arial" w:hAnsi="Arial" w:cs="Arial"/>
          <w:b/>
          <w:bCs/>
          <w:i/>
        </w:rPr>
        <w:t>p</w:t>
      </w:r>
      <w:r w:rsidRPr="00512725">
        <w:rPr>
          <w:rFonts w:ascii="Arial" w:hAnsi="Arial" w:cs="Arial"/>
          <w:b/>
          <w:bCs/>
          <w:i/>
        </w:rPr>
        <w:t xml:space="preserve">roposed Consolidation of Hydro One and GLPT should lead to improved reliability and lower unit costs </w:t>
      </w:r>
      <w:r w:rsidR="00795467">
        <w:rPr>
          <w:rFonts w:ascii="Arial" w:hAnsi="Arial" w:cs="Arial"/>
          <w:b/>
          <w:bCs/>
          <w:i/>
        </w:rPr>
        <w:t>(</w:t>
      </w:r>
      <w:r w:rsidRPr="00512725">
        <w:rPr>
          <w:rFonts w:ascii="Arial" w:hAnsi="Arial" w:cs="Arial"/>
          <w:b/>
          <w:bCs/>
          <w:i/>
        </w:rPr>
        <w:t>$/TWH</w:t>
      </w:r>
      <w:r w:rsidR="00795467">
        <w:rPr>
          <w:rFonts w:ascii="Arial" w:hAnsi="Arial" w:cs="Arial"/>
          <w:b/>
          <w:bCs/>
          <w:i/>
        </w:rPr>
        <w:t>)</w:t>
      </w:r>
      <w:r w:rsidRPr="00512725">
        <w:rPr>
          <w:rFonts w:ascii="Arial" w:hAnsi="Arial" w:cs="Arial"/>
          <w:b/>
          <w:bCs/>
          <w:i/>
        </w:rPr>
        <w:t xml:space="preserve"> on the GLPT System. </w:t>
      </w:r>
    </w:p>
    <w:p w:rsidR="00EA4DBC" w:rsidRPr="00512725" w:rsidRDefault="00EA4DBC" w:rsidP="00EA4DBC">
      <w:pPr>
        <w:spacing w:after="200" w:line="276" w:lineRule="auto"/>
        <w:rPr>
          <w:rFonts w:ascii="Arial" w:hAnsi="Arial" w:cs="Arial"/>
          <w:b/>
          <w:bCs/>
          <w:i/>
        </w:rPr>
      </w:pPr>
      <w:r w:rsidRPr="00512725">
        <w:rPr>
          <w:rFonts w:ascii="Arial" w:hAnsi="Arial" w:cs="Arial"/>
          <w:b/>
          <w:bCs/>
          <w:i/>
        </w:rPr>
        <w:t xml:space="preserve">While the costs of the Hydro One GLPT transaction will not be </w:t>
      </w:r>
      <w:r w:rsidR="00795467">
        <w:rPr>
          <w:rFonts w:ascii="Arial" w:hAnsi="Arial" w:cs="Arial"/>
          <w:b/>
          <w:bCs/>
          <w:i/>
        </w:rPr>
        <w:t xml:space="preserve">directly </w:t>
      </w:r>
      <w:r w:rsidRPr="00512725">
        <w:rPr>
          <w:rFonts w:ascii="Arial" w:hAnsi="Arial" w:cs="Arial"/>
          <w:b/>
          <w:bCs/>
          <w:i/>
        </w:rPr>
        <w:t>recovered from ratepayers we are concerned that</w:t>
      </w:r>
    </w:p>
    <w:p w:rsidR="00EA4DBC" w:rsidRPr="00512725" w:rsidRDefault="002A1DF9" w:rsidP="00EA4DBC">
      <w:pPr>
        <w:pStyle w:val="ListParagraph"/>
        <w:numPr>
          <w:ilvl w:val="0"/>
          <w:numId w:val="9"/>
        </w:numPr>
        <w:spacing w:after="200" w:line="276" w:lineRule="auto"/>
        <w:rPr>
          <w:rFonts w:ascii="Arial" w:hAnsi="Arial" w:cs="Arial"/>
          <w:b/>
          <w:bCs/>
          <w:i/>
        </w:rPr>
      </w:pPr>
      <w:r>
        <w:rPr>
          <w:rFonts w:ascii="Arial" w:hAnsi="Arial" w:cs="Arial"/>
          <w:b/>
          <w:bCs/>
          <w:i/>
        </w:rPr>
        <w:t>the</w:t>
      </w:r>
      <w:r w:rsidR="00EA4DBC" w:rsidRPr="00512725">
        <w:rPr>
          <w:rFonts w:ascii="Arial" w:hAnsi="Arial" w:cs="Arial"/>
          <w:b/>
          <w:bCs/>
          <w:i/>
        </w:rPr>
        <w:t xml:space="preserve"> Application does not conform to the </w:t>
      </w:r>
      <w:r w:rsidR="00106E84">
        <w:rPr>
          <w:rFonts w:ascii="Arial" w:hAnsi="Arial" w:cs="Arial"/>
          <w:b/>
          <w:bCs/>
          <w:i/>
        </w:rPr>
        <w:t>Handbook for Consolidation and</w:t>
      </w:r>
      <w:r w:rsidR="00EA4DBC" w:rsidRPr="00512725">
        <w:rPr>
          <w:rFonts w:ascii="Arial" w:hAnsi="Arial" w:cs="Arial"/>
          <w:b/>
          <w:bCs/>
          <w:i/>
        </w:rPr>
        <w:t xml:space="preserve"> Transmission Filing Guidelines in respect of the rate-setting </w:t>
      </w:r>
      <w:r w:rsidR="00571EA4">
        <w:rPr>
          <w:rFonts w:ascii="Arial" w:hAnsi="Arial" w:cs="Arial"/>
          <w:b/>
          <w:bCs/>
          <w:i/>
        </w:rPr>
        <w:t>methodology</w:t>
      </w:r>
      <w:r w:rsidR="00EA4DBC" w:rsidRPr="00512725">
        <w:rPr>
          <w:rFonts w:ascii="Arial" w:hAnsi="Arial" w:cs="Arial"/>
          <w:b/>
          <w:bCs/>
          <w:i/>
        </w:rPr>
        <w:t xml:space="preserve"> and rebasing periods;</w:t>
      </w:r>
    </w:p>
    <w:p w:rsidR="00D3567E" w:rsidRPr="00D3567E" w:rsidRDefault="00EA4DBC" w:rsidP="00D3567E">
      <w:pPr>
        <w:pStyle w:val="ListParagraph"/>
        <w:numPr>
          <w:ilvl w:val="0"/>
          <w:numId w:val="9"/>
        </w:numPr>
        <w:autoSpaceDE w:val="0"/>
        <w:autoSpaceDN w:val="0"/>
        <w:adjustRightInd w:val="0"/>
        <w:rPr>
          <w:rFonts w:ascii="Arial" w:hAnsi="Arial" w:cs="Arial"/>
          <w:b/>
          <w:bCs/>
          <w:i/>
        </w:rPr>
      </w:pPr>
      <w:r w:rsidRPr="00D3567E">
        <w:rPr>
          <w:rFonts w:ascii="Arial" w:hAnsi="Arial" w:cs="Arial"/>
          <w:b/>
          <w:bCs/>
          <w:i/>
        </w:rPr>
        <w:t xml:space="preserve">this application coincides with a Cost of Service application for 2017/18  Rates by Hydro One that seeks </w:t>
      </w:r>
      <w:r w:rsidR="00D3567E" w:rsidRPr="00D3567E">
        <w:rPr>
          <w:rFonts w:ascii="Arial" w:hAnsi="Arial" w:cs="Arial"/>
          <w:b/>
          <w:bCs/>
          <w:i/>
        </w:rPr>
        <w:t xml:space="preserve">revenue requirements of </w:t>
      </w:r>
      <w:r w:rsidR="00D3567E" w:rsidRPr="00D3567E">
        <w:rPr>
          <w:rFonts w:ascii="Arial" w:hAnsi="Arial" w:cs="Arial"/>
          <w:b/>
        </w:rPr>
        <w:t>$1,619 million and $1,698</w:t>
      </w:r>
      <w:r w:rsidR="00D3567E" w:rsidRPr="00D3567E">
        <w:rPr>
          <w:rFonts w:ascii="Arial" w:hAnsi="Arial" w:cs="Arial"/>
          <w:b/>
          <w:sz w:val="16"/>
          <w:szCs w:val="16"/>
        </w:rPr>
        <w:t xml:space="preserve"> </w:t>
      </w:r>
      <w:r w:rsidR="00D3567E" w:rsidRPr="00D3567E">
        <w:rPr>
          <w:rFonts w:ascii="Arial" w:hAnsi="Arial" w:cs="Arial"/>
          <w:b/>
        </w:rPr>
        <w:t>million for the test years 2017 and 2018 resulting in rates increasing by 4.6% and 5.2% in each of the test years relative to 2016</w:t>
      </w:r>
      <w:r w:rsidR="002A1DF9">
        <w:rPr>
          <w:rFonts w:ascii="Arial" w:hAnsi="Arial" w:cs="Arial"/>
          <w:b/>
        </w:rPr>
        <w:t>.</w:t>
      </w:r>
      <w:r w:rsidRPr="00D3567E">
        <w:rPr>
          <w:rFonts w:ascii="Arial" w:hAnsi="Arial" w:cs="Arial"/>
          <w:b/>
          <w:bCs/>
          <w:i/>
        </w:rPr>
        <w:t xml:space="preserve"> </w:t>
      </w:r>
    </w:p>
    <w:p w:rsidR="00D3567E" w:rsidRPr="00D3567E" w:rsidRDefault="00D3567E" w:rsidP="00D3567E">
      <w:pPr>
        <w:pStyle w:val="ListParagraph"/>
        <w:autoSpaceDE w:val="0"/>
        <w:autoSpaceDN w:val="0"/>
        <w:adjustRightInd w:val="0"/>
        <w:ind w:left="778"/>
        <w:rPr>
          <w:rFonts w:ascii="Arial" w:hAnsi="Arial" w:cs="Arial"/>
          <w:b/>
          <w:bCs/>
          <w:i/>
        </w:rPr>
      </w:pPr>
    </w:p>
    <w:p w:rsidR="00D3567E" w:rsidRDefault="00EA4DBC" w:rsidP="00D3567E">
      <w:pPr>
        <w:autoSpaceDE w:val="0"/>
        <w:autoSpaceDN w:val="0"/>
        <w:adjustRightInd w:val="0"/>
        <w:rPr>
          <w:rFonts w:ascii="Arial" w:hAnsi="Arial" w:cs="Arial"/>
          <w:b/>
          <w:bCs/>
          <w:i/>
        </w:rPr>
      </w:pPr>
      <w:r w:rsidRPr="00D3567E">
        <w:rPr>
          <w:rFonts w:ascii="Arial" w:hAnsi="Arial" w:cs="Arial"/>
          <w:b/>
          <w:bCs/>
          <w:i/>
        </w:rPr>
        <w:t xml:space="preserve">The primary deviations from the </w:t>
      </w:r>
      <w:r w:rsidR="00106E84">
        <w:rPr>
          <w:rFonts w:ascii="Arial" w:hAnsi="Arial" w:cs="Arial"/>
          <w:b/>
          <w:bCs/>
          <w:i/>
        </w:rPr>
        <w:t xml:space="preserve">Handbook and Guidelines are </w:t>
      </w:r>
      <w:r w:rsidR="000033E0">
        <w:rPr>
          <w:rFonts w:ascii="Arial" w:hAnsi="Arial" w:cs="Arial"/>
          <w:b/>
          <w:bCs/>
          <w:i/>
        </w:rPr>
        <w:t xml:space="preserve">a </w:t>
      </w:r>
      <w:r w:rsidR="00106E84">
        <w:rPr>
          <w:rFonts w:ascii="Arial" w:hAnsi="Arial" w:cs="Arial"/>
          <w:b/>
          <w:bCs/>
          <w:i/>
        </w:rPr>
        <w:t xml:space="preserve">deferral period to commence following </w:t>
      </w:r>
      <w:r w:rsidRPr="00D3567E">
        <w:rPr>
          <w:rFonts w:ascii="Arial" w:hAnsi="Arial" w:cs="Arial"/>
          <w:b/>
          <w:bCs/>
          <w:i/>
        </w:rPr>
        <w:t>two year COS period</w:t>
      </w:r>
      <w:r w:rsidR="00956819">
        <w:rPr>
          <w:rFonts w:ascii="Arial" w:hAnsi="Arial" w:cs="Arial"/>
          <w:b/>
          <w:bCs/>
          <w:i/>
        </w:rPr>
        <w:t xml:space="preserve"> </w:t>
      </w:r>
      <w:r w:rsidR="000033E0">
        <w:rPr>
          <w:rFonts w:ascii="Arial" w:hAnsi="Arial" w:cs="Arial"/>
          <w:b/>
          <w:bCs/>
          <w:i/>
        </w:rPr>
        <w:t xml:space="preserve">application </w:t>
      </w:r>
      <w:r w:rsidR="00956819">
        <w:rPr>
          <w:rFonts w:ascii="Arial" w:hAnsi="Arial" w:cs="Arial"/>
          <w:b/>
          <w:bCs/>
          <w:i/>
        </w:rPr>
        <w:t>followed by</w:t>
      </w:r>
      <w:r w:rsidRPr="00D3567E">
        <w:rPr>
          <w:rFonts w:ascii="Arial" w:hAnsi="Arial" w:cs="Arial"/>
          <w:b/>
          <w:bCs/>
          <w:i/>
        </w:rPr>
        <w:t xml:space="preserve"> a rebasing period,</w:t>
      </w:r>
      <w:r w:rsidR="00106E84">
        <w:rPr>
          <w:rFonts w:ascii="Arial" w:hAnsi="Arial" w:cs="Arial"/>
          <w:b/>
          <w:bCs/>
          <w:i/>
        </w:rPr>
        <w:t xml:space="preserve"> during which GLPT rates will be</w:t>
      </w:r>
      <w:r w:rsidRPr="00D3567E">
        <w:rPr>
          <w:rFonts w:ascii="Arial" w:hAnsi="Arial" w:cs="Arial"/>
          <w:b/>
          <w:bCs/>
          <w:i/>
        </w:rPr>
        <w:t xml:space="preserve"> </w:t>
      </w:r>
      <w:r w:rsidR="00106E84">
        <w:rPr>
          <w:rFonts w:ascii="Arial" w:hAnsi="Arial" w:cs="Arial"/>
          <w:b/>
          <w:bCs/>
          <w:i/>
        </w:rPr>
        <w:t>indexed</w:t>
      </w:r>
      <w:r w:rsidR="00795467">
        <w:rPr>
          <w:rFonts w:ascii="Arial" w:hAnsi="Arial" w:cs="Arial"/>
          <w:b/>
          <w:bCs/>
          <w:i/>
        </w:rPr>
        <w:t xml:space="preserve"> at inflation without </w:t>
      </w:r>
      <w:r w:rsidRPr="00D3567E">
        <w:rPr>
          <w:rFonts w:ascii="Arial" w:hAnsi="Arial" w:cs="Arial"/>
          <w:b/>
          <w:bCs/>
          <w:i/>
        </w:rPr>
        <w:t>any productivity offset or stretch factor</w:t>
      </w:r>
      <w:r w:rsidR="00795467">
        <w:rPr>
          <w:rFonts w:ascii="Arial" w:hAnsi="Arial" w:cs="Arial"/>
          <w:b/>
          <w:bCs/>
          <w:i/>
        </w:rPr>
        <w:t>,</w:t>
      </w:r>
      <w:r w:rsidRPr="00D3567E">
        <w:rPr>
          <w:rFonts w:ascii="Arial" w:hAnsi="Arial" w:cs="Arial"/>
          <w:b/>
          <w:bCs/>
          <w:i/>
        </w:rPr>
        <w:t xml:space="preserve"> </w:t>
      </w:r>
      <w:r w:rsidR="00795467">
        <w:rPr>
          <w:rFonts w:ascii="Arial" w:hAnsi="Arial" w:cs="Arial"/>
          <w:b/>
          <w:bCs/>
          <w:i/>
        </w:rPr>
        <w:t>as well as a</w:t>
      </w:r>
      <w:r w:rsidRPr="00D3567E">
        <w:rPr>
          <w:rFonts w:ascii="Arial" w:hAnsi="Arial" w:cs="Arial"/>
          <w:b/>
          <w:bCs/>
          <w:i/>
        </w:rPr>
        <w:t xml:space="preserve"> deferred ESM.</w:t>
      </w:r>
    </w:p>
    <w:p w:rsidR="00EA4DBC" w:rsidRPr="00D3567E" w:rsidRDefault="00EA4DBC" w:rsidP="00D3567E">
      <w:pPr>
        <w:autoSpaceDE w:val="0"/>
        <w:autoSpaceDN w:val="0"/>
        <w:adjustRightInd w:val="0"/>
        <w:rPr>
          <w:rFonts w:ascii="Arial" w:hAnsi="Arial" w:cs="Arial"/>
          <w:b/>
          <w:bCs/>
          <w:i/>
        </w:rPr>
      </w:pPr>
      <w:r w:rsidRPr="00D3567E">
        <w:rPr>
          <w:rFonts w:ascii="Arial" w:hAnsi="Arial" w:cs="Arial"/>
          <w:b/>
          <w:bCs/>
          <w:i/>
        </w:rPr>
        <w:t xml:space="preserve"> </w:t>
      </w:r>
    </w:p>
    <w:p w:rsidR="00EA4DBC" w:rsidRPr="00512725" w:rsidRDefault="00EA4DBC" w:rsidP="00EA4DBC">
      <w:pPr>
        <w:spacing w:after="200" w:line="276" w:lineRule="auto"/>
        <w:rPr>
          <w:rFonts w:ascii="Arial" w:hAnsi="Arial" w:cs="Arial"/>
          <w:b/>
          <w:bCs/>
          <w:i/>
        </w:rPr>
      </w:pPr>
      <w:r w:rsidRPr="00512725">
        <w:rPr>
          <w:rFonts w:ascii="Arial" w:hAnsi="Arial" w:cs="Arial"/>
          <w:b/>
          <w:bCs/>
          <w:i/>
        </w:rPr>
        <w:t xml:space="preserve">This </w:t>
      </w:r>
      <w:r w:rsidR="00106E84">
        <w:rPr>
          <w:rFonts w:ascii="Arial" w:hAnsi="Arial" w:cs="Arial"/>
          <w:b/>
          <w:bCs/>
          <w:i/>
        </w:rPr>
        <w:t xml:space="preserve">methodology </w:t>
      </w:r>
      <w:r w:rsidRPr="00512725">
        <w:rPr>
          <w:rFonts w:ascii="Arial" w:hAnsi="Arial" w:cs="Arial"/>
          <w:b/>
          <w:bCs/>
          <w:i/>
        </w:rPr>
        <w:t xml:space="preserve">allows </w:t>
      </w:r>
      <w:r w:rsidR="007B765B">
        <w:rPr>
          <w:rFonts w:ascii="Arial" w:hAnsi="Arial" w:cs="Arial"/>
          <w:b/>
          <w:bCs/>
          <w:i/>
        </w:rPr>
        <w:t>Hydro One/</w:t>
      </w:r>
      <w:r w:rsidRPr="00512725">
        <w:rPr>
          <w:rFonts w:ascii="Arial" w:hAnsi="Arial" w:cs="Arial"/>
          <w:b/>
          <w:bCs/>
          <w:i/>
        </w:rPr>
        <w:t xml:space="preserve">GLPT to increase </w:t>
      </w:r>
      <w:r w:rsidR="00D3567E">
        <w:rPr>
          <w:rFonts w:ascii="Arial" w:hAnsi="Arial" w:cs="Arial"/>
          <w:b/>
          <w:bCs/>
          <w:i/>
        </w:rPr>
        <w:t xml:space="preserve">the revenue requirements </w:t>
      </w:r>
      <w:r w:rsidRPr="00512725">
        <w:rPr>
          <w:rFonts w:ascii="Arial" w:hAnsi="Arial" w:cs="Arial"/>
          <w:b/>
          <w:bCs/>
          <w:i/>
        </w:rPr>
        <w:t xml:space="preserve">at inflation from 2019 to 2026 and </w:t>
      </w:r>
      <w:r w:rsidR="00D3567E">
        <w:rPr>
          <w:rFonts w:ascii="Arial" w:hAnsi="Arial" w:cs="Arial"/>
          <w:b/>
          <w:bCs/>
          <w:i/>
        </w:rPr>
        <w:t xml:space="preserve">therefore </w:t>
      </w:r>
      <w:r w:rsidRPr="00512725">
        <w:rPr>
          <w:rFonts w:ascii="Arial" w:hAnsi="Arial" w:cs="Arial"/>
          <w:b/>
          <w:bCs/>
          <w:i/>
        </w:rPr>
        <w:t>allow</w:t>
      </w:r>
      <w:r w:rsidR="007B765B">
        <w:rPr>
          <w:rFonts w:ascii="Arial" w:hAnsi="Arial" w:cs="Arial"/>
          <w:b/>
          <w:bCs/>
          <w:i/>
        </w:rPr>
        <w:t>s</w:t>
      </w:r>
      <w:r w:rsidRPr="00512725">
        <w:rPr>
          <w:rFonts w:ascii="Arial" w:hAnsi="Arial" w:cs="Arial"/>
          <w:b/>
          <w:bCs/>
          <w:i/>
        </w:rPr>
        <w:t xml:space="preserve"> Hydro One to recover transactional costs without any ratepayer benefit from a productivity offset factor, while </w:t>
      </w:r>
      <w:r w:rsidR="007B765B">
        <w:rPr>
          <w:rFonts w:ascii="Arial" w:hAnsi="Arial" w:cs="Arial"/>
          <w:b/>
          <w:bCs/>
          <w:i/>
        </w:rPr>
        <w:t xml:space="preserve">at the same time </w:t>
      </w:r>
      <w:r w:rsidRPr="00512725">
        <w:rPr>
          <w:rFonts w:ascii="Arial" w:hAnsi="Arial" w:cs="Arial"/>
          <w:b/>
          <w:bCs/>
          <w:i/>
        </w:rPr>
        <w:t>retaining earnings up to 300 basis points ROE for several years.</w:t>
      </w:r>
    </w:p>
    <w:p w:rsidR="00EA4DBC" w:rsidRPr="00512725" w:rsidRDefault="00106E84" w:rsidP="00EA4DBC">
      <w:pPr>
        <w:spacing w:after="200" w:line="276" w:lineRule="auto"/>
        <w:rPr>
          <w:rFonts w:ascii="Arial" w:hAnsi="Arial" w:cs="Arial"/>
          <w:b/>
          <w:bCs/>
          <w:i/>
        </w:rPr>
      </w:pPr>
      <w:r>
        <w:rPr>
          <w:rFonts w:ascii="Arial" w:hAnsi="Arial" w:cs="Arial"/>
          <w:b/>
          <w:bCs/>
          <w:i/>
        </w:rPr>
        <w:t xml:space="preserve">If the Board is to respond to Hydro One/GLPT </w:t>
      </w:r>
      <w:r w:rsidR="000033E0">
        <w:rPr>
          <w:rFonts w:ascii="Arial" w:hAnsi="Arial" w:cs="Arial"/>
          <w:b/>
          <w:bCs/>
          <w:i/>
        </w:rPr>
        <w:t xml:space="preserve">on rates </w:t>
      </w:r>
      <w:r>
        <w:rPr>
          <w:rFonts w:ascii="Arial" w:hAnsi="Arial" w:cs="Arial"/>
          <w:b/>
          <w:bCs/>
          <w:i/>
        </w:rPr>
        <w:t xml:space="preserve">it </w:t>
      </w:r>
      <w:r w:rsidR="00EA4DBC" w:rsidRPr="00512725">
        <w:rPr>
          <w:rFonts w:ascii="Arial" w:hAnsi="Arial" w:cs="Arial"/>
          <w:b/>
          <w:bCs/>
          <w:i/>
        </w:rPr>
        <w:t>should not accept zero productivity offset as appropriate and if it does so, we submit it should not accept deferral of the ESM.</w:t>
      </w:r>
    </w:p>
    <w:p w:rsidR="00EA4DBC" w:rsidRPr="00512725" w:rsidRDefault="00106E84" w:rsidP="00EA4DBC">
      <w:pPr>
        <w:spacing w:after="200" w:line="276" w:lineRule="auto"/>
        <w:rPr>
          <w:rFonts w:ascii="Arial" w:hAnsi="Arial" w:cs="Arial"/>
          <w:b/>
          <w:bCs/>
          <w:i/>
        </w:rPr>
      </w:pPr>
      <w:r>
        <w:rPr>
          <w:rFonts w:ascii="Arial" w:hAnsi="Arial" w:cs="Arial"/>
          <w:b/>
          <w:bCs/>
          <w:i/>
        </w:rPr>
        <w:t>If GLPT proceeds with its 2017/18 Rate application,</w:t>
      </w:r>
      <w:r w:rsidR="00EA4DBC" w:rsidRPr="00512725">
        <w:rPr>
          <w:rFonts w:ascii="Arial" w:hAnsi="Arial" w:cs="Arial"/>
          <w:b/>
          <w:bCs/>
          <w:i/>
        </w:rPr>
        <w:t xml:space="preserve"> the Board should require</w:t>
      </w:r>
      <w:r w:rsidR="000033E0">
        <w:rPr>
          <w:rFonts w:ascii="Arial" w:hAnsi="Arial" w:cs="Arial"/>
          <w:b/>
          <w:bCs/>
          <w:i/>
        </w:rPr>
        <w:t xml:space="preserve"> a </w:t>
      </w:r>
      <w:r>
        <w:rPr>
          <w:rFonts w:ascii="Arial" w:hAnsi="Arial" w:cs="Arial"/>
          <w:b/>
          <w:bCs/>
          <w:i/>
        </w:rPr>
        <w:t xml:space="preserve">Productivity Analysis and </w:t>
      </w:r>
      <w:r w:rsidR="000033E0">
        <w:rPr>
          <w:rFonts w:ascii="Arial" w:hAnsi="Arial" w:cs="Arial"/>
          <w:b/>
          <w:bCs/>
          <w:i/>
        </w:rPr>
        <w:t xml:space="preserve">for the historic and test years, </w:t>
      </w:r>
      <w:r w:rsidR="00EA4DBC" w:rsidRPr="00512725">
        <w:rPr>
          <w:rFonts w:ascii="Arial" w:hAnsi="Arial" w:cs="Arial"/>
          <w:b/>
          <w:bCs/>
          <w:i/>
        </w:rPr>
        <w:t xml:space="preserve">Key Performance Measures </w:t>
      </w:r>
      <w:r w:rsidR="00210B72">
        <w:rPr>
          <w:rFonts w:ascii="Arial" w:hAnsi="Arial" w:cs="Arial"/>
          <w:b/>
          <w:bCs/>
          <w:i/>
        </w:rPr>
        <w:t xml:space="preserve">(KPMs) </w:t>
      </w:r>
      <w:r w:rsidR="00EA4DBC" w:rsidRPr="00512725">
        <w:rPr>
          <w:rFonts w:ascii="Arial" w:hAnsi="Arial" w:cs="Arial"/>
          <w:b/>
          <w:bCs/>
          <w:i/>
        </w:rPr>
        <w:t>and a Scorecard be filed</w:t>
      </w:r>
      <w:r>
        <w:rPr>
          <w:rFonts w:ascii="Arial" w:hAnsi="Arial" w:cs="Arial"/>
          <w:b/>
          <w:bCs/>
          <w:i/>
        </w:rPr>
        <w:t>. The latter</w:t>
      </w:r>
      <w:r w:rsidR="007B765B">
        <w:rPr>
          <w:rFonts w:ascii="Arial" w:hAnsi="Arial" w:cs="Arial"/>
          <w:b/>
          <w:bCs/>
          <w:i/>
        </w:rPr>
        <w:t xml:space="preserve"> is required by the Guidelines</w:t>
      </w:r>
      <w:r w:rsidR="00F40AAC">
        <w:rPr>
          <w:rFonts w:ascii="Arial" w:hAnsi="Arial" w:cs="Arial"/>
          <w:b/>
          <w:bCs/>
          <w:i/>
        </w:rPr>
        <w:t xml:space="preserve"> and </w:t>
      </w:r>
      <w:r w:rsidR="00EA4DBC" w:rsidRPr="00512725">
        <w:rPr>
          <w:rFonts w:ascii="Arial" w:hAnsi="Arial" w:cs="Arial"/>
          <w:b/>
          <w:bCs/>
          <w:i/>
        </w:rPr>
        <w:t xml:space="preserve">will provide a baseline for assessing the </w:t>
      </w:r>
      <w:r w:rsidR="007B765B">
        <w:rPr>
          <w:rFonts w:ascii="Arial" w:hAnsi="Arial" w:cs="Arial"/>
          <w:b/>
          <w:bCs/>
          <w:i/>
        </w:rPr>
        <w:t xml:space="preserve">future </w:t>
      </w:r>
      <w:r w:rsidR="00EA4DBC" w:rsidRPr="00512725">
        <w:rPr>
          <w:rFonts w:ascii="Arial" w:hAnsi="Arial" w:cs="Arial"/>
          <w:b/>
          <w:bCs/>
          <w:i/>
        </w:rPr>
        <w:t>improved reliability and Costs of the GLPT System as part of Hydro One.</w:t>
      </w:r>
      <w:r w:rsidR="00F40AAC" w:rsidRPr="00F40AAC">
        <w:rPr>
          <w:rFonts w:ascii="Arial" w:hAnsi="Arial" w:cs="Arial"/>
          <w:b/>
          <w:bCs/>
          <w:i/>
        </w:rPr>
        <w:t xml:space="preserve"> </w:t>
      </w:r>
      <w:r w:rsidR="00F40AAC">
        <w:rPr>
          <w:rFonts w:ascii="Arial" w:hAnsi="Arial" w:cs="Arial"/>
          <w:b/>
          <w:bCs/>
          <w:i/>
        </w:rPr>
        <w:t>Deferring this would not be appropriate</w:t>
      </w:r>
      <w:r w:rsidR="002A1DF9">
        <w:rPr>
          <w:rFonts w:ascii="Arial" w:hAnsi="Arial" w:cs="Arial"/>
          <w:b/>
          <w:bCs/>
          <w:i/>
        </w:rPr>
        <w:t>.</w:t>
      </w:r>
    </w:p>
    <w:p w:rsidR="00EA4DBC" w:rsidRPr="00512725" w:rsidRDefault="00EA4DBC" w:rsidP="00EA4DBC">
      <w:pPr>
        <w:spacing w:after="200" w:line="276" w:lineRule="auto"/>
        <w:rPr>
          <w:rFonts w:ascii="Arial" w:hAnsi="Arial" w:cs="Arial"/>
          <w:b/>
          <w:bCs/>
          <w:i/>
        </w:rPr>
      </w:pPr>
      <w:r w:rsidRPr="00512725">
        <w:rPr>
          <w:rFonts w:ascii="Arial" w:hAnsi="Arial" w:cs="Arial"/>
          <w:b/>
          <w:bCs/>
          <w:i/>
        </w:rPr>
        <w:lastRenderedPageBreak/>
        <w:t xml:space="preserve">Hydro One has made certain claims regarding improved reliability and Capital and Operating Cost reductions for GLPT as expressed in its </w:t>
      </w:r>
      <w:r w:rsidR="00571EA4">
        <w:rPr>
          <w:rFonts w:ascii="Arial" w:hAnsi="Arial" w:cs="Arial"/>
          <w:b/>
          <w:bCs/>
          <w:i/>
        </w:rPr>
        <w:t xml:space="preserve">evidence and </w:t>
      </w:r>
      <w:r w:rsidRPr="00512725">
        <w:rPr>
          <w:rFonts w:ascii="Arial" w:hAnsi="Arial" w:cs="Arial"/>
          <w:b/>
          <w:bCs/>
          <w:i/>
        </w:rPr>
        <w:t>pro-forma projections</w:t>
      </w:r>
      <w:r w:rsidR="00D3567E">
        <w:rPr>
          <w:rStyle w:val="FootnoteReference"/>
          <w:rFonts w:ascii="Arial" w:hAnsi="Arial" w:cs="Arial"/>
          <w:b/>
          <w:bCs/>
          <w:i/>
        </w:rPr>
        <w:footnoteReference w:id="21"/>
      </w:r>
      <w:r w:rsidR="003D5707">
        <w:rPr>
          <w:rFonts w:ascii="Arial" w:hAnsi="Arial" w:cs="Arial"/>
          <w:b/>
          <w:bCs/>
          <w:i/>
        </w:rPr>
        <w:t xml:space="preserve"> that are more appropriately</w:t>
      </w:r>
      <w:r w:rsidR="007B765B">
        <w:rPr>
          <w:rFonts w:ascii="Arial" w:hAnsi="Arial" w:cs="Arial"/>
          <w:b/>
          <w:bCs/>
          <w:i/>
        </w:rPr>
        <w:t xml:space="preserve"> </w:t>
      </w:r>
      <w:r w:rsidR="003D5707">
        <w:rPr>
          <w:rFonts w:ascii="Arial" w:hAnsi="Arial" w:cs="Arial"/>
          <w:b/>
          <w:bCs/>
          <w:i/>
        </w:rPr>
        <w:t xml:space="preserve">examined in the </w:t>
      </w:r>
      <w:r w:rsidR="000033E0">
        <w:rPr>
          <w:rFonts w:ascii="Arial" w:hAnsi="Arial" w:cs="Arial"/>
          <w:b/>
          <w:bCs/>
          <w:i/>
        </w:rPr>
        <w:t xml:space="preserve">next </w:t>
      </w:r>
      <w:r w:rsidR="003D5707">
        <w:rPr>
          <w:rFonts w:ascii="Arial" w:hAnsi="Arial" w:cs="Arial"/>
          <w:b/>
          <w:bCs/>
          <w:i/>
        </w:rPr>
        <w:t>GLPT rate case</w:t>
      </w:r>
      <w:r w:rsidRPr="00512725">
        <w:rPr>
          <w:rFonts w:ascii="Arial" w:hAnsi="Arial" w:cs="Arial"/>
          <w:b/>
          <w:bCs/>
          <w:i/>
        </w:rPr>
        <w:t>.</w:t>
      </w:r>
    </w:p>
    <w:p w:rsidR="00EA4DBC" w:rsidRPr="00512725" w:rsidRDefault="000033E0" w:rsidP="00EA4DBC">
      <w:pPr>
        <w:spacing w:after="200" w:line="276" w:lineRule="auto"/>
        <w:rPr>
          <w:rFonts w:ascii="Arial" w:hAnsi="Arial" w:cs="Arial"/>
          <w:b/>
          <w:bCs/>
          <w:i/>
        </w:rPr>
      </w:pPr>
      <w:r>
        <w:rPr>
          <w:rFonts w:ascii="Arial" w:hAnsi="Arial" w:cs="Arial"/>
          <w:b/>
          <w:bCs/>
          <w:i/>
        </w:rPr>
        <w:t>If the Board decides to respond to Hydro One GLPT regarding methodology for future rates</w:t>
      </w:r>
      <w:r w:rsidR="002A1DF9">
        <w:rPr>
          <w:rFonts w:ascii="Arial" w:hAnsi="Arial" w:cs="Arial"/>
          <w:b/>
          <w:bCs/>
          <w:i/>
        </w:rPr>
        <w:t>,</w:t>
      </w:r>
      <w:r>
        <w:rPr>
          <w:rFonts w:ascii="Arial" w:hAnsi="Arial" w:cs="Arial"/>
          <w:b/>
          <w:bCs/>
          <w:i/>
        </w:rPr>
        <w:t xml:space="preserve"> we suggest that </w:t>
      </w:r>
      <w:r w:rsidR="005059BF">
        <w:rPr>
          <w:rFonts w:ascii="Arial" w:hAnsi="Arial" w:cs="Arial"/>
          <w:b/>
          <w:bCs/>
          <w:i/>
        </w:rPr>
        <w:t>i</w:t>
      </w:r>
      <w:r w:rsidR="00EA4DBC" w:rsidRPr="00512725">
        <w:rPr>
          <w:rFonts w:ascii="Arial" w:hAnsi="Arial" w:cs="Arial"/>
          <w:b/>
          <w:bCs/>
          <w:i/>
        </w:rPr>
        <w:t xml:space="preserve">n each year that rates are </w:t>
      </w:r>
      <w:r w:rsidR="00571EA4">
        <w:rPr>
          <w:rFonts w:ascii="Arial" w:hAnsi="Arial" w:cs="Arial"/>
          <w:b/>
          <w:bCs/>
          <w:i/>
        </w:rPr>
        <w:t>indexed</w:t>
      </w:r>
      <w:r w:rsidR="00EA4DBC" w:rsidRPr="00512725">
        <w:rPr>
          <w:rFonts w:ascii="Arial" w:hAnsi="Arial" w:cs="Arial"/>
          <w:b/>
          <w:bCs/>
          <w:i/>
        </w:rPr>
        <w:t xml:space="preserve">, Hydro One be accountable to ratepayers and to the Board for achievement of </w:t>
      </w:r>
      <w:r w:rsidR="002A1DF9">
        <w:rPr>
          <w:rFonts w:ascii="Arial" w:hAnsi="Arial" w:cs="Arial"/>
          <w:b/>
          <w:bCs/>
          <w:i/>
        </w:rPr>
        <w:t>Reliability and Cost Saving</w:t>
      </w:r>
      <w:r w:rsidR="00EA4DBC" w:rsidRPr="00512725">
        <w:rPr>
          <w:rFonts w:ascii="Arial" w:hAnsi="Arial" w:cs="Arial"/>
          <w:b/>
          <w:bCs/>
          <w:i/>
        </w:rPr>
        <w:t xml:space="preserve"> claims by comprehensive Reporting on the GLPT system as part of its annual filings.   </w:t>
      </w:r>
    </w:p>
    <w:p w:rsidR="00EA4DBC" w:rsidRPr="005946A2" w:rsidRDefault="00EA4DBC" w:rsidP="00EA4DBC">
      <w:pPr>
        <w:autoSpaceDE w:val="0"/>
        <w:autoSpaceDN w:val="0"/>
        <w:adjustRightInd w:val="0"/>
        <w:rPr>
          <w:rFonts w:ascii="Arial" w:hAnsi="Arial" w:cs="Arial"/>
          <w:b/>
          <w:i/>
        </w:rPr>
      </w:pPr>
      <w:r w:rsidRPr="00D9351A">
        <w:rPr>
          <w:rFonts w:ascii="Arial" w:hAnsi="Arial" w:cs="Arial"/>
          <w:b/>
          <w:bCs/>
          <w:i/>
        </w:rPr>
        <w:t xml:space="preserve">Hydro One has indicated that </w:t>
      </w:r>
      <w:r>
        <w:rPr>
          <w:rFonts w:ascii="Arial" w:hAnsi="Arial" w:cs="Arial"/>
          <w:b/>
          <w:bCs/>
          <w:i/>
        </w:rPr>
        <w:t>“</w:t>
      </w:r>
      <w:r w:rsidRPr="005946A2">
        <w:rPr>
          <w:rFonts w:ascii="Arial" w:hAnsi="Arial" w:cs="Arial"/>
          <w:b/>
          <w:bCs/>
          <w:i/>
        </w:rPr>
        <w:t>approval of the rate-setting methodology</w:t>
      </w:r>
      <w:r w:rsidR="005059BF">
        <w:rPr>
          <w:rFonts w:ascii="Arial" w:hAnsi="Arial" w:cs="Arial"/>
          <w:b/>
          <w:bCs/>
          <w:i/>
        </w:rPr>
        <w:t xml:space="preserve"> </w:t>
      </w:r>
      <w:r w:rsidRPr="005946A2">
        <w:rPr>
          <w:rFonts w:ascii="Arial" w:hAnsi="Arial" w:cs="Arial"/>
          <w:b/>
          <w:i/>
        </w:rPr>
        <w:t>will then guide</w:t>
      </w:r>
      <w:r>
        <w:rPr>
          <w:rFonts w:ascii="Arial" w:hAnsi="Arial" w:cs="Arial"/>
          <w:b/>
          <w:i/>
        </w:rPr>
        <w:t xml:space="preserve"> </w:t>
      </w:r>
      <w:r w:rsidRPr="005946A2">
        <w:rPr>
          <w:rFonts w:ascii="Arial" w:hAnsi="Arial" w:cs="Arial"/>
          <w:b/>
          <w:i/>
        </w:rPr>
        <w:t xml:space="preserve">the manner by which GLPT will make rate applications for the period 2019 to </w:t>
      </w:r>
      <w:r>
        <w:rPr>
          <w:rFonts w:ascii="Arial" w:hAnsi="Arial" w:cs="Arial"/>
          <w:b/>
          <w:i/>
        </w:rPr>
        <w:t xml:space="preserve">2027. </w:t>
      </w:r>
      <w:r w:rsidRPr="005946A2">
        <w:rPr>
          <w:rFonts w:ascii="Arial" w:hAnsi="Arial" w:cs="Arial"/>
          <w:b/>
          <w:i/>
        </w:rPr>
        <w:t>Specifically, HOI would expect this form of application to be uncontentious and more of a compliance filing.</w:t>
      </w:r>
      <w:r>
        <w:rPr>
          <w:rFonts w:ascii="Arial" w:hAnsi="Arial" w:cs="Arial"/>
          <w:b/>
          <w:i/>
        </w:rPr>
        <w:t>”</w:t>
      </w:r>
      <w:r w:rsidR="00D3567E">
        <w:rPr>
          <w:rStyle w:val="FootnoteReference"/>
          <w:rFonts w:ascii="Arial" w:hAnsi="Arial" w:cs="Arial"/>
          <w:b/>
          <w:i/>
        </w:rPr>
        <w:footnoteReference w:id="22"/>
      </w:r>
      <w:r w:rsidRPr="005946A2">
        <w:t xml:space="preserve"> </w:t>
      </w:r>
    </w:p>
    <w:p w:rsidR="00EA4DBC" w:rsidRPr="00512725" w:rsidRDefault="00EA4DBC" w:rsidP="00EA4DBC">
      <w:pPr>
        <w:autoSpaceDE w:val="0"/>
        <w:autoSpaceDN w:val="0"/>
        <w:adjustRightInd w:val="0"/>
        <w:rPr>
          <w:rFonts w:ascii="Arial" w:hAnsi="Arial" w:cs="Arial"/>
          <w:b/>
          <w:bCs/>
          <w:i/>
        </w:rPr>
      </w:pPr>
    </w:p>
    <w:p w:rsidR="00EA4DBC" w:rsidRDefault="00EA4DBC" w:rsidP="00EA4DBC">
      <w:pPr>
        <w:spacing w:after="200" w:line="276" w:lineRule="auto"/>
        <w:rPr>
          <w:rFonts w:ascii="Arial" w:hAnsi="Arial" w:cs="Arial"/>
          <w:b/>
          <w:bCs/>
          <w:i/>
        </w:rPr>
      </w:pPr>
      <w:r w:rsidRPr="00512725">
        <w:rPr>
          <w:rFonts w:ascii="Arial" w:hAnsi="Arial" w:cs="Arial"/>
          <w:b/>
          <w:bCs/>
          <w:i/>
        </w:rPr>
        <w:t>We disagree</w:t>
      </w:r>
      <w:r w:rsidR="00F643C3">
        <w:rPr>
          <w:rFonts w:ascii="Arial" w:hAnsi="Arial" w:cs="Arial"/>
          <w:b/>
          <w:bCs/>
          <w:i/>
        </w:rPr>
        <w:t xml:space="preserve"> with Hydro One</w:t>
      </w:r>
      <w:r w:rsidRPr="00512725">
        <w:rPr>
          <w:rFonts w:ascii="Arial" w:hAnsi="Arial" w:cs="Arial"/>
          <w:b/>
          <w:bCs/>
          <w:i/>
        </w:rPr>
        <w:t xml:space="preserve">. Based on the </w:t>
      </w:r>
      <w:r w:rsidR="007B765B">
        <w:rPr>
          <w:rFonts w:ascii="Arial" w:hAnsi="Arial" w:cs="Arial"/>
          <w:b/>
          <w:bCs/>
          <w:i/>
        </w:rPr>
        <w:t xml:space="preserve">Guidelines and the </w:t>
      </w:r>
      <w:r w:rsidRPr="00512725">
        <w:rPr>
          <w:rFonts w:ascii="Arial" w:hAnsi="Arial" w:cs="Arial"/>
          <w:b/>
          <w:bCs/>
          <w:i/>
        </w:rPr>
        <w:t>Board’s direction to reach out to Ontario Energy Consumers</w:t>
      </w:r>
      <w:r>
        <w:rPr>
          <w:rFonts w:ascii="Arial" w:hAnsi="Arial" w:cs="Arial"/>
          <w:b/>
          <w:bCs/>
          <w:i/>
        </w:rPr>
        <w:t>, c</w:t>
      </w:r>
      <w:r w:rsidRPr="00512725">
        <w:rPr>
          <w:rFonts w:ascii="Arial" w:hAnsi="Arial" w:cs="Arial"/>
          <w:b/>
          <w:bCs/>
          <w:i/>
        </w:rPr>
        <w:t>omplete evidence and engagement of Transmission Service Ratepayers should be a condition of Board Approval.</w:t>
      </w:r>
    </w:p>
    <w:p w:rsidR="000033E0" w:rsidRDefault="000033E0" w:rsidP="004B3694">
      <w:pPr>
        <w:autoSpaceDE w:val="0"/>
        <w:autoSpaceDN w:val="0"/>
        <w:adjustRightInd w:val="0"/>
        <w:ind w:left="720"/>
        <w:rPr>
          <w:rFonts w:ascii="Arial" w:hAnsi="Arial" w:cs="Arial"/>
          <w:b/>
          <w:bCs/>
        </w:rPr>
      </w:pPr>
    </w:p>
    <w:p w:rsidR="000033E0" w:rsidRDefault="000033E0" w:rsidP="004B3694">
      <w:pPr>
        <w:autoSpaceDE w:val="0"/>
        <w:autoSpaceDN w:val="0"/>
        <w:adjustRightInd w:val="0"/>
        <w:ind w:left="720"/>
        <w:rPr>
          <w:rFonts w:ascii="Arial" w:hAnsi="Arial" w:cs="Arial"/>
          <w:b/>
          <w:bCs/>
        </w:rPr>
      </w:pPr>
    </w:p>
    <w:p w:rsidR="00EA4DBC" w:rsidRPr="00956819" w:rsidRDefault="004B3694" w:rsidP="004B3694">
      <w:pPr>
        <w:autoSpaceDE w:val="0"/>
        <w:autoSpaceDN w:val="0"/>
        <w:adjustRightInd w:val="0"/>
        <w:ind w:left="720"/>
        <w:rPr>
          <w:rFonts w:ascii="Arial" w:hAnsi="Arial" w:cs="Arial"/>
          <w:b/>
          <w:bCs/>
        </w:rPr>
      </w:pPr>
      <w:r w:rsidRPr="00956819">
        <w:rPr>
          <w:rFonts w:ascii="Arial" w:hAnsi="Arial" w:cs="Arial"/>
          <w:b/>
          <w:bCs/>
        </w:rPr>
        <w:t xml:space="preserve">Respectfully Submitted on Behalf of Energy Probe Research Foundation </w:t>
      </w:r>
    </w:p>
    <w:p w:rsidR="004B3694" w:rsidRPr="00956819" w:rsidRDefault="004B3694" w:rsidP="004B3694">
      <w:pPr>
        <w:autoSpaceDE w:val="0"/>
        <w:autoSpaceDN w:val="0"/>
        <w:adjustRightInd w:val="0"/>
        <w:ind w:left="720"/>
        <w:rPr>
          <w:rFonts w:ascii="Arial" w:hAnsi="Arial" w:cs="Arial"/>
          <w:b/>
          <w:bCs/>
        </w:rPr>
      </w:pPr>
    </w:p>
    <w:p w:rsidR="005059BF" w:rsidRDefault="004B3694" w:rsidP="005059BF">
      <w:pPr>
        <w:autoSpaceDE w:val="0"/>
        <w:autoSpaceDN w:val="0"/>
        <w:adjustRightInd w:val="0"/>
        <w:ind w:left="720"/>
        <w:jc w:val="center"/>
        <w:rPr>
          <w:rFonts w:ascii="Arial" w:hAnsi="Arial" w:cs="Arial"/>
          <w:b/>
          <w:bCs/>
        </w:rPr>
      </w:pPr>
      <w:r w:rsidRPr="00956819">
        <w:rPr>
          <w:rFonts w:ascii="Arial" w:hAnsi="Arial" w:cs="Arial"/>
          <w:b/>
          <w:bCs/>
        </w:rPr>
        <w:t>Roger M.R. H</w:t>
      </w:r>
      <w:r w:rsidR="005059BF">
        <w:rPr>
          <w:rFonts w:ascii="Arial" w:hAnsi="Arial" w:cs="Arial"/>
          <w:b/>
          <w:bCs/>
        </w:rPr>
        <w:t>iggin BSc., PhD., MBA, P. Eng.</w:t>
      </w:r>
    </w:p>
    <w:p w:rsidR="004B3694" w:rsidRPr="00956819" w:rsidRDefault="004B3694" w:rsidP="005059BF">
      <w:pPr>
        <w:autoSpaceDE w:val="0"/>
        <w:autoSpaceDN w:val="0"/>
        <w:adjustRightInd w:val="0"/>
        <w:ind w:left="720"/>
        <w:jc w:val="center"/>
        <w:rPr>
          <w:rFonts w:ascii="Arial" w:hAnsi="Arial" w:cs="Arial"/>
          <w:b/>
          <w:bCs/>
        </w:rPr>
      </w:pPr>
      <w:r w:rsidRPr="00956819">
        <w:rPr>
          <w:rFonts w:ascii="Arial" w:hAnsi="Arial" w:cs="Arial"/>
          <w:b/>
          <w:bCs/>
        </w:rPr>
        <w:t>SPA Inc</w:t>
      </w:r>
      <w:r w:rsidR="00D338F4" w:rsidRPr="00956819">
        <w:rPr>
          <w:rFonts w:ascii="Arial" w:hAnsi="Arial" w:cs="Arial"/>
          <w:b/>
          <w:bCs/>
        </w:rPr>
        <w:t>.</w:t>
      </w:r>
      <w:r w:rsidR="005059BF">
        <w:rPr>
          <w:rFonts w:ascii="Arial" w:hAnsi="Arial" w:cs="Arial"/>
          <w:b/>
          <w:bCs/>
        </w:rPr>
        <w:t xml:space="preserve"> </w:t>
      </w:r>
      <w:r w:rsidR="00D338F4" w:rsidRPr="00956819">
        <w:rPr>
          <w:rFonts w:ascii="Arial" w:hAnsi="Arial" w:cs="Arial"/>
          <w:b/>
          <w:bCs/>
        </w:rPr>
        <w:t>-</w:t>
      </w:r>
      <w:r w:rsidRPr="00956819">
        <w:rPr>
          <w:rFonts w:ascii="Arial" w:hAnsi="Arial" w:cs="Arial"/>
          <w:b/>
          <w:bCs/>
        </w:rPr>
        <w:t xml:space="preserve"> Consultants to EP</w:t>
      </w:r>
    </w:p>
    <w:sectPr w:rsidR="004B3694" w:rsidRPr="00956819" w:rsidSect="00AE7D46">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774" w:rsidRDefault="00B13774" w:rsidP="00AE7D46">
      <w:r>
        <w:separator/>
      </w:r>
    </w:p>
  </w:endnote>
  <w:endnote w:type="continuationSeparator" w:id="0">
    <w:p w:rsidR="00B13774" w:rsidRDefault="00B13774" w:rsidP="00AE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SymbolMT">
    <w:altName w:val="Arial Unicode MS"/>
    <w:panose1 w:val="00000000000000000000"/>
    <w:charset w:val="00"/>
    <w:family w:val="auto"/>
    <w:notTrueType/>
    <w:pitch w:val="default"/>
    <w:sig w:usb0="00000001" w:usb1="08080000" w:usb2="00000010"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E64" w:rsidRDefault="00C32E6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EB-2016-0050 Hydro GLPT Consolidation </w:t>
    </w:r>
    <w:r w:rsidR="003E6E95">
      <w:rPr>
        <w:rFonts w:asciiTheme="majorHAnsi" w:eastAsiaTheme="majorEastAsia" w:hAnsiTheme="majorHAnsi" w:cstheme="majorBidi"/>
      </w:rPr>
      <w:t xml:space="preserve">- </w:t>
    </w:r>
    <w:r>
      <w:rPr>
        <w:rFonts w:asciiTheme="majorHAnsi" w:eastAsiaTheme="majorEastAsia" w:hAnsiTheme="majorHAnsi" w:cstheme="majorBidi"/>
      </w:rPr>
      <w:t>Energy Probe Submissions</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850A7" w:rsidRPr="001850A7">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C32E64" w:rsidRDefault="00C32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774" w:rsidRDefault="00B13774" w:rsidP="00AE7D46">
      <w:r>
        <w:separator/>
      </w:r>
    </w:p>
  </w:footnote>
  <w:footnote w:type="continuationSeparator" w:id="0">
    <w:p w:rsidR="00B13774" w:rsidRDefault="00B13774" w:rsidP="00AE7D46">
      <w:r>
        <w:continuationSeparator/>
      </w:r>
    </w:p>
  </w:footnote>
  <w:footnote w:id="1">
    <w:p w:rsidR="00C32E64" w:rsidRDefault="00C32E64" w:rsidP="00AE7D46">
      <w:pPr>
        <w:autoSpaceDE w:val="0"/>
        <w:autoSpaceDN w:val="0"/>
        <w:adjustRightInd w:val="0"/>
      </w:pPr>
      <w:r>
        <w:rPr>
          <w:rStyle w:val="FootnoteReference"/>
        </w:rPr>
        <w:footnoteRef/>
      </w:r>
      <w:r>
        <w:t xml:space="preserve"> </w:t>
      </w:r>
      <w:r w:rsidRPr="00AE7D46">
        <w:rPr>
          <w:rFonts w:ascii="Arial" w:hAnsi="Arial" w:cs="Arial"/>
          <w:sz w:val="20"/>
          <w:szCs w:val="20"/>
        </w:rPr>
        <w:t>Exhibit I, Tab 1, Schedule 6 Pages 1&amp;2</w:t>
      </w:r>
    </w:p>
  </w:footnote>
  <w:footnote w:id="2">
    <w:p w:rsidR="006B171B" w:rsidRPr="00DC5785" w:rsidRDefault="006B171B">
      <w:pPr>
        <w:pStyle w:val="FootnoteText"/>
      </w:pPr>
      <w:r>
        <w:rPr>
          <w:rStyle w:val="FootnoteReference"/>
        </w:rPr>
        <w:footnoteRef/>
      </w:r>
      <w:r>
        <w:t xml:space="preserve"> </w:t>
      </w:r>
      <w:r w:rsidRPr="00DC5785">
        <w:rPr>
          <w:rFonts w:ascii="Arial" w:hAnsi="Arial" w:cs="Arial"/>
        </w:rPr>
        <w:t>Filing Requirements for Electricity Transmitters dated February 11, 2016</w:t>
      </w:r>
      <w:r w:rsidR="00DC5785" w:rsidRPr="00DC5785">
        <w:rPr>
          <w:rFonts w:ascii="Arial" w:hAnsi="Arial" w:cs="Arial"/>
        </w:rPr>
        <w:t>, Page 2</w:t>
      </w:r>
      <w:r w:rsidRPr="00DC5785">
        <w:rPr>
          <w:rFonts w:ascii="Arial" w:hAnsi="Arial" w:cs="Arial"/>
        </w:rPr>
        <w:t>.</w:t>
      </w:r>
    </w:p>
  </w:footnote>
  <w:footnote w:id="3">
    <w:p w:rsidR="00C32E64" w:rsidRDefault="00C32E64">
      <w:pPr>
        <w:pStyle w:val="FootnoteText"/>
      </w:pPr>
      <w:r>
        <w:rPr>
          <w:rStyle w:val="FootnoteReference"/>
        </w:rPr>
        <w:footnoteRef/>
      </w:r>
      <w:r>
        <w:t xml:space="preserve"> </w:t>
      </w:r>
      <w:r w:rsidRPr="00512725">
        <w:rPr>
          <w:rFonts w:ascii="Arial" w:hAnsi="Arial" w:cs="Arial"/>
        </w:rPr>
        <w:t>Exhibit I, Tab 1, Schedule 7</w:t>
      </w:r>
    </w:p>
  </w:footnote>
  <w:footnote w:id="4">
    <w:p w:rsidR="00C32E64" w:rsidRDefault="00C32E64">
      <w:pPr>
        <w:pStyle w:val="FootnoteText"/>
      </w:pPr>
      <w:r>
        <w:rPr>
          <w:rStyle w:val="FootnoteReference"/>
        </w:rPr>
        <w:footnoteRef/>
      </w:r>
      <w:r>
        <w:t xml:space="preserve"> </w:t>
      </w:r>
      <w:r w:rsidRPr="00512725">
        <w:rPr>
          <w:rFonts w:ascii="Arial" w:hAnsi="Arial" w:cs="Arial"/>
        </w:rPr>
        <w:t>Exhibit I,</w:t>
      </w:r>
      <w:r>
        <w:rPr>
          <w:rFonts w:ascii="Arial" w:hAnsi="Arial" w:cs="Arial"/>
        </w:rPr>
        <w:t xml:space="preserve"> </w:t>
      </w:r>
      <w:r w:rsidRPr="00512725">
        <w:rPr>
          <w:rFonts w:ascii="Arial" w:hAnsi="Arial" w:cs="Arial"/>
        </w:rPr>
        <w:t>Tab 1,Schedule 7, Page 2</w:t>
      </w:r>
    </w:p>
  </w:footnote>
  <w:footnote w:id="5">
    <w:p w:rsidR="00EF3BC8" w:rsidRPr="00EF3BC8" w:rsidRDefault="00EF3BC8">
      <w:pPr>
        <w:pStyle w:val="FootnoteText"/>
      </w:pPr>
      <w:r>
        <w:rPr>
          <w:rStyle w:val="FootnoteReference"/>
        </w:rPr>
        <w:footnoteRef/>
      </w:r>
      <w:r>
        <w:t xml:space="preserve"> </w:t>
      </w:r>
      <w:r w:rsidRPr="00EF3BC8">
        <w:rPr>
          <w:rFonts w:ascii="Arial" w:hAnsi="Arial" w:cs="Arial"/>
          <w:bCs/>
        </w:rPr>
        <w:t>Exhibit A, Tab 2, Schedule 1</w:t>
      </w:r>
    </w:p>
  </w:footnote>
  <w:footnote w:id="6">
    <w:p w:rsidR="00C32E64" w:rsidRDefault="00C32E64">
      <w:pPr>
        <w:pStyle w:val="FootnoteText"/>
      </w:pPr>
      <w:r>
        <w:rPr>
          <w:rStyle w:val="FootnoteReference"/>
        </w:rPr>
        <w:footnoteRef/>
      </w:r>
      <w:r>
        <w:t xml:space="preserve"> </w:t>
      </w:r>
      <w:r w:rsidRPr="00512725">
        <w:rPr>
          <w:rFonts w:ascii="Arial" w:hAnsi="Arial" w:cs="Arial"/>
        </w:rPr>
        <w:t>Exhibit I, Tab 2,Schedule 1,Page 2</w:t>
      </w:r>
    </w:p>
  </w:footnote>
  <w:footnote w:id="7">
    <w:p w:rsidR="00F528B8" w:rsidRDefault="00F528B8">
      <w:pPr>
        <w:pStyle w:val="FootnoteText"/>
      </w:pPr>
      <w:r>
        <w:rPr>
          <w:rStyle w:val="FootnoteReference"/>
        </w:rPr>
        <w:footnoteRef/>
      </w:r>
      <w:r>
        <w:t xml:space="preserve"> </w:t>
      </w:r>
      <w:r>
        <w:rPr>
          <w:rFonts w:ascii="Arial" w:hAnsi="Arial" w:cs="Arial"/>
        </w:rPr>
        <w:t>Exhibit 1 Tab1, Schedule 2</w:t>
      </w:r>
    </w:p>
  </w:footnote>
  <w:footnote w:id="8">
    <w:p w:rsidR="003B033E" w:rsidRPr="003B033E" w:rsidRDefault="003B033E" w:rsidP="003B033E">
      <w:pPr>
        <w:autoSpaceDE w:val="0"/>
        <w:autoSpaceDN w:val="0"/>
        <w:adjustRightInd w:val="0"/>
        <w:rPr>
          <w:sz w:val="20"/>
          <w:szCs w:val="20"/>
        </w:rPr>
      </w:pPr>
      <w:r>
        <w:rPr>
          <w:rStyle w:val="FootnoteReference"/>
        </w:rPr>
        <w:footnoteRef/>
      </w:r>
      <w:r>
        <w:t xml:space="preserve"> </w:t>
      </w:r>
      <w:r w:rsidRPr="003B033E">
        <w:rPr>
          <w:rFonts w:ascii="Arial" w:hAnsi="Arial" w:cs="Arial"/>
          <w:sz w:val="20"/>
          <w:szCs w:val="20"/>
        </w:rPr>
        <w:t>Exhibit I, Tab 1, Schedule 6 Pages 3&amp;4</w:t>
      </w:r>
    </w:p>
  </w:footnote>
  <w:footnote w:id="9">
    <w:p w:rsidR="003B033E" w:rsidRDefault="003B033E">
      <w:pPr>
        <w:pStyle w:val="FootnoteText"/>
      </w:pPr>
      <w:r>
        <w:rPr>
          <w:rStyle w:val="FootnoteReference"/>
        </w:rPr>
        <w:footnoteRef/>
      </w:r>
      <w:r>
        <w:t xml:space="preserve"> </w:t>
      </w:r>
      <w:r w:rsidRPr="00512725">
        <w:rPr>
          <w:rFonts w:ascii="Arial" w:hAnsi="Arial" w:cs="Arial"/>
        </w:rPr>
        <w:t>Exhibit I, Tab 1, Schedule 7,</w:t>
      </w:r>
      <w:r>
        <w:rPr>
          <w:rFonts w:ascii="Arial" w:hAnsi="Arial" w:cs="Arial"/>
        </w:rPr>
        <w:t xml:space="preserve"> </w:t>
      </w:r>
      <w:r w:rsidRPr="00512725">
        <w:rPr>
          <w:rFonts w:ascii="Arial" w:hAnsi="Arial" w:cs="Arial"/>
        </w:rPr>
        <w:t>Page 2</w:t>
      </w:r>
    </w:p>
  </w:footnote>
  <w:footnote w:id="10">
    <w:p w:rsidR="005157A9" w:rsidRDefault="005157A9">
      <w:pPr>
        <w:pStyle w:val="FootnoteText"/>
      </w:pPr>
      <w:r>
        <w:rPr>
          <w:rStyle w:val="FootnoteReference"/>
        </w:rPr>
        <w:footnoteRef/>
      </w:r>
      <w:r>
        <w:t xml:space="preserve"> </w:t>
      </w:r>
      <w:r w:rsidRPr="00D27DD0">
        <w:rPr>
          <w:rFonts w:ascii="Arial" w:hAnsi="Arial" w:cs="Arial"/>
          <w:bCs/>
        </w:rPr>
        <w:t>Exhibit A, Tab 2, Schedule 1</w:t>
      </w:r>
    </w:p>
  </w:footnote>
  <w:footnote w:id="11">
    <w:p w:rsidR="003B033E" w:rsidRPr="003B033E" w:rsidRDefault="003B033E">
      <w:pPr>
        <w:pStyle w:val="FootnoteText"/>
      </w:pPr>
      <w:r>
        <w:rPr>
          <w:rStyle w:val="FootnoteReference"/>
        </w:rPr>
        <w:footnoteRef/>
      </w:r>
      <w:r>
        <w:t xml:space="preserve"> </w:t>
      </w:r>
      <w:r w:rsidRPr="003B033E">
        <w:rPr>
          <w:rFonts w:ascii="Arial" w:hAnsi="Arial" w:cs="Arial"/>
        </w:rPr>
        <w:t>Exhibit I, Tab 1, Schedule 2</w:t>
      </w:r>
      <w:r w:rsidR="007651B8">
        <w:rPr>
          <w:rFonts w:ascii="Arial" w:hAnsi="Arial" w:cs="Arial"/>
        </w:rPr>
        <w:t xml:space="preserve"> and </w:t>
      </w:r>
      <w:r w:rsidR="007651B8" w:rsidRPr="007651B8">
        <w:rPr>
          <w:rFonts w:ascii="Arial" w:hAnsi="Arial" w:cs="Arial"/>
        </w:rPr>
        <w:t>Exhibit A,Tab 2,</w:t>
      </w:r>
      <w:r w:rsidR="007651B8">
        <w:rPr>
          <w:rFonts w:ascii="Arial" w:hAnsi="Arial" w:cs="Arial"/>
        </w:rPr>
        <w:t xml:space="preserve"> </w:t>
      </w:r>
      <w:r w:rsidR="007651B8" w:rsidRPr="007651B8">
        <w:rPr>
          <w:rFonts w:ascii="Arial" w:hAnsi="Arial" w:cs="Arial"/>
        </w:rPr>
        <w:t xml:space="preserve">Schedule 1, Table </w:t>
      </w:r>
      <w:r w:rsidR="007651B8">
        <w:rPr>
          <w:rFonts w:ascii="Arial" w:hAnsi="Arial" w:cs="Arial"/>
        </w:rPr>
        <w:t>5</w:t>
      </w:r>
    </w:p>
  </w:footnote>
  <w:footnote w:id="12">
    <w:p w:rsidR="007651B8" w:rsidRDefault="007651B8" w:rsidP="007651B8">
      <w:pPr>
        <w:autoSpaceDE w:val="0"/>
        <w:autoSpaceDN w:val="0"/>
        <w:adjustRightInd w:val="0"/>
      </w:pPr>
      <w:r>
        <w:rPr>
          <w:rStyle w:val="FootnoteReference"/>
        </w:rPr>
        <w:footnoteRef/>
      </w:r>
      <w:r w:rsidRPr="007651B8">
        <w:rPr>
          <w:rFonts w:ascii="Arial" w:hAnsi="Arial" w:cs="Arial"/>
          <w:sz w:val="20"/>
          <w:szCs w:val="20"/>
        </w:rPr>
        <w:t>Exhibit A,Tab 2,</w:t>
      </w:r>
      <w:r>
        <w:rPr>
          <w:rFonts w:ascii="Arial" w:hAnsi="Arial" w:cs="Arial"/>
          <w:sz w:val="20"/>
          <w:szCs w:val="20"/>
        </w:rPr>
        <w:t xml:space="preserve"> </w:t>
      </w:r>
      <w:r w:rsidRPr="007651B8">
        <w:rPr>
          <w:rFonts w:ascii="Arial" w:hAnsi="Arial" w:cs="Arial"/>
          <w:sz w:val="20"/>
          <w:szCs w:val="20"/>
        </w:rPr>
        <w:t>Schedule 1, Table 3</w:t>
      </w:r>
    </w:p>
  </w:footnote>
  <w:footnote w:id="13">
    <w:p w:rsidR="003B033E" w:rsidRDefault="003B033E">
      <w:pPr>
        <w:pStyle w:val="FootnoteText"/>
      </w:pPr>
      <w:r>
        <w:rPr>
          <w:rStyle w:val="FootnoteReference"/>
        </w:rPr>
        <w:footnoteRef/>
      </w:r>
      <w:r>
        <w:t xml:space="preserve"> </w:t>
      </w:r>
      <w:r w:rsidRPr="003B033E">
        <w:rPr>
          <w:rFonts w:ascii="Arial" w:hAnsi="Arial" w:cs="Arial"/>
        </w:rPr>
        <w:t>Exhibit I-2-6 Attachment 3</w:t>
      </w:r>
    </w:p>
  </w:footnote>
  <w:footnote w:id="14">
    <w:p w:rsidR="00E61793" w:rsidRDefault="00E61793">
      <w:pPr>
        <w:pStyle w:val="FootnoteText"/>
      </w:pPr>
      <w:r>
        <w:rPr>
          <w:rStyle w:val="FootnoteReference"/>
        </w:rPr>
        <w:footnoteRef/>
      </w:r>
      <w:r>
        <w:t xml:space="preserve"> </w:t>
      </w:r>
      <w:r w:rsidRPr="00512725">
        <w:rPr>
          <w:rFonts w:ascii="Arial" w:hAnsi="Arial" w:cs="Arial"/>
        </w:rPr>
        <w:t>Exhibit I, Tab 1, Schedule 2</w:t>
      </w:r>
    </w:p>
  </w:footnote>
  <w:footnote w:id="15">
    <w:p w:rsidR="00E61793" w:rsidRDefault="00E61793">
      <w:pPr>
        <w:pStyle w:val="FootnoteText"/>
      </w:pPr>
      <w:r>
        <w:rPr>
          <w:rStyle w:val="FootnoteReference"/>
        </w:rPr>
        <w:footnoteRef/>
      </w:r>
      <w:r>
        <w:t xml:space="preserve"> Ibid 10</w:t>
      </w:r>
    </w:p>
  </w:footnote>
  <w:footnote w:id="16">
    <w:p w:rsidR="005157A9" w:rsidRDefault="005157A9">
      <w:pPr>
        <w:pStyle w:val="FootnoteText"/>
      </w:pPr>
      <w:r>
        <w:rPr>
          <w:rStyle w:val="FootnoteReference"/>
        </w:rPr>
        <w:footnoteRef/>
      </w:r>
      <w:r>
        <w:t xml:space="preserve"> </w:t>
      </w:r>
      <w:r w:rsidRPr="003D5707">
        <w:rPr>
          <w:rFonts w:ascii="Arial" w:hAnsi="Arial" w:cs="Arial"/>
        </w:rPr>
        <w:t>Exhibit I, Tab2, Schedule10 Attachments</w:t>
      </w:r>
    </w:p>
  </w:footnote>
  <w:footnote w:id="17">
    <w:p w:rsidR="00E61793" w:rsidRPr="00E61793" w:rsidRDefault="00E61793">
      <w:pPr>
        <w:pStyle w:val="FootnoteText"/>
      </w:pPr>
      <w:r w:rsidRPr="00E61793">
        <w:rPr>
          <w:rStyle w:val="FootnoteReference"/>
        </w:rPr>
        <w:footnoteRef/>
      </w:r>
      <w:r w:rsidRPr="00E61793">
        <w:t xml:space="preserve"> </w:t>
      </w:r>
      <w:r w:rsidRPr="00E61793">
        <w:rPr>
          <w:rFonts w:ascii="Arial" w:hAnsi="Arial" w:cs="Arial"/>
          <w:i/>
        </w:rPr>
        <w:t>EB-2016-0160 Exhi</w:t>
      </w:r>
      <w:r>
        <w:rPr>
          <w:rFonts w:ascii="Arial" w:hAnsi="Arial" w:cs="Arial"/>
          <w:i/>
        </w:rPr>
        <w:t xml:space="preserve">bit B1 Tab </w:t>
      </w:r>
      <w:r w:rsidR="00C04112">
        <w:rPr>
          <w:rFonts w:ascii="Arial" w:hAnsi="Arial" w:cs="Arial"/>
          <w:i/>
        </w:rPr>
        <w:t>2</w:t>
      </w:r>
      <w:r w:rsidR="00B537E1">
        <w:rPr>
          <w:rFonts w:ascii="Arial" w:hAnsi="Arial" w:cs="Arial"/>
          <w:i/>
        </w:rPr>
        <w:t xml:space="preserve"> Schedule 1 </w:t>
      </w:r>
    </w:p>
  </w:footnote>
  <w:footnote w:id="18">
    <w:p w:rsidR="00C04112" w:rsidRPr="00C04112" w:rsidRDefault="00C04112">
      <w:pPr>
        <w:pStyle w:val="FootnoteText"/>
      </w:pPr>
      <w:r w:rsidRPr="00C04112">
        <w:rPr>
          <w:rStyle w:val="FootnoteReference"/>
        </w:rPr>
        <w:footnoteRef/>
      </w:r>
      <w:r w:rsidRPr="00C04112">
        <w:t xml:space="preserve"> </w:t>
      </w:r>
      <w:r w:rsidRPr="00C04112">
        <w:rPr>
          <w:rFonts w:ascii="Arial" w:hAnsi="Arial" w:cs="Arial"/>
        </w:rPr>
        <w:t>Exhibit A, Tab 1,Schedule 1,Page 9</w:t>
      </w:r>
    </w:p>
  </w:footnote>
  <w:footnote w:id="19">
    <w:p w:rsidR="00C04112" w:rsidRPr="00C04112" w:rsidRDefault="00C04112">
      <w:pPr>
        <w:pStyle w:val="FootnoteText"/>
      </w:pPr>
      <w:r w:rsidRPr="00C04112">
        <w:rPr>
          <w:rStyle w:val="FootnoteReference"/>
        </w:rPr>
        <w:footnoteRef/>
      </w:r>
      <w:r w:rsidRPr="00C04112">
        <w:t xml:space="preserve"> </w:t>
      </w:r>
      <w:r w:rsidRPr="00C04112">
        <w:rPr>
          <w:rFonts w:ascii="Arial" w:hAnsi="Arial" w:cs="Arial"/>
          <w:bCs/>
        </w:rPr>
        <w:t>Exhibit A, Tab 3, Schedule 1</w:t>
      </w:r>
    </w:p>
  </w:footnote>
  <w:footnote w:id="20">
    <w:p w:rsidR="00C04112" w:rsidRPr="00C04112" w:rsidRDefault="00C04112">
      <w:pPr>
        <w:pStyle w:val="FootnoteText"/>
        <w:rPr>
          <w:rFonts w:ascii="Arial" w:hAnsi="Arial" w:cs="Arial"/>
        </w:rPr>
      </w:pPr>
      <w:r>
        <w:rPr>
          <w:rStyle w:val="FootnoteReference"/>
        </w:rPr>
        <w:footnoteRef/>
      </w:r>
      <w:r>
        <w:t xml:space="preserve"> </w:t>
      </w:r>
      <w:r w:rsidRPr="00C04112">
        <w:rPr>
          <w:rFonts w:ascii="Arial" w:hAnsi="Arial" w:cs="Arial"/>
        </w:rPr>
        <w:t>Exhibit I, Tab 2, Schedule 4</w:t>
      </w:r>
      <w:r w:rsidR="008574E6">
        <w:rPr>
          <w:rFonts w:ascii="Arial" w:hAnsi="Arial" w:cs="Arial"/>
        </w:rPr>
        <w:t xml:space="preserve"> b</w:t>
      </w:r>
    </w:p>
  </w:footnote>
  <w:footnote w:id="21">
    <w:p w:rsidR="00D3567E" w:rsidRPr="003D5707" w:rsidRDefault="00D3567E" w:rsidP="003D5707">
      <w:pPr>
        <w:autoSpaceDE w:val="0"/>
        <w:autoSpaceDN w:val="0"/>
        <w:adjustRightInd w:val="0"/>
        <w:rPr>
          <w:rFonts w:ascii="Arial" w:hAnsi="Arial" w:cs="Arial"/>
        </w:rPr>
      </w:pPr>
      <w:r>
        <w:rPr>
          <w:rStyle w:val="FootnoteReference"/>
        </w:rPr>
        <w:footnoteRef/>
      </w:r>
      <w:r>
        <w:t xml:space="preserve"> </w:t>
      </w:r>
      <w:r w:rsidRPr="003D5707">
        <w:rPr>
          <w:rFonts w:ascii="Arial" w:hAnsi="Arial" w:cs="Arial"/>
          <w:sz w:val="20"/>
          <w:szCs w:val="20"/>
        </w:rPr>
        <w:t>Exhibit I, Tab2</w:t>
      </w:r>
      <w:r w:rsidR="003D5707" w:rsidRPr="003D5707">
        <w:rPr>
          <w:rFonts w:ascii="Arial" w:hAnsi="Arial" w:cs="Arial"/>
          <w:sz w:val="20"/>
          <w:szCs w:val="20"/>
        </w:rPr>
        <w:t>, Schedule</w:t>
      </w:r>
      <w:r w:rsidRPr="003D5707">
        <w:rPr>
          <w:rFonts w:ascii="Arial" w:hAnsi="Arial" w:cs="Arial"/>
          <w:sz w:val="20"/>
          <w:szCs w:val="20"/>
        </w:rPr>
        <w:t>10</w:t>
      </w:r>
      <w:r w:rsidR="00D43FA6">
        <w:rPr>
          <w:rFonts w:ascii="Arial" w:hAnsi="Arial" w:cs="Arial"/>
          <w:sz w:val="20"/>
          <w:szCs w:val="20"/>
        </w:rPr>
        <w:t xml:space="preserve"> </w:t>
      </w:r>
      <w:r w:rsidR="003D5707" w:rsidRPr="003D5707">
        <w:rPr>
          <w:rFonts w:ascii="Arial" w:hAnsi="Arial" w:cs="Arial"/>
          <w:sz w:val="20"/>
          <w:szCs w:val="20"/>
        </w:rPr>
        <w:t xml:space="preserve"> </w:t>
      </w:r>
      <w:r w:rsidRPr="003D5707">
        <w:rPr>
          <w:rFonts w:ascii="Arial" w:hAnsi="Arial" w:cs="Arial"/>
          <w:sz w:val="20"/>
          <w:szCs w:val="20"/>
        </w:rPr>
        <w:t>Attachment</w:t>
      </w:r>
      <w:r w:rsidR="003D5707" w:rsidRPr="003D5707">
        <w:rPr>
          <w:rFonts w:ascii="Arial" w:hAnsi="Arial" w:cs="Arial"/>
          <w:sz w:val="20"/>
          <w:szCs w:val="20"/>
        </w:rPr>
        <w:t>s</w:t>
      </w:r>
    </w:p>
  </w:footnote>
  <w:footnote w:id="22">
    <w:p w:rsidR="00D3567E" w:rsidRPr="00D3567E" w:rsidRDefault="00D3567E">
      <w:pPr>
        <w:pStyle w:val="FootnoteText"/>
        <w:rPr>
          <w:rFonts w:ascii="Arial" w:hAnsi="Arial" w:cs="Arial"/>
        </w:rPr>
      </w:pPr>
      <w:r>
        <w:rPr>
          <w:rStyle w:val="FootnoteReference"/>
        </w:rPr>
        <w:footnoteRef/>
      </w:r>
      <w:r>
        <w:t xml:space="preserve"> </w:t>
      </w:r>
      <w:r w:rsidRPr="00D3567E">
        <w:rPr>
          <w:rFonts w:ascii="Arial" w:hAnsi="Arial" w:cs="Arial"/>
        </w:rPr>
        <w:t>Exhibit I, Tab 1,</w:t>
      </w:r>
      <w:r w:rsidR="00D43FA6">
        <w:rPr>
          <w:rFonts w:ascii="Arial" w:hAnsi="Arial" w:cs="Arial"/>
        </w:rPr>
        <w:t xml:space="preserve"> </w:t>
      </w:r>
      <w:r w:rsidRPr="00D3567E">
        <w:rPr>
          <w:rFonts w:ascii="Arial" w:hAnsi="Arial" w:cs="Arial"/>
        </w:rPr>
        <w:t>Schedule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1CA3"/>
    <w:multiLevelType w:val="hybridMultilevel"/>
    <w:tmpl w:val="0C64C702"/>
    <w:lvl w:ilvl="0" w:tplc="10090001">
      <w:start w:val="1"/>
      <w:numFmt w:val="bullet"/>
      <w:lvlText w:val=""/>
      <w:lvlJc w:val="left"/>
      <w:pPr>
        <w:ind w:left="1098" w:hanging="360"/>
      </w:pPr>
      <w:rPr>
        <w:rFonts w:ascii="Symbol" w:hAnsi="Symbol" w:hint="default"/>
      </w:rPr>
    </w:lvl>
    <w:lvl w:ilvl="1" w:tplc="10090003">
      <w:start w:val="1"/>
      <w:numFmt w:val="bullet"/>
      <w:lvlText w:val="o"/>
      <w:lvlJc w:val="left"/>
      <w:pPr>
        <w:ind w:left="1818" w:hanging="360"/>
      </w:pPr>
      <w:rPr>
        <w:rFonts w:ascii="Courier New" w:hAnsi="Courier New" w:cs="Courier New" w:hint="default"/>
      </w:rPr>
    </w:lvl>
    <w:lvl w:ilvl="2" w:tplc="10090005" w:tentative="1">
      <w:start w:val="1"/>
      <w:numFmt w:val="bullet"/>
      <w:lvlText w:val=""/>
      <w:lvlJc w:val="left"/>
      <w:pPr>
        <w:ind w:left="2538" w:hanging="360"/>
      </w:pPr>
      <w:rPr>
        <w:rFonts w:ascii="Wingdings" w:hAnsi="Wingdings" w:hint="default"/>
      </w:rPr>
    </w:lvl>
    <w:lvl w:ilvl="3" w:tplc="10090001" w:tentative="1">
      <w:start w:val="1"/>
      <w:numFmt w:val="bullet"/>
      <w:lvlText w:val=""/>
      <w:lvlJc w:val="left"/>
      <w:pPr>
        <w:ind w:left="3258" w:hanging="360"/>
      </w:pPr>
      <w:rPr>
        <w:rFonts w:ascii="Symbol" w:hAnsi="Symbol" w:hint="default"/>
      </w:rPr>
    </w:lvl>
    <w:lvl w:ilvl="4" w:tplc="10090003" w:tentative="1">
      <w:start w:val="1"/>
      <w:numFmt w:val="bullet"/>
      <w:lvlText w:val="o"/>
      <w:lvlJc w:val="left"/>
      <w:pPr>
        <w:ind w:left="3978" w:hanging="360"/>
      </w:pPr>
      <w:rPr>
        <w:rFonts w:ascii="Courier New" w:hAnsi="Courier New" w:cs="Courier New" w:hint="default"/>
      </w:rPr>
    </w:lvl>
    <w:lvl w:ilvl="5" w:tplc="10090005" w:tentative="1">
      <w:start w:val="1"/>
      <w:numFmt w:val="bullet"/>
      <w:lvlText w:val=""/>
      <w:lvlJc w:val="left"/>
      <w:pPr>
        <w:ind w:left="4698" w:hanging="360"/>
      </w:pPr>
      <w:rPr>
        <w:rFonts w:ascii="Wingdings" w:hAnsi="Wingdings" w:hint="default"/>
      </w:rPr>
    </w:lvl>
    <w:lvl w:ilvl="6" w:tplc="10090001" w:tentative="1">
      <w:start w:val="1"/>
      <w:numFmt w:val="bullet"/>
      <w:lvlText w:val=""/>
      <w:lvlJc w:val="left"/>
      <w:pPr>
        <w:ind w:left="5418" w:hanging="360"/>
      </w:pPr>
      <w:rPr>
        <w:rFonts w:ascii="Symbol" w:hAnsi="Symbol" w:hint="default"/>
      </w:rPr>
    </w:lvl>
    <w:lvl w:ilvl="7" w:tplc="10090003" w:tentative="1">
      <w:start w:val="1"/>
      <w:numFmt w:val="bullet"/>
      <w:lvlText w:val="o"/>
      <w:lvlJc w:val="left"/>
      <w:pPr>
        <w:ind w:left="6138" w:hanging="360"/>
      </w:pPr>
      <w:rPr>
        <w:rFonts w:ascii="Courier New" w:hAnsi="Courier New" w:cs="Courier New" w:hint="default"/>
      </w:rPr>
    </w:lvl>
    <w:lvl w:ilvl="8" w:tplc="10090005" w:tentative="1">
      <w:start w:val="1"/>
      <w:numFmt w:val="bullet"/>
      <w:lvlText w:val=""/>
      <w:lvlJc w:val="left"/>
      <w:pPr>
        <w:ind w:left="6858" w:hanging="360"/>
      </w:pPr>
      <w:rPr>
        <w:rFonts w:ascii="Wingdings" w:hAnsi="Wingdings" w:hint="default"/>
      </w:rPr>
    </w:lvl>
  </w:abstractNum>
  <w:abstractNum w:abstractNumId="1">
    <w:nsid w:val="09C926E6"/>
    <w:multiLevelType w:val="multilevel"/>
    <w:tmpl w:val="3A2ADB2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0AF17C7F"/>
    <w:multiLevelType w:val="hybridMultilevel"/>
    <w:tmpl w:val="BE8A2C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E74014A"/>
    <w:multiLevelType w:val="hybridMultilevel"/>
    <w:tmpl w:val="3AFC64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30F275C8"/>
    <w:multiLevelType w:val="hybridMultilevel"/>
    <w:tmpl w:val="5AFE26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AE35088"/>
    <w:multiLevelType w:val="hybridMultilevel"/>
    <w:tmpl w:val="4B1E2F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19B286E"/>
    <w:multiLevelType w:val="hybridMultilevel"/>
    <w:tmpl w:val="20EAFB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436C3C5D"/>
    <w:multiLevelType w:val="hybridMultilevel"/>
    <w:tmpl w:val="97146972"/>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8">
    <w:nsid w:val="4E723BE3"/>
    <w:multiLevelType w:val="hybridMultilevel"/>
    <w:tmpl w:val="955EE0C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nsid w:val="4EBE1FD2"/>
    <w:multiLevelType w:val="hybridMultilevel"/>
    <w:tmpl w:val="F7C61FC0"/>
    <w:lvl w:ilvl="0" w:tplc="354E8298">
      <w:start w:val="1"/>
      <w:numFmt w:val="lowerLetter"/>
      <w:pStyle w:val="Heading2a"/>
      <w:lvlText w:val="(%1)"/>
      <w:lvlJc w:val="left"/>
      <w:pPr>
        <w:ind w:left="1636"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nsid w:val="58557D63"/>
    <w:multiLevelType w:val="hybridMultilevel"/>
    <w:tmpl w:val="371803E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nsid w:val="5F4C2C86"/>
    <w:multiLevelType w:val="hybridMultilevel"/>
    <w:tmpl w:val="7CC4E9C2"/>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67480BEC"/>
    <w:multiLevelType w:val="hybridMultilevel"/>
    <w:tmpl w:val="9D4A968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nsid w:val="690526B5"/>
    <w:multiLevelType w:val="hybridMultilevel"/>
    <w:tmpl w:val="934419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6BAF6E01"/>
    <w:multiLevelType w:val="hybridMultilevel"/>
    <w:tmpl w:val="7A023D4C"/>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4"/>
  </w:num>
  <w:num w:numId="6">
    <w:abstractNumId w:val="3"/>
  </w:num>
  <w:num w:numId="7">
    <w:abstractNumId w:val="1"/>
  </w:num>
  <w:num w:numId="8">
    <w:abstractNumId w:val="0"/>
  </w:num>
  <w:num w:numId="9">
    <w:abstractNumId w:val="7"/>
  </w:num>
  <w:num w:numId="10">
    <w:abstractNumId w:val="13"/>
  </w:num>
  <w:num w:numId="11">
    <w:abstractNumId w:val="11"/>
  </w:num>
  <w:num w:numId="12">
    <w:abstractNumId w:val="14"/>
  </w:num>
  <w:num w:numId="13">
    <w:abstractNumId w:val="12"/>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98"/>
    <w:rsid w:val="000033E0"/>
    <w:rsid w:val="000157A5"/>
    <w:rsid w:val="00024115"/>
    <w:rsid w:val="00053A33"/>
    <w:rsid w:val="00056392"/>
    <w:rsid w:val="000810E9"/>
    <w:rsid w:val="000B5337"/>
    <w:rsid w:val="000D3151"/>
    <w:rsid w:val="000F3F21"/>
    <w:rsid w:val="00106E84"/>
    <w:rsid w:val="001075E2"/>
    <w:rsid w:val="00110B27"/>
    <w:rsid w:val="001177DA"/>
    <w:rsid w:val="0013729A"/>
    <w:rsid w:val="00151672"/>
    <w:rsid w:val="00154AE8"/>
    <w:rsid w:val="00164D85"/>
    <w:rsid w:val="001850A7"/>
    <w:rsid w:val="00194A70"/>
    <w:rsid w:val="001E444E"/>
    <w:rsid w:val="001E4D76"/>
    <w:rsid w:val="001F368C"/>
    <w:rsid w:val="002063E2"/>
    <w:rsid w:val="00210B72"/>
    <w:rsid w:val="002110E5"/>
    <w:rsid w:val="00211711"/>
    <w:rsid w:val="002118C6"/>
    <w:rsid w:val="00221269"/>
    <w:rsid w:val="002305C0"/>
    <w:rsid w:val="00264E99"/>
    <w:rsid w:val="00267D4F"/>
    <w:rsid w:val="00281FC4"/>
    <w:rsid w:val="002A1DF9"/>
    <w:rsid w:val="002C0CE2"/>
    <w:rsid w:val="002D0767"/>
    <w:rsid w:val="002E4B16"/>
    <w:rsid w:val="002E7E02"/>
    <w:rsid w:val="002F171E"/>
    <w:rsid w:val="00301512"/>
    <w:rsid w:val="003151FB"/>
    <w:rsid w:val="003920DD"/>
    <w:rsid w:val="003A1690"/>
    <w:rsid w:val="003B033E"/>
    <w:rsid w:val="003D0F34"/>
    <w:rsid w:val="003D20B5"/>
    <w:rsid w:val="003D5707"/>
    <w:rsid w:val="003E397B"/>
    <w:rsid w:val="003E623A"/>
    <w:rsid w:val="003E6E95"/>
    <w:rsid w:val="00416A16"/>
    <w:rsid w:val="004264C6"/>
    <w:rsid w:val="004364FB"/>
    <w:rsid w:val="004461ED"/>
    <w:rsid w:val="004A2271"/>
    <w:rsid w:val="004A623D"/>
    <w:rsid w:val="004B3694"/>
    <w:rsid w:val="004B42E7"/>
    <w:rsid w:val="004C3A28"/>
    <w:rsid w:val="004C767F"/>
    <w:rsid w:val="004E170D"/>
    <w:rsid w:val="004E34D9"/>
    <w:rsid w:val="004F1598"/>
    <w:rsid w:val="004F20F7"/>
    <w:rsid w:val="004F5354"/>
    <w:rsid w:val="005059BF"/>
    <w:rsid w:val="00511932"/>
    <w:rsid w:val="00512725"/>
    <w:rsid w:val="005157A9"/>
    <w:rsid w:val="00517AE4"/>
    <w:rsid w:val="005216F0"/>
    <w:rsid w:val="005246FC"/>
    <w:rsid w:val="00555B3C"/>
    <w:rsid w:val="00571EA4"/>
    <w:rsid w:val="00577202"/>
    <w:rsid w:val="005857DC"/>
    <w:rsid w:val="005934D6"/>
    <w:rsid w:val="005946A2"/>
    <w:rsid w:val="005947B2"/>
    <w:rsid w:val="005B0F59"/>
    <w:rsid w:val="005D1753"/>
    <w:rsid w:val="005D22DB"/>
    <w:rsid w:val="006078B8"/>
    <w:rsid w:val="00607F13"/>
    <w:rsid w:val="00653BC8"/>
    <w:rsid w:val="00665646"/>
    <w:rsid w:val="0067278B"/>
    <w:rsid w:val="00685ED9"/>
    <w:rsid w:val="006B171B"/>
    <w:rsid w:val="006C2C8D"/>
    <w:rsid w:val="0070095B"/>
    <w:rsid w:val="007114A2"/>
    <w:rsid w:val="00742E9F"/>
    <w:rsid w:val="007577EC"/>
    <w:rsid w:val="0076133A"/>
    <w:rsid w:val="007651B8"/>
    <w:rsid w:val="007725C4"/>
    <w:rsid w:val="0077544A"/>
    <w:rsid w:val="00791315"/>
    <w:rsid w:val="00795467"/>
    <w:rsid w:val="00795A12"/>
    <w:rsid w:val="007A6AC6"/>
    <w:rsid w:val="007A7049"/>
    <w:rsid w:val="007B765B"/>
    <w:rsid w:val="007C3F55"/>
    <w:rsid w:val="00817326"/>
    <w:rsid w:val="00842190"/>
    <w:rsid w:val="00854EB7"/>
    <w:rsid w:val="008574E6"/>
    <w:rsid w:val="00862BC2"/>
    <w:rsid w:val="00871712"/>
    <w:rsid w:val="00883E4A"/>
    <w:rsid w:val="00886CF4"/>
    <w:rsid w:val="00887F1F"/>
    <w:rsid w:val="008B73DC"/>
    <w:rsid w:val="008E4B78"/>
    <w:rsid w:val="008F5664"/>
    <w:rsid w:val="0090702E"/>
    <w:rsid w:val="00930CA4"/>
    <w:rsid w:val="00932305"/>
    <w:rsid w:val="00956819"/>
    <w:rsid w:val="00965865"/>
    <w:rsid w:val="00966B0F"/>
    <w:rsid w:val="0096715E"/>
    <w:rsid w:val="00984236"/>
    <w:rsid w:val="00993BA7"/>
    <w:rsid w:val="009A6845"/>
    <w:rsid w:val="00A12648"/>
    <w:rsid w:val="00A318EB"/>
    <w:rsid w:val="00A322A2"/>
    <w:rsid w:val="00A4774B"/>
    <w:rsid w:val="00A500D6"/>
    <w:rsid w:val="00A5332F"/>
    <w:rsid w:val="00A827F4"/>
    <w:rsid w:val="00A85B5A"/>
    <w:rsid w:val="00A86579"/>
    <w:rsid w:val="00A915C4"/>
    <w:rsid w:val="00AA2ADA"/>
    <w:rsid w:val="00AB4B06"/>
    <w:rsid w:val="00AC3B18"/>
    <w:rsid w:val="00AE7D46"/>
    <w:rsid w:val="00B00C44"/>
    <w:rsid w:val="00B13774"/>
    <w:rsid w:val="00B25903"/>
    <w:rsid w:val="00B433D1"/>
    <w:rsid w:val="00B51659"/>
    <w:rsid w:val="00B537E1"/>
    <w:rsid w:val="00B77D88"/>
    <w:rsid w:val="00B8259C"/>
    <w:rsid w:val="00BA3D16"/>
    <w:rsid w:val="00BB0C37"/>
    <w:rsid w:val="00BB26BC"/>
    <w:rsid w:val="00BC4D80"/>
    <w:rsid w:val="00BC7860"/>
    <w:rsid w:val="00BD04DD"/>
    <w:rsid w:val="00BF0EA2"/>
    <w:rsid w:val="00C04112"/>
    <w:rsid w:val="00C32E64"/>
    <w:rsid w:val="00C4583A"/>
    <w:rsid w:val="00C57A46"/>
    <w:rsid w:val="00C74F37"/>
    <w:rsid w:val="00C85228"/>
    <w:rsid w:val="00CA41B6"/>
    <w:rsid w:val="00CC0824"/>
    <w:rsid w:val="00CC0EF7"/>
    <w:rsid w:val="00CE24E0"/>
    <w:rsid w:val="00CE7DE9"/>
    <w:rsid w:val="00CF2600"/>
    <w:rsid w:val="00CF497F"/>
    <w:rsid w:val="00CF70E2"/>
    <w:rsid w:val="00D00408"/>
    <w:rsid w:val="00D06742"/>
    <w:rsid w:val="00D148A8"/>
    <w:rsid w:val="00D27DD0"/>
    <w:rsid w:val="00D338F4"/>
    <w:rsid w:val="00D3567E"/>
    <w:rsid w:val="00D43FA6"/>
    <w:rsid w:val="00D60491"/>
    <w:rsid w:val="00D80602"/>
    <w:rsid w:val="00D81470"/>
    <w:rsid w:val="00D81E8C"/>
    <w:rsid w:val="00D9351A"/>
    <w:rsid w:val="00DA4FEF"/>
    <w:rsid w:val="00DB040F"/>
    <w:rsid w:val="00DB778A"/>
    <w:rsid w:val="00DC4081"/>
    <w:rsid w:val="00DC4121"/>
    <w:rsid w:val="00DC5785"/>
    <w:rsid w:val="00DD0FC3"/>
    <w:rsid w:val="00DE606B"/>
    <w:rsid w:val="00E10A8E"/>
    <w:rsid w:val="00E17400"/>
    <w:rsid w:val="00E523D5"/>
    <w:rsid w:val="00E61793"/>
    <w:rsid w:val="00E61E79"/>
    <w:rsid w:val="00E70336"/>
    <w:rsid w:val="00E70E95"/>
    <w:rsid w:val="00E94EDF"/>
    <w:rsid w:val="00E95BF7"/>
    <w:rsid w:val="00EA4DBC"/>
    <w:rsid w:val="00EC69E7"/>
    <w:rsid w:val="00ED6129"/>
    <w:rsid w:val="00EE3A98"/>
    <w:rsid w:val="00EF3BC8"/>
    <w:rsid w:val="00F379CB"/>
    <w:rsid w:val="00F40AAC"/>
    <w:rsid w:val="00F41B64"/>
    <w:rsid w:val="00F528B8"/>
    <w:rsid w:val="00F643C3"/>
    <w:rsid w:val="00F86D09"/>
    <w:rsid w:val="00FC362A"/>
    <w:rsid w:val="00FD1E1E"/>
    <w:rsid w:val="00FD1E77"/>
    <w:rsid w:val="00FE6A1D"/>
    <w:rsid w:val="00FF1EE4"/>
    <w:rsid w:val="00FF6A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C4"/>
    <w:pPr>
      <w:spacing w:after="0" w:line="240" w:lineRule="auto"/>
    </w:pPr>
  </w:style>
  <w:style w:type="paragraph" w:styleId="Heading1">
    <w:name w:val="heading 1"/>
    <w:basedOn w:val="Normal"/>
    <w:next w:val="Normal"/>
    <w:link w:val="Heading1Char"/>
    <w:qFormat/>
    <w:rsid w:val="00281FC4"/>
    <w:pPr>
      <w:keepNext/>
      <w:jc w:val="center"/>
      <w:outlineLvl w:val="0"/>
    </w:pPr>
    <w:rPr>
      <w:rFonts w:ascii="Arial" w:hAnsi="Arial" w:cs="Arial"/>
      <w:b/>
      <w:bCs/>
      <w:sz w:val="48"/>
    </w:rPr>
  </w:style>
  <w:style w:type="paragraph" w:styleId="Heading8">
    <w:name w:val="heading 8"/>
    <w:basedOn w:val="Normal"/>
    <w:next w:val="Normal"/>
    <w:link w:val="Heading8Char"/>
    <w:qFormat/>
    <w:rsid w:val="00281FC4"/>
    <w:pPr>
      <w:keepNext/>
      <w:jc w:val="both"/>
      <w:outlineLvl w:val="7"/>
    </w:pPr>
    <w:rPr>
      <w:rFonts w:ascii="Arial" w:hAnsi="Arial"/>
      <w:b/>
      <w:b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1FC4"/>
    <w:rPr>
      <w:rFonts w:ascii="Arial" w:eastAsia="Times New Roman" w:hAnsi="Arial" w:cs="Arial"/>
      <w:b/>
      <w:bCs/>
      <w:sz w:val="48"/>
      <w:szCs w:val="24"/>
      <w:lang w:val="en-US"/>
    </w:rPr>
  </w:style>
  <w:style w:type="character" w:customStyle="1" w:styleId="Heading8Char">
    <w:name w:val="Heading 8 Char"/>
    <w:basedOn w:val="DefaultParagraphFont"/>
    <w:link w:val="Heading8"/>
    <w:rsid w:val="00281FC4"/>
    <w:rPr>
      <w:rFonts w:ascii="Arial" w:eastAsia="Times New Roman" w:hAnsi="Arial" w:cs="Times New Roman"/>
      <w:b/>
      <w:bCs/>
      <w:spacing w:val="-5"/>
      <w:sz w:val="20"/>
      <w:szCs w:val="20"/>
      <w:lang w:val="en-US"/>
    </w:rPr>
  </w:style>
  <w:style w:type="paragraph" w:styleId="Header">
    <w:name w:val="header"/>
    <w:basedOn w:val="Normal"/>
    <w:link w:val="HeaderChar"/>
    <w:semiHidden/>
    <w:rsid w:val="00281FC4"/>
    <w:pPr>
      <w:tabs>
        <w:tab w:val="center" w:pos="4320"/>
        <w:tab w:val="right" w:pos="8640"/>
      </w:tabs>
      <w:jc w:val="both"/>
    </w:pPr>
    <w:rPr>
      <w:rFonts w:ascii="Arial" w:hAnsi="Arial"/>
      <w:spacing w:val="-5"/>
      <w:sz w:val="20"/>
      <w:szCs w:val="20"/>
    </w:rPr>
  </w:style>
  <w:style w:type="character" w:customStyle="1" w:styleId="HeaderChar">
    <w:name w:val="Header Char"/>
    <w:basedOn w:val="DefaultParagraphFont"/>
    <w:link w:val="Header"/>
    <w:semiHidden/>
    <w:rsid w:val="00281FC4"/>
    <w:rPr>
      <w:rFonts w:ascii="Arial" w:eastAsia="Times New Roman" w:hAnsi="Arial" w:cs="Times New Roman"/>
      <w:spacing w:val="-5"/>
      <w:sz w:val="20"/>
      <w:szCs w:val="20"/>
      <w:lang w:val="en-US"/>
    </w:rPr>
  </w:style>
  <w:style w:type="paragraph" w:styleId="Footer">
    <w:name w:val="footer"/>
    <w:basedOn w:val="Normal"/>
    <w:link w:val="FooterChar"/>
    <w:uiPriority w:val="99"/>
    <w:rsid w:val="00281FC4"/>
    <w:pPr>
      <w:tabs>
        <w:tab w:val="center" w:pos="4320"/>
        <w:tab w:val="right" w:pos="8640"/>
      </w:tabs>
    </w:pPr>
  </w:style>
  <w:style w:type="character" w:customStyle="1" w:styleId="FooterChar">
    <w:name w:val="Footer Char"/>
    <w:basedOn w:val="DefaultParagraphFont"/>
    <w:link w:val="Footer"/>
    <w:uiPriority w:val="99"/>
    <w:rsid w:val="00281FC4"/>
    <w:rPr>
      <w:rFonts w:ascii="Times New Roman" w:eastAsia="Times New Roman" w:hAnsi="Times New Roman" w:cs="Times New Roman"/>
      <w:sz w:val="24"/>
      <w:szCs w:val="24"/>
      <w:lang w:val="en-US"/>
    </w:rPr>
  </w:style>
  <w:style w:type="paragraph" w:customStyle="1" w:styleId="Default">
    <w:name w:val="Default"/>
    <w:rsid w:val="00281FC4"/>
    <w:pPr>
      <w:autoSpaceDE w:val="0"/>
      <w:autoSpaceDN w:val="0"/>
      <w:adjustRightInd w:val="0"/>
      <w:spacing w:after="0" w:line="240" w:lineRule="auto"/>
    </w:pPr>
    <w:rPr>
      <w:rFonts w:ascii="Arial" w:eastAsia="SimSun" w:hAnsi="Arial" w:cs="Arial"/>
      <w:color w:val="000000"/>
      <w:lang w:val="en-US" w:eastAsia="zh-CN"/>
    </w:rPr>
  </w:style>
  <w:style w:type="paragraph" w:customStyle="1" w:styleId="BLGLetterText">
    <w:name w:val="BLGLetterText"/>
    <w:basedOn w:val="Normal"/>
    <w:rsid w:val="008F5664"/>
    <w:pPr>
      <w:spacing w:before="240"/>
    </w:pPr>
    <w:rPr>
      <w:rFonts w:eastAsia="Calibri"/>
      <w:szCs w:val="22"/>
    </w:rPr>
  </w:style>
  <w:style w:type="paragraph" w:styleId="ListParagraph">
    <w:name w:val="List Paragraph"/>
    <w:basedOn w:val="Normal"/>
    <w:uiPriority w:val="34"/>
    <w:qFormat/>
    <w:rsid w:val="008F5664"/>
    <w:pPr>
      <w:ind w:left="720"/>
      <w:contextualSpacing/>
    </w:pPr>
  </w:style>
  <w:style w:type="paragraph" w:customStyle="1" w:styleId="Heading2a">
    <w:name w:val="Heading 2 (a)"/>
    <w:basedOn w:val="BLGLetterText"/>
    <w:qFormat/>
    <w:rsid w:val="00EE3A98"/>
    <w:pPr>
      <w:numPr>
        <w:numId w:val="2"/>
      </w:numPr>
      <w:tabs>
        <w:tab w:val="left" w:pos="1440"/>
      </w:tabs>
      <w:ind w:left="1440" w:hanging="720"/>
      <w:jc w:val="both"/>
    </w:pPr>
  </w:style>
  <w:style w:type="paragraph" w:styleId="BodyText">
    <w:name w:val="Body Text"/>
    <w:basedOn w:val="Normal"/>
    <w:link w:val="BodyTextChar"/>
    <w:semiHidden/>
    <w:rsid w:val="00742E9F"/>
    <w:pPr>
      <w:jc w:val="both"/>
    </w:pPr>
    <w:rPr>
      <w:sz w:val="22"/>
    </w:rPr>
  </w:style>
  <w:style w:type="character" w:customStyle="1" w:styleId="BodyTextChar">
    <w:name w:val="Body Text Char"/>
    <w:basedOn w:val="DefaultParagraphFont"/>
    <w:link w:val="BodyText"/>
    <w:semiHidden/>
    <w:rsid w:val="00742E9F"/>
    <w:rPr>
      <w:rFonts w:ascii="Times New Roman" w:hAnsi="Times New Roman" w:cs="Times New Roman"/>
      <w:szCs w:val="24"/>
    </w:rPr>
  </w:style>
  <w:style w:type="paragraph" w:customStyle="1" w:styleId="DoubleIndent">
    <w:name w:val="Double Indent"/>
    <w:aliases w:val="di"/>
    <w:basedOn w:val="BodyText"/>
    <w:next w:val="BodyText"/>
    <w:rsid w:val="00742E9F"/>
    <w:pPr>
      <w:spacing w:after="240"/>
      <w:ind w:left="1440" w:right="1440"/>
    </w:pPr>
    <w:rPr>
      <w:rFonts w:eastAsia="Calibri"/>
      <w:sz w:val="24"/>
      <w:szCs w:val="22"/>
    </w:rPr>
  </w:style>
  <w:style w:type="paragraph" w:styleId="BalloonText">
    <w:name w:val="Balloon Text"/>
    <w:basedOn w:val="Normal"/>
    <w:link w:val="BalloonTextChar"/>
    <w:uiPriority w:val="99"/>
    <w:semiHidden/>
    <w:unhideWhenUsed/>
    <w:rsid w:val="004C3A28"/>
    <w:rPr>
      <w:rFonts w:ascii="Tahoma" w:hAnsi="Tahoma" w:cs="Tahoma"/>
      <w:sz w:val="16"/>
      <w:szCs w:val="16"/>
    </w:rPr>
  </w:style>
  <w:style w:type="character" w:customStyle="1" w:styleId="BalloonTextChar">
    <w:name w:val="Balloon Text Char"/>
    <w:basedOn w:val="DefaultParagraphFont"/>
    <w:link w:val="BalloonText"/>
    <w:uiPriority w:val="99"/>
    <w:semiHidden/>
    <w:rsid w:val="004C3A28"/>
    <w:rPr>
      <w:rFonts w:ascii="Tahoma" w:hAnsi="Tahoma" w:cs="Tahoma"/>
      <w:sz w:val="16"/>
      <w:szCs w:val="16"/>
    </w:rPr>
  </w:style>
  <w:style w:type="paragraph" w:styleId="FootnoteText">
    <w:name w:val="footnote text"/>
    <w:basedOn w:val="Normal"/>
    <w:link w:val="FootnoteTextChar"/>
    <w:uiPriority w:val="99"/>
    <w:semiHidden/>
    <w:unhideWhenUsed/>
    <w:rsid w:val="00AE7D46"/>
    <w:rPr>
      <w:sz w:val="20"/>
      <w:szCs w:val="20"/>
    </w:rPr>
  </w:style>
  <w:style w:type="character" w:customStyle="1" w:styleId="FootnoteTextChar">
    <w:name w:val="Footnote Text Char"/>
    <w:basedOn w:val="DefaultParagraphFont"/>
    <w:link w:val="FootnoteText"/>
    <w:uiPriority w:val="99"/>
    <w:semiHidden/>
    <w:rsid w:val="00AE7D46"/>
    <w:rPr>
      <w:sz w:val="20"/>
      <w:szCs w:val="20"/>
    </w:rPr>
  </w:style>
  <w:style w:type="character" w:styleId="FootnoteReference">
    <w:name w:val="footnote reference"/>
    <w:basedOn w:val="DefaultParagraphFont"/>
    <w:uiPriority w:val="99"/>
    <w:semiHidden/>
    <w:unhideWhenUsed/>
    <w:rsid w:val="00AE7D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C4"/>
    <w:pPr>
      <w:spacing w:after="0" w:line="240" w:lineRule="auto"/>
    </w:pPr>
  </w:style>
  <w:style w:type="paragraph" w:styleId="Heading1">
    <w:name w:val="heading 1"/>
    <w:basedOn w:val="Normal"/>
    <w:next w:val="Normal"/>
    <w:link w:val="Heading1Char"/>
    <w:qFormat/>
    <w:rsid w:val="00281FC4"/>
    <w:pPr>
      <w:keepNext/>
      <w:jc w:val="center"/>
      <w:outlineLvl w:val="0"/>
    </w:pPr>
    <w:rPr>
      <w:rFonts w:ascii="Arial" w:hAnsi="Arial" w:cs="Arial"/>
      <w:b/>
      <w:bCs/>
      <w:sz w:val="48"/>
    </w:rPr>
  </w:style>
  <w:style w:type="paragraph" w:styleId="Heading8">
    <w:name w:val="heading 8"/>
    <w:basedOn w:val="Normal"/>
    <w:next w:val="Normal"/>
    <w:link w:val="Heading8Char"/>
    <w:qFormat/>
    <w:rsid w:val="00281FC4"/>
    <w:pPr>
      <w:keepNext/>
      <w:jc w:val="both"/>
      <w:outlineLvl w:val="7"/>
    </w:pPr>
    <w:rPr>
      <w:rFonts w:ascii="Arial" w:hAnsi="Arial"/>
      <w:b/>
      <w:b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1FC4"/>
    <w:rPr>
      <w:rFonts w:ascii="Arial" w:eastAsia="Times New Roman" w:hAnsi="Arial" w:cs="Arial"/>
      <w:b/>
      <w:bCs/>
      <w:sz w:val="48"/>
      <w:szCs w:val="24"/>
      <w:lang w:val="en-US"/>
    </w:rPr>
  </w:style>
  <w:style w:type="character" w:customStyle="1" w:styleId="Heading8Char">
    <w:name w:val="Heading 8 Char"/>
    <w:basedOn w:val="DefaultParagraphFont"/>
    <w:link w:val="Heading8"/>
    <w:rsid w:val="00281FC4"/>
    <w:rPr>
      <w:rFonts w:ascii="Arial" w:eastAsia="Times New Roman" w:hAnsi="Arial" w:cs="Times New Roman"/>
      <w:b/>
      <w:bCs/>
      <w:spacing w:val="-5"/>
      <w:sz w:val="20"/>
      <w:szCs w:val="20"/>
      <w:lang w:val="en-US"/>
    </w:rPr>
  </w:style>
  <w:style w:type="paragraph" w:styleId="Header">
    <w:name w:val="header"/>
    <w:basedOn w:val="Normal"/>
    <w:link w:val="HeaderChar"/>
    <w:semiHidden/>
    <w:rsid w:val="00281FC4"/>
    <w:pPr>
      <w:tabs>
        <w:tab w:val="center" w:pos="4320"/>
        <w:tab w:val="right" w:pos="8640"/>
      </w:tabs>
      <w:jc w:val="both"/>
    </w:pPr>
    <w:rPr>
      <w:rFonts w:ascii="Arial" w:hAnsi="Arial"/>
      <w:spacing w:val="-5"/>
      <w:sz w:val="20"/>
      <w:szCs w:val="20"/>
    </w:rPr>
  </w:style>
  <w:style w:type="character" w:customStyle="1" w:styleId="HeaderChar">
    <w:name w:val="Header Char"/>
    <w:basedOn w:val="DefaultParagraphFont"/>
    <w:link w:val="Header"/>
    <w:semiHidden/>
    <w:rsid w:val="00281FC4"/>
    <w:rPr>
      <w:rFonts w:ascii="Arial" w:eastAsia="Times New Roman" w:hAnsi="Arial" w:cs="Times New Roman"/>
      <w:spacing w:val="-5"/>
      <w:sz w:val="20"/>
      <w:szCs w:val="20"/>
      <w:lang w:val="en-US"/>
    </w:rPr>
  </w:style>
  <w:style w:type="paragraph" w:styleId="Footer">
    <w:name w:val="footer"/>
    <w:basedOn w:val="Normal"/>
    <w:link w:val="FooterChar"/>
    <w:uiPriority w:val="99"/>
    <w:rsid w:val="00281FC4"/>
    <w:pPr>
      <w:tabs>
        <w:tab w:val="center" w:pos="4320"/>
        <w:tab w:val="right" w:pos="8640"/>
      </w:tabs>
    </w:pPr>
  </w:style>
  <w:style w:type="character" w:customStyle="1" w:styleId="FooterChar">
    <w:name w:val="Footer Char"/>
    <w:basedOn w:val="DefaultParagraphFont"/>
    <w:link w:val="Footer"/>
    <w:uiPriority w:val="99"/>
    <w:rsid w:val="00281FC4"/>
    <w:rPr>
      <w:rFonts w:ascii="Times New Roman" w:eastAsia="Times New Roman" w:hAnsi="Times New Roman" w:cs="Times New Roman"/>
      <w:sz w:val="24"/>
      <w:szCs w:val="24"/>
      <w:lang w:val="en-US"/>
    </w:rPr>
  </w:style>
  <w:style w:type="paragraph" w:customStyle="1" w:styleId="Default">
    <w:name w:val="Default"/>
    <w:rsid w:val="00281FC4"/>
    <w:pPr>
      <w:autoSpaceDE w:val="0"/>
      <w:autoSpaceDN w:val="0"/>
      <w:adjustRightInd w:val="0"/>
      <w:spacing w:after="0" w:line="240" w:lineRule="auto"/>
    </w:pPr>
    <w:rPr>
      <w:rFonts w:ascii="Arial" w:eastAsia="SimSun" w:hAnsi="Arial" w:cs="Arial"/>
      <w:color w:val="000000"/>
      <w:lang w:val="en-US" w:eastAsia="zh-CN"/>
    </w:rPr>
  </w:style>
  <w:style w:type="paragraph" w:customStyle="1" w:styleId="BLGLetterText">
    <w:name w:val="BLGLetterText"/>
    <w:basedOn w:val="Normal"/>
    <w:rsid w:val="008F5664"/>
    <w:pPr>
      <w:spacing w:before="240"/>
    </w:pPr>
    <w:rPr>
      <w:rFonts w:eastAsia="Calibri"/>
      <w:szCs w:val="22"/>
    </w:rPr>
  </w:style>
  <w:style w:type="paragraph" w:styleId="ListParagraph">
    <w:name w:val="List Paragraph"/>
    <w:basedOn w:val="Normal"/>
    <w:uiPriority w:val="34"/>
    <w:qFormat/>
    <w:rsid w:val="008F5664"/>
    <w:pPr>
      <w:ind w:left="720"/>
      <w:contextualSpacing/>
    </w:pPr>
  </w:style>
  <w:style w:type="paragraph" w:customStyle="1" w:styleId="Heading2a">
    <w:name w:val="Heading 2 (a)"/>
    <w:basedOn w:val="BLGLetterText"/>
    <w:qFormat/>
    <w:rsid w:val="00EE3A98"/>
    <w:pPr>
      <w:numPr>
        <w:numId w:val="2"/>
      </w:numPr>
      <w:tabs>
        <w:tab w:val="left" w:pos="1440"/>
      </w:tabs>
      <w:ind w:left="1440" w:hanging="720"/>
      <w:jc w:val="both"/>
    </w:pPr>
  </w:style>
  <w:style w:type="paragraph" w:styleId="BodyText">
    <w:name w:val="Body Text"/>
    <w:basedOn w:val="Normal"/>
    <w:link w:val="BodyTextChar"/>
    <w:semiHidden/>
    <w:rsid w:val="00742E9F"/>
    <w:pPr>
      <w:jc w:val="both"/>
    </w:pPr>
    <w:rPr>
      <w:sz w:val="22"/>
    </w:rPr>
  </w:style>
  <w:style w:type="character" w:customStyle="1" w:styleId="BodyTextChar">
    <w:name w:val="Body Text Char"/>
    <w:basedOn w:val="DefaultParagraphFont"/>
    <w:link w:val="BodyText"/>
    <w:semiHidden/>
    <w:rsid w:val="00742E9F"/>
    <w:rPr>
      <w:rFonts w:ascii="Times New Roman" w:hAnsi="Times New Roman" w:cs="Times New Roman"/>
      <w:szCs w:val="24"/>
    </w:rPr>
  </w:style>
  <w:style w:type="paragraph" w:customStyle="1" w:styleId="DoubleIndent">
    <w:name w:val="Double Indent"/>
    <w:aliases w:val="di"/>
    <w:basedOn w:val="BodyText"/>
    <w:next w:val="BodyText"/>
    <w:rsid w:val="00742E9F"/>
    <w:pPr>
      <w:spacing w:after="240"/>
      <w:ind w:left="1440" w:right="1440"/>
    </w:pPr>
    <w:rPr>
      <w:rFonts w:eastAsia="Calibri"/>
      <w:sz w:val="24"/>
      <w:szCs w:val="22"/>
    </w:rPr>
  </w:style>
  <w:style w:type="paragraph" w:styleId="BalloonText">
    <w:name w:val="Balloon Text"/>
    <w:basedOn w:val="Normal"/>
    <w:link w:val="BalloonTextChar"/>
    <w:uiPriority w:val="99"/>
    <w:semiHidden/>
    <w:unhideWhenUsed/>
    <w:rsid w:val="004C3A28"/>
    <w:rPr>
      <w:rFonts w:ascii="Tahoma" w:hAnsi="Tahoma" w:cs="Tahoma"/>
      <w:sz w:val="16"/>
      <w:szCs w:val="16"/>
    </w:rPr>
  </w:style>
  <w:style w:type="character" w:customStyle="1" w:styleId="BalloonTextChar">
    <w:name w:val="Balloon Text Char"/>
    <w:basedOn w:val="DefaultParagraphFont"/>
    <w:link w:val="BalloonText"/>
    <w:uiPriority w:val="99"/>
    <w:semiHidden/>
    <w:rsid w:val="004C3A28"/>
    <w:rPr>
      <w:rFonts w:ascii="Tahoma" w:hAnsi="Tahoma" w:cs="Tahoma"/>
      <w:sz w:val="16"/>
      <w:szCs w:val="16"/>
    </w:rPr>
  </w:style>
  <w:style w:type="paragraph" w:styleId="FootnoteText">
    <w:name w:val="footnote text"/>
    <w:basedOn w:val="Normal"/>
    <w:link w:val="FootnoteTextChar"/>
    <w:uiPriority w:val="99"/>
    <w:semiHidden/>
    <w:unhideWhenUsed/>
    <w:rsid w:val="00AE7D46"/>
    <w:rPr>
      <w:sz w:val="20"/>
      <w:szCs w:val="20"/>
    </w:rPr>
  </w:style>
  <w:style w:type="character" w:customStyle="1" w:styleId="FootnoteTextChar">
    <w:name w:val="Footnote Text Char"/>
    <w:basedOn w:val="DefaultParagraphFont"/>
    <w:link w:val="FootnoteText"/>
    <w:uiPriority w:val="99"/>
    <w:semiHidden/>
    <w:rsid w:val="00AE7D46"/>
    <w:rPr>
      <w:sz w:val="20"/>
      <w:szCs w:val="20"/>
    </w:rPr>
  </w:style>
  <w:style w:type="character" w:styleId="FootnoteReference">
    <w:name w:val="footnote reference"/>
    <w:basedOn w:val="DefaultParagraphFont"/>
    <w:uiPriority w:val="99"/>
    <w:semiHidden/>
    <w:unhideWhenUsed/>
    <w:rsid w:val="00AE7D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8BCB2-9B07-4FCF-9239-D183F598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4327</Words>
  <Characters>24664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dcterms:created xsi:type="dcterms:W3CDTF">2016-07-13T13:04:00Z</dcterms:created>
  <dcterms:modified xsi:type="dcterms:W3CDTF">2016-07-13T18:33:00Z</dcterms:modified>
</cp:coreProperties>
</file>