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76FBB" w14:textId="6EC0ABA3" w:rsidR="00F10127" w:rsidRDefault="00D406B9" w:rsidP="002E5982">
      <w:pPr>
        <w:pStyle w:val="Heading1"/>
      </w:pPr>
      <w:bookmarkStart w:id="0" w:name="_GoBack"/>
      <w:bookmarkEnd w:id="0"/>
      <w:r>
        <w:t xml:space="preserve">CustomerFirst </w:t>
      </w:r>
      <w:r w:rsidR="00723BFA">
        <w:t xml:space="preserve">Enhanced TOU </w:t>
      </w:r>
      <w:r>
        <w:t>Pilot</w:t>
      </w:r>
      <w:r w:rsidR="00723BFA">
        <w:t xml:space="preserve"> Program</w:t>
      </w:r>
    </w:p>
    <w:p w14:paraId="5ABFBFFA" w14:textId="0934C8F2" w:rsidR="00AA2219" w:rsidRDefault="00AA2219" w:rsidP="00035731">
      <w:pPr>
        <w:pStyle w:val="Heading2"/>
      </w:pPr>
      <w:r>
        <w:t>Application for Pilot Project on RPP Pricing</w:t>
      </w:r>
    </w:p>
    <w:p w14:paraId="5993B11A" w14:textId="70857470" w:rsidR="00035731" w:rsidRDefault="00723BFA" w:rsidP="00035731">
      <w:pPr>
        <w:pStyle w:val="Heading2"/>
      </w:pPr>
      <w:r>
        <w:t>Submitted</w:t>
      </w:r>
      <w:r w:rsidR="00AA2219">
        <w:t xml:space="preserve"> to the Ontario Energy Board, </w:t>
      </w:r>
      <w:r w:rsidR="00035731">
        <w:t>August 1</w:t>
      </w:r>
      <w:r>
        <w:t>9</w:t>
      </w:r>
      <w:r w:rsidR="00035731">
        <w:t>, 2016</w:t>
      </w:r>
    </w:p>
    <w:p w14:paraId="11FE0612" w14:textId="77777777" w:rsidR="00035731" w:rsidRPr="00035731" w:rsidRDefault="00035731" w:rsidP="00035731"/>
    <w:tbl>
      <w:tblPr>
        <w:tblStyle w:val="TableGrid"/>
        <w:tblW w:w="9288" w:type="dxa"/>
        <w:tblLook w:val="04A0" w:firstRow="1" w:lastRow="0" w:firstColumn="1" w:lastColumn="0" w:noHBand="0" w:noVBand="1"/>
      </w:tblPr>
      <w:tblGrid>
        <w:gridCol w:w="2538"/>
        <w:gridCol w:w="6750"/>
      </w:tblGrid>
      <w:tr w:rsidR="002E5982" w14:paraId="5C00C244" w14:textId="77777777" w:rsidTr="002432E8">
        <w:tc>
          <w:tcPr>
            <w:tcW w:w="9288" w:type="dxa"/>
            <w:gridSpan w:val="2"/>
            <w:shd w:val="clear" w:color="auto" w:fill="0D0D0D" w:themeFill="text1" w:themeFillTint="F2"/>
          </w:tcPr>
          <w:p w14:paraId="593B88ED" w14:textId="77777777" w:rsidR="002E5982" w:rsidRPr="002E5982" w:rsidRDefault="002E5982" w:rsidP="002E5982">
            <w:pPr>
              <w:pStyle w:val="ListParagraph"/>
              <w:numPr>
                <w:ilvl w:val="0"/>
                <w:numId w:val="2"/>
              </w:numPr>
              <w:rPr>
                <w:b/>
              </w:rPr>
            </w:pPr>
            <w:r w:rsidRPr="002E5982">
              <w:rPr>
                <w:b/>
              </w:rPr>
              <w:t>Key Information</w:t>
            </w:r>
          </w:p>
        </w:tc>
      </w:tr>
      <w:tr w:rsidR="002E5982" w14:paraId="00093F5B" w14:textId="77777777" w:rsidTr="002432E8">
        <w:tc>
          <w:tcPr>
            <w:tcW w:w="2538" w:type="dxa"/>
          </w:tcPr>
          <w:p w14:paraId="24298033" w14:textId="77777777" w:rsidR="002E5982" w:rsidRDefault="002E5982">
            <w:r>
              <w:t>Project title:</w:t>
            </w:r>
          </w:p>
        </w:tc>
        <w:tc>
          <w:tcPr>
            <w:tcW w:w="6750" w:type="dxa"/>
          </w:tcPr>
          <w:p w14:paraId="6727E1AB" w14:textId="77777777" w:rsidR="002E5982" w:rsidRDefault="002E5982">
            <w:r>
              <w:t>CustomerFirst Enhanced TOU Pilot Program</w:t>
            </w:r>
          </w:p>
        </w:tc>
      </w:tr>
      <w:tr w:rsidR="002E5982" w14:paraId="58984F3E" w14:textId="77777777" w:rsidTr="002432E8">
        <w:tc>
          <w:tcPr>
            <w:tcW w:w="2538" w:type="dxa"/>
          </w:tcPr>
          <w:p w14:paraId="7DD03E8D" w14:textId="77777777" w:rsidR="002E5982" w:rsidRDefault="002E5982">
            <w:r>
              <w:t>Distributors:</w:t>
            </w:r>
          </w:p>
        </w:tc>
        <w:tc>
          <w:tcPr>
            <w:tcW w:w="6750" w:type="dxa"/>
          </w:tcPr>
          <w:p w14:paraId="38FCA5C7" w14:textId="77777777" w:rsidR="00773801" w:rsidRDefault="00773801" w:rsidP="00773801">
            <w:pPr>
              <w:pStyle w:val="ListParagraph"/>
              <w:numPr>
                <w:ilvl w:val="0"/>
                <w:numId w:val="4"/>
              </w:numPr>
            </w:pPr>
            <w:r w:rsidRPr="00FE4555">
              <w:t>Newmark</w:t>
            </w:r>
            <w:r>
              <w:t>et-Tay Power Distribution Ltd.</w:t>
            </w:r>
          </w:p>
          <w:p w14:paraId="4F70A2D3" w14:textId="77777777" w:rsidR="00FE4555" w:rsidRDefault="00FE4555" w:rsidP="00FE4555">
            <w:pPr>
              <w:pStyle w:val="ListParagraph"/>
              <w:numPr>
                <w:ilvl w:val="0"/>
                <w:numId w:val="4"/>
              </w:numPr>
            </w:pPr>
            <w:r w:rsidRPr="00FE4555">
              <w:t>Greater Sudbury</w:t>
            </w:r>
            <w:r>
              <w:t xml:space="preserve"> Hydro Inc.</w:t>
            </w:r>
          </w:p>
          <w:p w14:paraId="7C877642" w14:textId="77777777" w:rsidR="00FE4555" w:rsidRDefault="00FE4555" w:rsidP="00FE4555">
            <w:pPr>
              <w:pStyle w:val="ListParagraph"/>
              <w:numPr>
                <w:ilvl w:val="0"/>
                <w:numId w:val="4"/>
              </w:numPr>
            </w:pPr>
            <w:r w:rsidRPr="00FE4555">
              <w:t>Nor</w:t>
            </w:r>
            <w:r>
              <w:t>th Bay Hydro Distribution Ltd.</w:t>
            </w:r>
          </w:p>
          <w:p w14:paraId="73D0ACAC" w14:textId="77777777" w:rsidR="00FE4555" w:rsidRDefault="00FE4555" w:rsidP="00FE4555">
            <w:pPr>
              <w:pStyle w:val="ListParagraph"/>
              <w:numPr>
                <w:ilvl w:val="0"/>
                <w:numId w:val="4"/>
              </w:numPr>
            </w:pPr>
            <w:r>
              <w:t>Northern Ontario Wires Inc.</w:t>
            </w:r>
          </w:p>
          <w:p w14:paraId="277D3580" w14:textId="77777777" w:rsidR="00FE4555" w:rsidRDefault="00FE4555" w:rsidP="00FE4555">
            <w:pPr>
              <w:pStyle w:val="ListParagraph"/>
              <w:numPr>
                <w:ilvl w:val="0"/>
                <w:numId w:val="4"/>
              </w:numPr>
            </w:pPr>
            <w:r>
              <w:t>PUC Distribution Inc.</w:t>
            </w:r>
          </w:p>
          <w:p w14:paraId="097A4273" w14:textId="77777777" w:rsidR="00FE4555" w:rsidRDefault="00FE4555" w:rsidP="00FE4555">
            <w:pPr>
              <w:pStyle w:val="ListParagraph"/>
              <w:numPr>
                <w:ilvl w:val="0"/>
                <w:numId w:val="4"/>
              </w:numPr>
            </w:pPr>
            <w:r>
              <w:t>St. Thomas Energy Inc.</w:t>
            </w:r>
          </w:p>
          <w:p w14:paraId="3253EC2D" w14:textId="77777777" w:rsidR="002E5982" w:rsidRDefault="00FE4555" w:rsidP="00FE4555">
            <w:pPr>
              <w:pStyle w:val="ListParagraph"/>
              <w:numPr>
                <w:ilvl w:val="0"/>
                <w:numId w:val="4"/>
              </w:numPr>
            </w:pPr>
            <w:r w:rsidRPr="00FE4555">
              <w:t>Espanola Regional</w:t>
            </w:r>
            <w:r>
              <w:t xml:space="preserve"> Hydro Distribution Corporation</w:t>
            </w:r>
          </w:p>
        </w:tc>
      </w:tr>
      <w:tr w:rsidR="002E5982" w14:paraId="5CCFB327" w14:textId="77777777" w:rsidTr="002432E8">
        <w:tc>
          <w:tcPr>
            <w:tcW w:w="2538" w:type="dxa"/>
          </w:tcPr>
          <w:p w14:paraId="6624CFA5" w14:textId="77777777" w:rsidR="002E5982" w:rsidRDefault="002E5982">
            <w:r>
              <w:t>Applicant Contact Name:</w:t>
            </w:r>
          </w:p>
        </w:tc>
        <w:tc>
          <w:tcPr>
            <w:tcW w:w="6750" w:type="dxa"/>
          </w:tcPr>
          <w:p w14:paraId="2D3EC9C7" w14:textId="77777777" w:rsidR="002E5982" w:rsidRDefault="002E5982">
            <w:r>
              <w:t>Chris Barker</w:t>
            </w:r>
          </w:p>
        </w:tc>
      </w:tr>
      <w:tr w:rsidR="002E5982" w14:paraId="58B0B6BD" w14:textId="77777777" w:rsidTr="002432E8">
        <w:tc>
          <w:tcPr>
            <w:tcW w:w="2538" w:type="dxa"/>
          </w:tcPr>
          <w:p w14:paraId="2718D389" w14:textId="77777777" w:rsidR="002E5982" w:rsidRDefault="002E5982">
            <w:r>
              <w:t>Applicant Contact Title:</w:t>
            </w:r>
          </w:p>
        </w:tc>
        <w:tc>
          <w:tcPr>
            <w:tcW w:w="6750" w:type="dxa"/>
          </w:tcPr>
          <w:p w14:paraId="7E77E59D" w14:textId="77777777" w:rsidR="002E5982" w:rsidRDefault="002E5982">
            <w:r>
              <w:t>Executive Director, Conservation</w:t>
            </w:r>
          </w:p>
        </w:tc>
      </w:tr>
      <w:tr w:rsidR="002E5982" w14:paraId="57853FE9" w14:textId="77777777" w:rsidTr="002432E8">
        <w:tc>
          <w:tcPr>
            <w:tcW w:w="2538" w:type="dxa"/>
          </w:tcPr>
          <w:p w14:paraId="0E5F507F" w14:textId="77777777" w:rsidR="002E5982" w:rsidRDefault="002E5982">
            <w:r>
              <w:t>Mailing Address:</w:t>
            </w:r>
          </w:p>
        </w:tc>
        <w:tc>
          <w:tcPr>
            <w:tcW w:w="6750" w:type="dxa"/>
          </w:tcPr>
          <w:p w14:paraId="313A2008" w14:textId="71161DAF" w:rsidR="00723BFA" w:rsidRDefault="002E5982" w:rsidP="00723BFA">
            <w:r>
              <w:t>3080 Yonge Street</w:t>
            </w:r>
            <w:r w:rsidR="00723BFA">
              <w:t xml:space="preserve">, </w:t>
            </w:r>
            <w:r w:rsidR="00723BFA">
              <w:t>Suite 6060</w:t>
            </w:r>
          </w:p>
          <w:p w14:paraId="7F96C065" w14:textId="77777777" w:rsidR="002E5982" w:rsidRDefault="002E5982">
            <w:r>
              <w:t>Toronto, ON</w:t>
            </w:r>
          </w:p>
          <w:p w14:paraId="555FCE96" w14:textId="77777777" w:rsidR="002E5982" w:rsidRDefault="002E5982">
            <w:r>
              <w:t>M4N 3N1</w:t>
            </w:r>
          </w:p>
        </w:tc>
      </w:tr>
      <w:tr w:rsidR="002E5982" w14:paraId="2AC2B1A9" w14:textId="77777777" w:rsidTr="002432E8">
        <w:tc>
          <w:tcPr>
            <w:tcW w:w="2538" w:type="dxa"/>
          </w:tcPr>
          <w:p w14:paraId="2DF1AB4E" w14:textId="77777777" w:rsidR="002E5982" w:rsidRDefault="002E5982">
            <w:r>
              <w:t>Phone:</w:t>
            </w:r>
          </w:p>
        </w:tc>
        <w:tc>
          <w:tcPr>
            <w:tcW w:w="6750" w:type="dxa"/>
          </w:tcPr>
          <w:p w14:paraId="2B45AB20" w14:textId="77777777" w:rsidR="002E5982" w:rsidRDefault="002E5982">
            <w:r>
              <w:t>647 255-8845</w:t>
            </w:r>
          </w:p>
        </w:tc>
      </w:tr>
      <w:tr w:rsidR="002E5982" w14:paraId="1BBA6708" w14:textId="77777777" w:rsidTr="002432E8">
        <w:tc>
          <w:tcPr>
            <w:tcW w:w="2538" w:type="dxa"/>
          </w:tcPr>
          <w:p w14:paraId="0A265B5E" w14:textId="77777777" w:rsidR="002E5982" w:rsidRDefault="002E5982">
            <w:r>
              <w:t>Email:</w:t>
            </w:r>
          </w:p>
        </w:tc>
        <w:tc>
          <w:tcPr>
            <w:tcW w:w="6750" w:type="dxa"/>
          </w:tcPr>
          <w:p w14:paraId="7C8BD6BF" w14:textId="77777777" w:rsidR="002E5982" w:rsidRDefault="00AB37BE">
            <w:hyperlink r:id="rId8" w:history="1">
              <w:r w:rsidR="002E5982" w:rsidRPr="00D661E7">
                <w:rPr>
                  <w:rStyle w:val="Hyperlink"/>
                </w:rPr>
                <w:t>chris.barker@customerfirstinc.com</w:t>
              </w:r>
            </w:hyperlink>
          </w:p>
        </w:tc>
      </w:tr>
      <w:tr w:rsidR="002E5982" w14:paraId="3F39EAFD" w14:textId="77777777" w:rsidTr="002432E8">
        <w:tc>
          <w:tcPr>
            <w:tcW w:w="2538" w:type="dxa"/>
          </w:tcPr>
          <w:p w14:paraId="590F6B4E" w14:textId="77777777" w:rsidR="002E5982" w:rsidRDefault="002E5982">
            <w:r>
              <w:t>Submission Date:</w:t>
            </w:r>
          </w:p>
        </w:tc>
        <w:tc>
          <w:tcPr>
            <w:tcW w:w="6750" w:type="dxa"/>
          </w:tcPr>
          <w:p w14:paraId="3F948187" w14:textId="6D929A90" w:rsidR="002E5982" w:rsidRDefault="002E5982">
            <w:r>
              <w:t xml:space="preserve">August </w:t>
            </w:r>
            <w:r w:rsidR="00773801">
              <w:t>19</w:t>
            </w:r>
            <w:r>
              <w:t>, 2016</w:t>
            </w:r>
          </w:p>
        </w:tc>
      </w:tr>
    </w:tbl>
    <w:p w14:paraId="2BF8C8AC" w14:textId="77777777" w:rsidR="002E5982" w:rsidRDefault="002E5982"/>
    <w:tbl>
      <w:tblPr>
        <w:tblStyle w:val="TableGrid"/>
        <w:tblW w:w="0" w:type="auto"/>
        <w:tblLook w:val="04A0" w:firstRow="1" w:lastRow="0" w:firstColumn="1" w:lastColumn="0" w:noHBand="0" w:noVBand="1"/>
      </w:tblPr>
      <w:tblGrid>
        <w:gridCol w:w="4675"/>
        <w:gridCol w:w="4675"/>
      </w:tblGrid>
      <w:tr w:rsidR="00DC7CBD" w14:paraId="1D20B25D" w14:textId="77777777" w:rsidTr="00DC7CBD">
        <w:tc>
          <w:tcPr>
            <w:tcW w:w="9350" w:type="dxa"/>
            <w:gridSpan w:val="2"/>
            <w:shd w:val="clear" w:color="auto" w:fill="0D0D0D" w:themeFill="text1" w:themeFillTint="F2"/>
          </w:tcPr>
          <w:p w14:paraId="02374362" w14:textId="77777777" w:rsidR="00DC7CBD" w:rsidRPr="00DC7CBD" w:rsidRDefault="00DC7CBD" w:rsidP="00DC7CBD">
            <w:pPr>
              <w:pStyle w:val="ListParagraph"/>
              <w:numPr>
                <w:ilvl w:val="0"/>
                <w:numId w:val="2"/>
              </w:numPr>
              <w:rPr>
                <w:b/>
              </w:rPr>
            </w:pPr>
            <w:r>
              <w:t xml:space="preserve"> </w:t>
            </w:r>
            <w:r w:rsidRPr="00DC7CBD">
              <w:rPr>
                <w:b/>
              </w:rPr>
              <w:t>Project Overview</w:t>
            </w:r>
          </w:p>
        </w:tc>
      </w:tr>
      <w:tr w:rsidR="00DC7CBD" w14:paraId="387EE6D8" w14:textId="77777777" w:rsidTr="002375FE">
        <w:tc>
          <w:tcPr>
            <w:tcW w:w="9350" w:type="dxa"/>
            <w:gridSpan w:val="2"/>
            <w:shd w:val="clear" w:color="auto" w:fill="F2F2F2" w:themeFill="background1" w:themeFillShade="F2"/>
          </w:tcPr>
          <w:p w14:paraId="0A675044" w14:textId="77777777" w:rsidR="00DC7CBD" w:rsidRPr="00DC7CBD" w:rsidRDefault="00DC7CBD" w:rsidP="002375FE">
            <w:pPr>
              <w:tabs>
                <w:tab w:val="left" w:pos="6732"/>
              </w:tabs>
              <w:rPr>
                <w:b/>
              </w:rPr>
            </w:pPr>
            <w:r w:rsidRPr="00DC7CBD">
              <w:rPr>
                <w:b/>
              </w:rPr>
              <w:t>Regulated Price Plan Category</w:t>
            </w:r>
            <w:r w:rsidR="002375FE">
              <w:rPr>
                <w:b/>
              </w:rPr>
              <w:tab/>
            </w:r>
          </w:p>
        </w:tc>
      </w:tr>
      <w:tr w:rsidR="00DC7CBD" w14:paraId="3E462C7B" w14:textId="77777777" w:rsidTr="00DC7CBD">
        <w:tc>
          <w:tcPr>
            <w:tcW w:w="4675" w:type="dxa"/>
          </w:tcPr>
          <w:p w14:paraId="776AB166" w14:textId="77777777" w:rsidR="00DC7CBD" w:rsidRDefault="00344461" w:rsidP="00162BC8">
            <w:sdt>
              <w:sdtPr>
                <w:id w:val="459768589"/>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Price</w:t>
            </w:r>
          </w:p>
        </w:tc>
        <w:tc>
          <w:tcPr>
            <w:tcW w:w="4675" w:type="dxa"/>
          </w:tcPr>
          <w:p w14:paraId="53249A74" w14:textId="77777777" w:rsidR="00DC7CBD" w:rsidRDefault="00344461">
            <w:sdt>
              <w:sdtPr>
                <w:id w:val="2025670939"/>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Non-Price</w:t>
            </w:r>
          </w:p>
        </w:tc>
      </w:tr>
      <w:tr w:rsidR="00DC7CBD" w14:paraId="4962F572" w14:textId="77777777" w:rsidTr="00DC7CBD">
        <w:tc>
          <w:tcPr>
            <w:tcW w:w="4675" w:type="dxa"/>
          </w:tcPr>
          <w:p w14:paraId="25254A72" w14:textId="77777777" w:rsidR="00DC7CBD" w:rsidRDefault="00DC7CBD"/>
        </w:tc>
        <w:tc>
          <w:tcPr>
            <w:tcW w:w="4675" w:type="dxa"/>
          </w:tcPr>
          <w:p w14:paraId="22A5B023" w14:textId="77777777" w:rsidR="00DC7CBD" w:rsidRDefault="00DC7CBD"/>
        </w:tc>
      </w:tr>
      <w:tr w:rsidR="006963B0" w14:paraId="61B5A03F" w14:textId="77777777" w:rsidTr="002375FE">
        <w:tc>
          <w:tcPr>
            <w:tcW w:w="9350" w:type="dxa"/>
            <w:gridSpan w:val="2"/>
            <w:shd w:val="clear" w:color="auto" w:fill="F2F2F2" w:themeFill="background1" w:themeFillShade="F2"/>
          </w:tcPr>
          <w:p w14:paraId="746F023C" w14:textId="77777777" w:rsidR="006963B0" w:rsidRPr="006963B0" w:rsidRDefault="006963B0" w:rsidP="002375FE">
            <w:pPr>
              <w:tabs>
                <w:tab w:val="left" w:pos="2550"/>
                <w:tab w:val="left" w:pos="5952"/>
              </w:tabs>
              <w:rPr>
                <w:b/>
              </w:rPr>
            </w:pPr>
            <w:r w:rsidRPr="006963B0">
              <w:rPr>
                <w:b/>
              </w:rPr>
              <w:t>Target Market</w:t>
            </w:r>
            <w:r w:rsidRPr="006963B0">
              <w:rPr>
                <w:b/>
              </w:rPr>
              <w:tab/>
            </w:r>
            <w:r w:rsidR="002375FE">
              <w:rPr>
                <w:b/>
              </w:rPr>
              <w:tab/>
            </w:r>
          </w:p>
        </w:tc>
      </w:tr>
      <w:tr w:rsidR="00DC7CBD" w14:paraId="2587571B" w14:textId="77777777" w:rsidTr="00DC7CBD">
        <w:tc>
          <w:tcPr>
            <w:tcW w:w="4675" w:type="dxa"/>
          </w:tcPr>
          <w:p w14:paraId="0FD172D2" w14:textId="438CB94F" w:rsidR="00DC7CBD" w:rsidRDefault="00344461">
            <w:sdt>
              <w:sdtPr>
                <w:id w:val="-267083054"/>
                <w14:checkbox>
                  <w14:checked w14:val="1"/>
                  <w14:checkedState w14:val="2612" w14:font="MS Gothic"/>
                  <w14:uncheckedState w14:val="2610" w14:font="MS Gothic"/>
                </w14:checkbox>
              </w:sdtPr>
              <w:sdtContent>
                <w:r w:rsidR="00773801">
                  <w:rPr>
                    <w:rFonts w:ascii="MS Gothic" w:eastAsia="MS Gothic" w:hAnsi="MS Gothic" w:hint="eastAsia"/>
                  </w:rPr>
                  <w:t>☒</w:t>
                </w:r>
              </w:sdtContent>
            </w:sdt>
            <w:r w:rsidR="006963B0">
              <w:t>Existing Homes</w:t>
            </w:r>
          </w:p>
        </w:tc>
        <w:tc>
          <w:tcPr>
            <w:tcW w:w="4675" w:type="dxa"/>
          </w:tcPr>
          <w:p w14:paraId="712EA546" w14:textId="77777777" w:rsidR="00DC7CBD" w:rsidRDefault="00344461">
            <w:sdt>
              <w:sdtPr>
                <w:id w:val="-1162540063"/>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High Usage Customers</w:t>
            </w:r>
          </w:p>
        </w:tc>
      </w:tr>
      <w:tr w:rsidR="00DC7CBD" w14:paraId="0A72FEFD" w14:textId="77777777" w:rsidTr="00DC7CBD">
        <w:tc>
          <w:tcPr>
            <w:tcW w:w="4675" w:type="dxa"/>
          </w:tcPr>
          <w:p w14:paraId="54257735" w14:textId="267CB1CC" w:rsidR="00DC7CBD" w:rsidRDefault="00344461">
            <w:sdt>
              <w:sdtPr>
                <w:id w:val="-1530022415"/>
                <w14:checkbox>
                  <w14:checked w14:val="0"/>
                  <w14:checkedState w14:val="2612" w14:font="MS Gothic"/>
                  <w14:uncheckedState w14:val="2610" w14:font="MS Gothic"/>
                </w14:checkbox>
              </w:sdtPr>
              <w:sdtContent>
                <w:r w:rsidR="00773801">
                  <w:rPr>
                    <w:rFonts w:ascii="MS Gothic" w:eastAsia="MS Gothic" w:hAnsi="MS Gothic" w:hint="eastAsia"/>
                  </w:rPr>
                  <w:t>☐</w:t>
                </w:r>
              </w:sdtContent>
            </w:sdt>
            <w:r w:rsidR="006963B0">
              <w:t>New Homes</w:t>
            </w:r>
          </w:p>
        </w:tc>
        <w:tc>
          <w:tcPr>
            <w:tcW w:w="4675" w:type="dxa"/>
          </w:tcPr>
          <w:p w14:paraId="3C5B0246" w14:textId="77777777" w:rsidR="00DC7CBD" w:rsidRDefault="00344461">
            <w:sdt>
              <w:sdtPr>
                <w:id w:val="-90395897"/>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D12F10">
              <w:t>Other: Customers with e</w:t>
            </w:r>
            <w:r w:rsidR="006963B0">
              <w:t>lectric heating</w:t>
            </w:r>
          </w:p>
        </w:tc>
      </w:tr>
      <w:tr w:rsidR="00DC7CBD" w14:paraId="430D088C" w14:textId="77777777" w:rsidTr="00DC7CBD">
        <w:tc>
          <w:tcPr>
            <w:tcW w:w="4675" w:type="dxa"/>
          </w:tcPr>
          <w:p w14:paraId="78ACF54A" w14:textId="77777777" w:rsidR="00DC7CBD" w:rsidRDefault="00344461">
            <w:sdt>
              <w:sdtPr>
                <w:id w:val="829639676"/>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Multi-family</w:t>
            </w:r>
          </w:p>
        </w:tc>
        <w:tc>
          <w:tcPr>
            <w:tcW w:w="4675" w:type="dxa"/>
          </w:tcPr>
          <w:p w14:paraId="1E4B1FBB" w14:textId="77777777" w:rsidR="00DC7CBD" w:rsidRDefault="00DC7CBD"/>
        </w:tc>
      </w:tr>
      <w:tr w:rsidR="00DC7CBD" w14:paraId="5775F27F" w14:textId="77777777" w:rsidTr="00833242">
        <w:tc>
          <w:tcPr>
            <w:tcW w:w="4675" w:type="dxa"/>
          </w:tcPr>
          <w:p w14:paraId="660DC4DD" w14:textId="77777777" w:rsidR="00DC7CBD" w:rsidRDefault="00344461" w:rsidP="00833242">
            <w:sdt>
              <w:sdtPr>
                <w:id w:val="1657348993"/>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Single family</w:t>
            </w:r>
          </w:p>
        </w:tc>
        <w:tc>
          <w:tcPr>
            <w:tcW w:w="4675" w:type="dxa"/>
          </w:tcPr>
          <w:p w14:paraId="3946429A" w14:textId="77777777" w:rsidR="00DC7CBD" w:rsidRDefault="00DC7CBD" w:rsidP="00833242"/>
        </w:tc>
      </w:tr>
      <w:tr w:rsidR="00DC7CBD" w14:paraId="76DB9785" w14:textId="77777777" w:rsidTr="00833242">
        <w:tc>
          <w:tcPr>
            <w:tcW w:w="4675" w:type="dxa"/>
          </w:tcPr>
          <w:p w14:paraId="62E4E932" w14:textId="77777777" w:rsidR="00DC7CBD" w:rsidRDefault="00344461" w:rsidP="00833242">
            <w:sdt>
              <w:sdtPr>
                <w:id w:val="1465469590"/>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Low Income Customers</w:t>
            </w:r>
          </w:p>
        </w:tc>
        <w:tc>
          <w:tcPr>
            <w:tcW w:w="4675" w:type="dxa"/>
          </w:tcPr>
          <w:p w14:paraId="02D3150F" w14:textId="77777777" w:rsidR="00DC7CBD" w:rsidRDefault="00DC7CBD" w:rsidP="00833242"/>
        </w:tc>
      </w:tr>
      <w:tr w:rsidR="00DC7CBD" w14:paraId="5E23A921" w14:textId="77777777" w:rsidTr="00833242">
        <w:tc>
          <w:tcPr>
            <w:tcW w:w="4675" w:type="dxa"/>
          </w:tcPr>
          <w:p w14:paraId="6150B690" w14:textId="77777777" w:rsidR="00DC7CBD" w:rsidRDefault="00DC7CBD" w:rsidP="00833242"/>
        </w:tc>
        <w:tc>
          <w:tcPr>
            <w:tcW w:w="4675" w:type="dxa"/>
          </w:tcPr>
          <w:p w14:paraId="70789CC8" w14:textId="77777777" w:rsidR="00DC7CBD" w:rsidRDefault="00DC7CBD" w:rsidP="00833242"/>
        </w:tc>
      </w:tr>
      <w:tr w:rsidR="006963B0" w14:paraId="6A58FD60" w14:textId="77777777" w:rsidTr="002375FE">
        <w:tc>
          <w:tcPr>
            <w:tcW w:w="9350" w:type="dxa"/>
            <w:gridSpan w:val="2"/>
            <w:shd w:val="clear" w:color="auto" w:fill="F2F2F2" w:themeFill="background1" w:themeFillShade="F2"/>
          </w:tcPr>
          <w:p w14:paraId="191C363A" w14:textId="77777777" w:rsidR="006963B0" w:rsidRPr="006963B0" w:rsidRDefault="006963B0" w:rsidP="006963B0">
            <w:pPr>
              <w:tabs>
                <w:tab w:val="center" w:pos="4567"/>
              </w:tabs>
              <w:rPr>
                <w:b/>
              </w:rPr>
            </w:pPr>
            <w:r w:rsidRPr="006963B0">
              <w:rPr>
                <w:b/>
              </w:rPr>
              <w:t>Project Type</w:t>
            </w:r>
            <w:r w:rsidRPr="006963B0">
              <w:rPr>
                <w:b/>
              </w:rPr>
              <w:tab/>
            </w:r>
          </w:p>
        </w:tc>
      </w:tr>
      <w:tr w:rsidR="006963B0" w14:paraId="39BA0A58" w14:textId="77777777" w:rsidTr="00833242">
        <w:tc>
          <w:tcPr>
            <w:tcW w:w="4675" w:type="dxa"/>
          </w:tcPr>
          <w:p w14:paraId="72FD2F74" w14:textId="77777777" w:rsidR="006963B0" w:rsidRDefault="00344461" w:rsidP="00833242">
            <w:sdt>
              <w:sdtPr>
                <w:id w:val="-1619824177"/>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Time-of-use</w:t>
            </w:r>
          </w:p>
        </w:tc>
        <w:tc>
          <w:tcPr>
            <w:tcW w:w="4675" w:type="dxa"/>
          </w:tcPr>
          <w:p w14:paraId="76125E56" w14:textId="77777777" w:rsidR="006963B0" w:rsidRDefault="00344461" w:rsidP="00833242">
            <w:sdt>
              <w:sdtPr>
                <w:id w:val="-436063039"/>
                <w14:checkbox>
                  <w14:checked w14:val="0"/>
                  <w14:checkedState w14:val="2612" w14:font="MS Gothic"/>
                  <w14:uncheckedState w14:val="2610" w14:font="MS Gothic"/>
                </w14:checkbox>
              </w:sdtPr>
              <w:sdtContent>
                <w:r w:rsidR="00FE4555">
                  <w:rPr>
                    <w:rFonts w:ascii="MS Gothic" w:eastAsia="MS Gothic" w:hAnsi="MS Gothic" w:hint="eastAsia"/>
                  </w:rPr>
                  <w:t>☐</w:t>
                </w:r>
              </w:sdtContent>
            </w:sdt>
            <w:r w:rsidR="006963B0">
              <w:t>Other Pricing</w:t>
            </w:r>
          </w:p>
        </w:tc>
      </w:tr>
      <w:tr w:rsidR="006963B0" w14:paraId="0500A728" w14:textId="77777777" w:rsidTr="00833242">
        <w:tc>
          <w:tcPr>
            <w:tcW w:w="4675" w:type="dxa"/>
          </w:tcPr>
          <w:p w14:paraId="312BAA9C" w14:textId="77777777" w:rsidR="006963B0" w:rsidRDefault="00344461" w:rsidP="00833242">
            <w:sdt>
              <w:sdtPr>
                <w:id w:val="1719166904"/>
                <w14:checkbox>
                  <w14:checked w14:val="0"/>
                  <w14:checkedState w14:val="2612" w14:font="MS Gothic"/>
                  <w14:uncheckedState w14:val="2610" w14:font="MS Gothic"/>
                </w14:checkbox>
              </w:sdtPr>
              <w:sdtContent>
                <w:r w:rsidR="00FE4555">
                  <w:rPr>
                    <w:rFonts w:ascii="MS Gothic" w:eastAsia="MS Gothic" w:hAnsi="MS Gothic" w:hint="eastAsia"/>
                  </w:rPr>
                  <w:t>☐</w:t>
                </w:r>
              </w:sdtContent>
            </w:sdt>
            <w:r w:rsidR="006963B0">
              <w:t>Critical Peak Pricing</w:t>
            </w:r>
          </w:p>
        </w:tc>
        <w:tc>
          <w:tcPr>
            <w:tcW w:w="4675" w:type="dxa"/>
          </w:tcPr>
          <w:p w14:paraId="733CF7F0" w14:textId="77777777" w:rsidR="006963B0" w:rsidRDefault="006963B0" w:rsidP="00833242"/>
        </w:tc>
      </w:tr>
      <w:tr w:rsidR="006963B0" w14:paraId="328A4308" w14:textId="77777777" w:rsidTr="00833242">
        <w:tc>
          <w:tcPr>
            <w:tcW w:w="4675" w:type="dxa"/>
          </w:tcPr>
          <w:p w14:paraId="05194B7A" w14:textId="77777777" w:rsidR="006963B0" w:rsidRDefault="00344461" w:rsidP="00833242">
            <w:sdt>
              <w:sdtPr>
                <w:id w:val="1555732586"/>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Appliance/Household Automation</w:t>
            </w:r>
          </w:p>
        </w:tc>
        <w:tc>
          <w:tcPr>
            <w:tcW w:w="4675" w:type="dxa"/>
          </w:tcPr>
          <w:p w14:paraId="367145A9" w14:textId="77777777" w:rsidR="006963B0" w:rsidRDefault="006963B0" w:rsidP="00833242"/>
        </w:tc>
      </w:tr>
      <w:tr w:rsidR="006963B0" w14:paraId="42075FD3" w14:textId="77777777" w:rsidTr="00833242">
        <w:tc>
          <w:tcPr>
            <w:tcW w:w="4675" w:type="dxa"/>
          </w:tcPr>
          <w:p w14:paraId="7D3A4D30" w14:textId="77777777" w:rsidR="006963B0" w:rsidRDefault="00344461" w:rsidP="00833242">
            <w:sdt>
              <w:sdtPr>
                <w:id w:val="1874575892"/>
                <w14:checkbox>
                  <w14:checked w14:val="1"/>
                  <w14:checkedState w14:val="2612" w14:font="MS Gothic"/>
                  <w14:uncheckedState w14:val="2610" w14:font="MS Gothic"/>
                </w14:checkbox>
              </w:sdtPr>
              <w:sdtContent>
                <w:r w:rsidR="00FE4555">
                  <w:rPr>
                    <w:rFonts w:ascii="MS Gothic" w:eastAsia="MS Gothic" w:hAnsi="MS Gothic" w:hint="eastAsia"/>
                  </w:rPr>
                  <w:t>☒</w:t>
                </w:r>
              </w:sdtContent>
            </w:sdt>
            <w:r w:rsidR="006963B0">
              <w:t>Information Provision</w:t>
            </w:r>
          </w:p>
        </w:tc>
        <w:tc>
          <w:tcPr>
            <w:tcW w:w="4675" w:type="dxa"/>
          </w:tcPr>
          <w:p w14:paraId="40B02EFC" w14:textId="77777777" w:rsidR="006963B0" w:rsidRDefault="006963B0" w:rsidP="00833242"/>
        </w:tc>
      </w:tr>
      <w:tr w:rsidR="006963B0" w14:paraId="5B8C3631" w14:textId="77777777" w:rsidTr="00833242">
        <w:tc>
          <w:tcPr>
            <w:tcW w:w="4675" w:type="dxa"/>
          </w:tcPr>
          <w:p w14:paraId="2FF3F92B" w14:textId="77777777" w:rsidR="006963B0" w:rsidRDefault="006963B0" w:rsidP="00833242"/>
        </w:tc>
        <w:tc>
          <w:tcPr>
            <w:tcW w:w="4675" w:type="dxa"/>
          </w:tcPr>
          <w:p w14:paraId="3DAAC674" w14:textId="77777777" w:rsidR="006963B0" w:rsidRDefault="006963B0" w:rsidP="00833242"/>
        </w:tc>
      </w:tr>
    </w:tbl>
    <w:p w14:paraId="2D07DEC7" w14:textId="77777777" w:rsidR="002E5982" w:rsidRDefault="002E5982"/>
    <w:tbl>
      <w:tblPr>
        <w:tblStyle w:val="TableGrid"/>
        <w:tblW w:w="0" w:type="auto"/>
        <w:tblLook w:val="04A0" w:firstRow="1" w:lastRow="0" w:firstColumn="1" w:lastColumn="0" w:noHBand="0" w:noVBand="1"/>
      </w:tblPr>
      <w:tblGrid>
        <w:gridCol w:w="9350"/>
      </w:tblGrid>
      <w:tr w:rsidR="006963B0" w14:paraId="182E368E" w14:textId="77777777" w:rsidTr="006963B0">
        <w:tc>
          <w:tcPr>
            <w:tcW w:w="9350" w:type="dxa"/>
          </w:tcPr>
          <w:p w14:paraId="21FA3E21" w14:textId="77777777" w:rsidR="006963B0" w:rsidRDefault="006963B0">
            <w:r w:rsidRPr="006963B0">
              <w:rPr>
                <w:b/>
              </w:rPr>
              <w:t>Expected Project Duration: 12 months</w:t>
            </w:r>
          </w:p>
        </w:tc>
      </w:tr>
    </w:tbl>
    <w:p w14:paraId="3FEFB2C3" w14:textId="77777777" w:rsidR="005706DF" w:rsidRDefault="005706DF"/>
    <w:p w14:paraId="303C6AEF" w14:textId="5CF0B3AF" w:rsidR="00E170EA" w:rsidRDefault="005706DF" w:rsidP="00040000">
      <w:pPr>
        <w:pStyle w:val="Heading1"/>
      </w:pPr>
      <w:r>
        <w:br w:type="page"/>
      </w:r>
      <w:r>
        <w:lastRenderedPageBreak/>
        <w:t>Funding</w:t>
      </w:r>
      <w:r w:rsidR="00957A75">
        <w:t xml:space="preserve"> Request</w:t>
      </w:r>
    </w:p>
    <w:p w14:paraId="18DF2E77" w14:textId="557A6CE4" w:rsidR="00C37906" w:rsidRPr="00C37906" w:rsidRDefault="00C37906" w:rsidP="00C37906">
      <w:r w:rsidRPr="00C37906">
        <w:t>Most of the costs</w:t>
      </w:r>
      <w:r w:rsidR="00773801">
        <w:t xml:space="preserve"> of the</w:t>
      </w:r>
      <w:r w:rsidRPr="00C37906">
        <w:t xml:space="preserve"> </w:t>
      </w:r>
      <w:r w:rsidR="00773801" w:rsidRPr="00C37906">
        <w:t xml:space="preserve">pilot </w:t>
      </w:r>
      <w:r w:rsidRPr="00C37906">
        <w:t xml:space="preserve">will be paid either in cash or in-kind by </w:t>
      </w:r>
      <w:r w:rsidR="00AA2219">
        <w:t xml:space="preserve">the </w:t>
      </w:r>
      <w:r w:rsidR="00FB28C1">
        <w:t>distributors</w:t>
      </w:r>
      <w:r w:rsidRPr="00C37906">
        <w:t xml:space="preserve"> and CustomerFirst.   </w:t>
      </w:r>
      <w:r w:rsidR="00FB28C1">
        <w:t>Distributor</w:t>
      </w:r>
      <w:r w:rsidRPr="00C37906">
        <w:t xml:space="preserve">s will be looking </w:t>
      </w:r>
      <w:r w:rsidR="00FB28C1">
        <w:t xml:space="preserve">to </w:t>
      </w:r>
      <w:r w:rsidRPr="00C37906">
        <w:t>recover some costs, however, this is a relatively smal</w:t>
      </w:r>
      <w:r w:rsidR="00D12F10">
        <w:t xml:space="preserve">l amount considering that </w:t>
      </w:r>
      <w:r w:rsidR="00FB28C1">
        <w:t xml:space="preserve">seven distributors </w:t>
      </w:r>
      <w:r w:rsidR="00A746E4">
        <w:t xml:space="preserve">will be </w:t>
      </w:r>
      <w:r w:rsidR="00FB28C1">
        <w:t>participat</w:t>
      </w:r>
      <w:r w:rsidR="00A746E4">
        <w:t>ing</w:t>
      </w:r>
      <w:r w:rsidR="00FB28C1">
        <w:t xml:space="preserve"> in the pilot</w:t>
      </w:r>
      <w:r w:rsidRPr="00C37906">
        <w:t xml:space="preserve">. </w:t>
      </w:r>
    </w:p>
    <w:p w14:paraId="45064453" w14:textId="54B03784" w:rsidR="00C37906" w:rsidRPr="00C37906" w:rsidRDefault="00C37906" w:rsidP="00C37906">
      <w:r w:rsidRPr="00C37906">
        <w:t xml:space="preserve">The total pilot budget is $1,532,687 and the cash and in-kind contribution from </w:t>
      </w:r>
      <w:r w:rsidR="00AA2219">
        <w:t>the</w:t>
      </w:r>
      <w:r w:rsidRPr="00C37906">
        <w:t xml:space="preserve"> </w:t>
      </w:r>
      <w:r w:rsidR="00FB28C1">
        <w:t>distributors</w:t>
      </w:r>
      <w:r w:rsidRPr="00C37906">
        <w:t xml:space="preserve"> </w:t>
      </w:r>
      <w:r w:rsidR="00AA2219">
        <w:t xml:space="preserve">and </w:t>
      </w:r>
      <w:r w:rsidR="00AA2219" w:rsidRPr="00C37906">
        <w:t xml:space="preserve">CustomerFirst </w:t>
      </w:r>
      <w:r w:rsidRPr="00C37906">
        <w:t>is $1,447,687.</w:t>
      </w:r>
      <w:r w:rsidR="00773801">
        <w:t xml:space="preserve">  The distributors are requesting $85,000 total in funding for the pilot. </w:t>
      </w:r>
      <w:r w:rsidR="00A746E4">
        <w:t xml:space="preserve">  Costs will be shared by the </w:t>
      </w:r>
      <w:r w:rsidR="00F42016">
        <w:t xml:space="preserve">distributors and </w:t>
      </w:r>
      <w:r w:rsidR="00AA2219">
        <w:t xml:space="preserve">the financial contribution from each distributor </w:t>
      </w:r>
      <w:r w:rsidR="00F42016">
        <w:t>will be determined according to their proportional share of customers as shown in the OEB yearbook.</w:t>
      </w:r>
    </w:p>
    <w:tbl>
      <w:tblPr>
        <w:tblStyle w:val="TableGrid"/>
        <w:tblW w:w="0" w:type="auto"/>
        <w:tblLook w:val="04A0" w:firstRow="1" w:lastRow="0" w:firstColumn="1" w:lastColumn="0" w:noHBand="0" w:noVBand="1"/>
      </w:tblPr>
      <w:tblGrid>
        <w:gridCol w:w="3325"/>
        <w:gridCol w:w="1530"/>
        <w:gridCol w:w="1530"/>
        <w:gridCol w:w="1440"/>
        <w:gridCol w:w="1525"/>
      </w:tblGrid>
      <w:tr w:rsidR="00957A75" w:rsidRPr="00957A75" w14:paraId="5B7F8381" w14:textId="77777777" w:rsidTr="00F12CE5">
        <w:trPr>
          <w:trHeight w:val="576"/>
        </w:trPr>
        <w:tc>
          <w:tcPr>
            <w:tcW w:w="3325" w:type="dxa"/>
            <w:shd w:val="clear" w:color="auto" w:fill="F2F2F2" w:themeFill="background1" w:themeFillShade="F2"/>
            <w:noWrap/>
            <w:hideMark/>
          </w:tcPr>
          <w:p w14:paraId="1C780DBB" w14:textId="77777777" w:rsidR="00957A75" w:rsidRPr="00957A75" w:rsidRDefault="00957A75">
            <w:r w:rsidRPr="00957A75">
              <w:t> </w:t>
            </w:r>
          </w:p>
        </w:tc>
        <w:tc>
          <w:tcPr>
            <w:tcW w:w="1530" w:type="dxa"/>
            <w:shd w:val="clear" w:color="auto" w:fill="F2F2F2" w:themeFill="background1" w:themeFillShade="F2"/>
            <w:hideMark/>
          </w:tcPr>
          <w:p w14:paraId="44B36FC9" w14:textId="77777777" w:rsidR="00957A75" w:rsidRPr="00957A75" w:rsidRDefault="00957A75" w:rsidP="00F12CE5">
            <w:pPr>
              <w:jc w:val="center"/>
              <w:rPr>
                <w:b/>
                <w:bCs/>
              </w:rPr>
            </w:pPr>
            <w:r w:rsidRPr="00957A75">
              <w:rPr>
                <w:b/>
                <w:bCs/>
              </w:rPr>
              <w:t>Cash ($)</w:t>
            </w:r>
          </w:p>
        </w:tc>
        <w:tc>
          <w:tcPr>
            <w:tcW w:w="1530" w:type="dxa"/>
            <w:shd w:val="clear" w:color="auto" w:fill="F2F2F2" w:themeFill="background1" w:themeFillShade="F2"/>
            <w:hideMark/>
          </w:tcPr>
          <w:p w14:paraId="32D45C58" w14:textId="77777777" w:rsidR="00957A75" w:rsidRPr="00957A75" w:rsidRDefault="00957A75" w:rsidP="00F12CE5">
            <w:pPr>
              <w:jc w:val="center"/>
              <w:rPr>
                <w:b/>
                <w:bCs/>
              </w:rPr>
            </w:pPr>
            <w:r w:rsidRPr="00957A75">
              <w:rPr>
                <w:b/>
                <w:bCs/>
              </w:rPr>
              <w:t>Cash (% of total project value)</w:t>
            </w:r>
          </w:p>
        </w:tc>
        <w:tc>
          <w:tcPr>
            <w:tcW w:w="1440" w:type="dxa"/>
            <w:shd w:val="clear" w:color="auto" w:fill="F2F2F2" w:themeFill="background1" w:themeFillShade="F2"/>
            <w:hideMark/>
          </w:tcPr>
          <w:p w14:paraId="17E76C25" w14:textId="77777777" w:rsidR="00957A75" w:rsidRPr="00957A75" w:rsidRDefault="00957A75" w:rsidP="00F12CE5">
            <w:pPr>
              <w:jc w:val="center"/>
              <w:rPr>
                <w:b/>
                <w:bCs/>
              </w:rPr>
            </w:pPr>
            <w:r w:rsidRPr="00957A75">
              <w:rPr>
                <w:b/>
                <w:bCs/>
              </w:rPr>
              <w:t>In-kind ($)</w:t>
            </w:r>
          </w:p>
        </w:tc>
        <w:tc>
          <w:tcPr>
            <w:tcW w:w="1525" w:type="dxa"/>
            <w:shd w:val="clear" w:color="auto" w:fill="F2F2F2" w:themeFill="background1" w:themeFillShade="F2"/>
            <w:hideMark/>
          </w:tcPr>
          <w:p w14:paraId="242C888E" w14:textId="77777777" w:rsidR="00957A75" w:rsidRPr="00957A75" w:rsidRDefault="00957A75" w:rsidP="00F12CE5">
            <w:pPr>
              <w:jc w:val="center"/>
              <w:rPr>
                <w:b/>
                <w:bCs/>
              </w:rPr>
            </w:pPr>
            <w:r w:rsidRPr="00957A75">
              <w:rPr>
                <w:b/>
                <w:bCs/>
              </w:rPr>
              <w:t>In-kind (% of total project value)</w:t>
            </w:r>
          </w:p>
        </w:tc>
      </w:tr>
      <w:tr w:rsidR="00957A75" w:rsidRPr="00957A75" w14:paraId="6F702193" w14:textId="77777777" w:rsidTr="00F12CE5">
        <w:trPr>
          <w:trHeight w:val="288"/>
        </w:trPr>
        <w:tc>
          <w:tcPr>
            <w:tcW w:w="3325" w:type="dxa"/>
            <w:noWrap/>
            <w:hideMark/>
          </w:tcPr>
          <w:p w14:paraId="45E4D67C" w14:textId="77777777" w:rsidR="00957A75" w:rsidRPr="00957A75" w:rsidRDefault="00957A75">
            <w:pPr>
              <w:rPr>
                <w:b/>
                <w:bCs/>
              </w:rPr>
            </w:pPr>
            <w:r w:rsidRPr="00957A75">
              <w:rPr>
                <w:b/>
                <w:bCs/>
              </w:rPr>
              <w:t>CustomerFirst contribution</w:t>
            </w:r>
          </w:p>
        </w:tc>
        <w:tc>
          <w:tcPr>
            <w:tcW w:w="1530" w:type="dxa"/>
            <w:noWrap/>
            <w:hideMark/>
          </w:tcPr>
          <w:p w14:paraId="77053F17" w14:textId="77777777" w:rsidR="00957A75" w:rsidRPr="00957A75" w:rsidRDefault="00F12CE5" w:rsidP="00F12CE5">
            <w:pPr>
              <w:jc w:val="right"/>
            </w:pPr>
            <w:r>
              <w:t>-</w:t>
            </w:r>
          </w:p>
        </w:tc>
        <w:tc>
          <w:tcPr>
            <w:tcW w:w="1530" w:type="dxa"/>
            <w:noWrap/>
            <w:hideMark/>
          </w:tcPr>
          <w:p w14:paraId="1F5252B6" w14:textId="074EA590" w:rsidR="00957A75" w:rsidRPr="00957A75" w:rsidRDefault="00773801" w:rsidP="00F12CE5">
            <w:pPr>
              <w:jc w:val="right"/>
            </w:pPr>
            <w:r>
              <w:t>-</w:t>
            </w:r>
          </w:p>
        </w:tc>
        <w:tc>
          <w:tcPr>
            <w:tcW w:w="1440" w:type="dxa"/>
            <w:noWrap/>
            <w:hideMark/>
          </w:tcPr>
          <w:p w14:paraId="343BE59D" w14:textId="77777777" w:rsidR="00957A75" w:rsidRPr="00957A75" w:rsidRDefault="00957A75" w:rsidP="00F12CE5">
            <w:pPr>
              <w:jc w:val="right"/>
            </w:pPr>
            <w:r w:rsidRPr="00957A75">
              <w:t xml:space="preserve">68,050 </w:t>
            </w:r>
          </w:p>
        </w:tc>
        <w:tc>
          <w:tcPr>
            <w:tcW w:w="1525" w:type="dxa"/>
            <w:noWrap/>
            <w:hideMark/>
          </w:tcPr>
          <w:p w14:paraId="78E4752C" w14:textId="77777777" w:rsidR="00957A75" w:rsidRPr="00957A75" w:rsidRDefault="00957A75" w:rsidP="00F12CE5">
            <w:pPr>
              <w:jc w:val="right"/>
            </w:pPr>
            <w:r w:rsidRPr="00957A75">
              <w:t>4%</w:t>
            </w:r>
          </w:p>
        </w:tc>
      </w:tr>
      <w:tr w:rsidR="00957A75" w:rsidRPr="00957A75" w14:paraId="204A8961" w14:textId="77777777" w:rsidTr="00F12CE5">
        <w:trPr>
          <w:trHeight w:val="288"/>
        </w:trPr>
        <w:tc>
          <w:tcPr>
            <w:tcW w:w="3325" w:type="dxa"/>
            <w:noWrap/>
            <w:hideMark/>
          </w:tcPr>
          <w:p w14:paraId="3BC509B3" w14:textId="6F323A49" w:rsidR="00957A75" w:rsidRPr="00957A75" w:rsidRDefault="00957A75">
            <w:pPr>
              <w:rPr>
                <w:b/>
                <w:bCs/>
              </w:rPr>
            </w:pPr>
            <w:r w:rsidRPr="00957A75">
              <w:rPr>
                <w:b/>
                <w:bCs/>
              </w:rPr>
              <w:t xml:space="preserve">Newmarket-Tay </w:t>
            </w:r>
            <w:r w:rsidR="00773801">
              <w:rPr>
                <w:b/>
                <w:bCs/>
              </w:rPr>
              <w:t>Power Distribution</w:t>
            </w:r>
            <w:r w:rsidR="00773801" w:rsidRPr="00957A75">
              <w:rPr>
                <w:b/>
                <w:bCs/>
              </w:rPr>
              <w:t xml:space="preserve"> </w:t>
            </w:r>
            <w:r w:rsidRPr="00957A75">
              <w:rPr>
                <w:b/>
                <w:bCs/>
              </w:rPr>
              <w:t>Ltd. contribution</w:t>
            </w:r>
          </w:p>
        </w:tc>
        <w:tc>
          <w:tcPr>
            <w:tcW w:w="1530" w:type="dxa"/>
            <w:noWrap/>
            <w:hideMark/>
          </w:tcPr>
          <w:p w14:paraId="1111F744" w14:textId="77777777" w:rsidR="00957A75" w:rsidRPr="00957A75" w:rsidRDefault="00957A75" w:rsidP="00F12CE5">
            <w:pPr>
              <w:jc w:val="right"/>
            </w:pPr>
            <w:r w:rsidRPr="00957A75">
              <w:t xml:space="preserve">291,110 </w:t>
            </w:r>
          </w:p>
        </w:tc>
        <w:tc>
          <w:tcPr>
            <w:tcW w:w="1530" w:type="dxa"/>
            <w:noWrap/>
            <w:hideMark/>
          </w:tcPr>
          <w:p w14:paraId="79479A01" w14:textId="77777777" w:rsidR="00957A75" w:rsidRPr="00957A75" w:rsidRDefault="00957A75" w:rsidP="00F12CE5">
            <w:pPr>
              <w:jc w:val="right"/>
            </w:pPr>
            <w:r w:rsidRPr="00957A75">
              <w:t>19%</w:t>
            </w:r>
          </w:p>
        </w:tc>
        <w:tc>
          <w:tcPr>
            <w:tcW w:w="1440" w:type="dxa"/>
            <w:noWrap/>
            <w:hideMark/>
          </w:tcPr>
          <w:p w14:paraId="4AEC224E" w14:textId="77777777" w:rsidR="00957A75" w:rsidRPr="00957A75" w:rsidRDefault="00957A75" w:rsidP="00F12CE5">
            <w:pPr>
              <w:jc w:val="right"/>
            </w:pPr>
            <w:r w:rsidRPr="00957A75">
              <w:t xml:space="preserve">2,000 </w:t>
            </w:r>
          </w:p>
        </w:tc>
        <w:tc>
          <w:tcPr>
            <w:tcW w:w="1525" w:type="dxa"/>
            <w:noWrap/>
            <w:hideMark/>
          </w:tcPr>
          <w:p w14:paraId="5FECF39C" w14:textId="74F2EC77" w:rsidR="00957A75" w:rsidRPr="00957A75" w:rsidRDefault="00773801" w:rsidP="00F12CE5">
            <w:pPr>
              <w:jc w:val="right"/>
            </w:pPr>
            <w:r>
              <w:t>-</w:t>
            </w:r>
          </w:p>
        </w:tc>
      </w:tr>
      <w:tr w:rsidR="00957A75" w:rsidRPr="00957A75" w14:paraId="04E5EE43" w14:textId="77777777" w:rsidTr="00F12CE5">
        <w:trPr>
          <w:trHeight w:val="288"/>
        </w:trPr>
        <w:tc>
          <w:tcPr>
            <w:tcW w:w="3325" w:type="dxa"/>
            <w:noWrap/>
            <w:hideMark/>
          </w:tcPr>
          <w:p w14:paraId="668522AE" w14:textId="77777777" w:rsidR="00957A75" w:rsidRPr="00957A75" w:rsidRDefault="00957A75">
            <w:pPr>
              <w:rPr>
                <w:b/>
                <w:bCs/>
              </w:rPr>
            </w:pPr>
            <w:r w:rsidRPr="00957A75">
              <w:rPr>
                <w:b/>
                <w:bCs/>
              </w:rPr>
              <w:t>Greater Sudbury Hydro Inc. contribution</w:t>
            </w:r>
          </w:p>
        </w:tc>
        <w:tc>
          <w:tcPr>
            <w:tcW w:w="1530" w:type="dxa"/>
            <w:noWrap/>
            <w:hideMark/>
          </w:tcPr>
          <w:p w14:paraId="1C906240" w14:textId="77777777" w:rsidR="00957A75" w:rsidRPr="00957A75" w:rsidRDefault="00957A75" w:rsidP="00F12CE5">
            <w:pPr>
              <w:jc w:val="right"/>
            </w:pPr>
            <w:r w:rsidRPr="00957A75">
              <w:t xml:space="preserve">393,541 </w:t>
            </w:r>
          </w:p>
        </w:tc>
        <w:tc>
          <w:tcPr>
            <w:tcW w:w="1530" w:type="dxa"/>
            <w:noWrap/>
            <w:hideMark/>
          </w:tcPr>
          <w:p w14:paraId="6A160072" w14:textId="77777777" w:rsidR="00957A75" w:rsidRPr="00957A75" w:rsidRDefault="00957A75" w:rsidP="00F12CE5">
            <w:pPr>
              <w:jc w:val="right"/>
            </w:pPr>
            <w:r w:rsidRPr="00957A75">
              <w:t>26%</w:t>
            </w:r>
          </w:p>
        </w:tc>
        <w:tc>
          <w:tcPr>
            <w:tcW w:w="1440" w:type="dxa"/>
            <w:noWrap/>
            <w:hideMark/>
          </w:tcPr>
          <w:p w14:paraId="691C1564" w14:textId="77777777" w:rsidR="00957A75" w:rsidRPr="00957A75" w:rsidRDefault="00957A75" w:rsidP="00F12CE5">
            <w:pPr>
              <w:jc w:val="right"/>
            </w:pPr>
            <w:r w:rsidRPr="00957A75">
              <w:t xml:space="preserve">2,000 </w:t>
            </w:r>
          </w:p>
        </w:tc>
        <w:tc>
          <w:tcPr>
            <w:tcW w:w="1525" w:type="dxa"/>
            <w:noWrap/>
            <w:hideMark/>
          </w:tcPr>
          <w:p w14:paraId="756D8075" w14:textId="26668B71" w:rsidR="00957A75" w:rsidRPr="00957A75" w:rsidRDefault="00773801">
            <w:pPr>
              <w:jc w:val="right"/>
            </w:pPr>
            <w:r>
              <w:t>-</w:t>
            </w:r>
          </w:p>
        </w:tc>
      </w:tr>
      <w:tr w:rsidR="00957A75" w:rsidRPr="00957A75" w14:paraId="16DBEB1B" w14:textId="77777777" w:rsidTr="00F12CE5">
        <w:trPr>
          <w:trHeight w:val="288"/>
        </w:trPr>
        <w:tc>
          <w:tcPr>
            <w:tcW w:w="3325" w:type="dxa"/>
            <w:noWrap/>
            <w:hideMark/>
          </w:tcPr>
          <w:p w14:paraId="03F2273B" w14:textId="77777777" w:rsidR="00957A75" w:rsidRPr="00957A75" w:rsidRDefault="00957A75">
            <w:pPr>
              <w:rPr>
                <w:b/>
                <w:bCs/>
              </w:rPr>
            </w:pPr>
            <w:r w:rsidRPr="00957A75">
              <w:rPr>
                <w:b/>
                <w:bCs/>
              </w:rPr>
              <w:t xml:space="preserve">North Bay Hydro </w:t>
            </w:r>
            <w:r w:rsidR="00773801">
              <w:rPr>
                <w:b/>
                <w:bCs/>
              </w:rPr>
              <w:t xml:space="preserve">Distribution </w:t>
            </w:r>
            <w:r w:rsidRPr="00957A75">
              <w:rPr>
                <w:b/>
                <w:bCs/>
              </w:rPr>
              <w:t>Ltd. contribution</w:t>
            </w:r>
          </w:p>
        </w:tc>
        <w:tc>
          <w:tcPr>
            <w:tcW w:w="1530" w:type="dxa"/>
            <w:noWrap/>
            <w:hideMark/>
          </w:tcPr>
          <w:p w14:paraId="7BD7C052" w14:textId="77777777" w:rsidR="00957A75" w:rsidRPr="00957A75" w:rsidRDefault="00957A75" w:rsidP="00F12CE5">
            <w:pPr>
              <w:jc w:val="right"/>
            </w:pPr>
            <w:r w:rsidRPr="00957A75">
              <w:t xml:space="preserve">194,193 </w:t>
            </w:r>
          </w:p>
        </w:tc>
        <w:tc>
          <w:tcPr>
            <w:tcW w:w="1530" w:type="dxa"/>
            <w:noWrap/>
            <w:hideMark/>
          </w:tcPr>
          <w:p w14:paraId="1EFA0B58" w14:textId="77777777" w:rsidR="00957A75" w:rsidRPr="00957A75" w:rsidRDefault="00957A75" w:rsidP="00F12CE5">
            <w:pPr>
              <w:jc w:val="right"/>
            </w:pPr>
            <w:r w:rsidRPr="00957A75">
              <w:t>13%</w:t>
            </w:r>
          </w:p>
        </w:tc>
        <w:tc>
          <w:tcPr>
            <w:tcW w:w="1440" w:type="dxa"/>
            <w:noWrap/>
            <w:hideMark/>
          </w:tcPr>
          <w:p w14:paraId="7991E4B0" w14:textId="77777777" w:rsidR="00957A75" w:rsidRPr="00957A75" w:rsidRDefault="00957A75" w:rsidP="00F12CE5">
            <w:pPr>
              <w:jc w:val="right"/>
            </w:pPr>
            <w:r w:rsidRPr="00957A75">
              <w:t xml:space="preserve">2,000 </w:t>
            </w:r>
          </w:p>
        </w:tc>
        <w:tc>
          <w:tcPr>
            <w:tcW w:w="1525" w:type="dxa"/>
            <w:noWrap/>
            <w:hideMark/>
          </w:tcPr>
          <w:p w14:paraId="6CFF3D34" w14:textId="47002B6B" w:rsidR="00957A75" w:rsidRPr="00957A75" w:rsidRDefault="00773801" w:rsidP="00F12CE5">
            <w:pPr>
              <w:jc w:val="right"/>
            </w:pPr>
            <w:r>
              <w:t>-</w:t>
            </w:r>
          </w:p>
        </w:tc>
      </w:tr>
      <w:tr w:rsidR="00957A75" w:rsidRPr="00957A75" w14:paraId="24C58EF7" w14:textId="77777777" w:rsidTr="00F12CE5">
        <w:trPr>
          <w:trHeight w:val="288"/>
        </w:trPr>
        <w:tc>
          <w:tcPr>
            <w:tcW w:w="3325" w:type="dxa"/>
            <w:noWrap/>
            <w:hideMark/>
          </w:tcPr>
          <w:p w14:paraId="0DD71DFD" w14:textId="77777777" w:rsidR="00957A75" w:rsidRPr="00957A75" w:rsidRDefault="00957A75">
            <w:pPr>
              <w:rPr>
                <w:b/>
                <w:bCs/>
              </w:rPr>
            </w:pPr>
            <w:r w:rsidRPr="00957A75">
              <w:rPr>
                <w:b/>
                <w:bCs/>
              </w:rPr>
              <w:t>Northern Ontario Wires Inc. contribution</w:t>
            </w:r>
          </w:p>
        </w:tc>
        <w:tc>
          <w:tcPr>
            <w:tcW w:w="1530" w:type="dxa"/>
            <w:noWrap/>
            <w:hideMark/>
          </w:tcPr>
          <w:p w14:paraId="10A628B6" w14:textId="77777777" w:rsidR="00957A75" w:rsidRPr="00957A75" w:rsidRDefault="00957A75" w:rsidP="00F12CE5">
            <w:pPr>
              <w:jc w:val="right"/>
            </w:pPr>
            <w:r w:rsidRPr="00957A75">
              <w:t xml:space="preserve">48,049 </w:t>
            </w:r>
          </w:p>
        </w:tc>
        <w:tc>
          <w:tcPr>
            <w:tcW w:w="1530" w:type="dxa"/>
            <w:noWrap/>
            <w:hideMark/>
          </w:tcPr>
          <w:p w14:paraId="517491A0" w14:textId="77777777" w:rsidR="00957A75" w:rsidRPr="00957A75" w:rsidRDefault="00957A75" w:rsidP="00F12CE5">
            <w:pPr>
              <w:jc w:val="right"/>
            </w:pPr>
            <w:r w:rsidRPr="00957A75">
              <w:t>3%</w:t>
            </w:r>
          </w:p>
        </w:tc>
        <w:tc>
          <w:tcPr>
            <w:tcW w:w="1440" w:type="dxa"/>
            <w:noWrap/>
            <w:hideMark/>
          </w:tcPr>
          <w:p w14:paraId="00039A38" w14:textId="77777777" w:rsidR="00957A75" w:rsidRPr="00957A75" w:rsidRDefault="00957A75" w:rsidP="00F12CE5">
            <w:pPr>
              <w:jc w:val="right"/>
            </w:pPr>
            <w:r w:rsidRPr="00957A75">
              <w:t xml:space="preserve">2,000 </w:t>
            </w:r>
          </w:p>
        </w:tc>
        <w:tc>
          <w:tcPr>
            <w:tcW w:w="1525" w:type="dxa"/>
            <w:noWrap/>
            <w:hideMark/>
          </w:tcPr>
          <w:p w14:paraId="254009D2" w14:textId="6C8E78A4" w:rsidR="00957A75" w:rsidRPr="00957A75" w:rsidRDefault="00773801">
            <w:pPr>
              <w:jc w:val="right"/>
            </w:pPr>
            <w:r>
              <w:t>-</w:t>
            </w:r>
          </w:p>
        </w:tc>
      </w:tr>
      <w:tr w:rsidR="00957A75" w:rsidRPr="00957A75" w14:paraId="259229FA" w14:textId="77777777" w:rsidTr="00F12CE5">
        <w:trPr>
          <w:trHeight w:val="288"/>
        </w:trPr>
        <w:tc>
          <w:tcPr>
            <w:tcW w:w="3325" w:type="dxa"/>
            <w:noWrap/>
            <w:hideMark/>
          </w:tcPr>
          <w:p w14:paraId="4A0A5A95" w14:textId="77777777" w:rsidR="00957A75" w:rsidRPr="00957A75" w:rsidRDefault="00957A75">
            <w:pPr>
              <w:rPr>
                <w:b/>
                <w:bCs/>
              </w:rPr>
            </w:pPr>
            <w:r w:rsidRPr="00957A75">
              <w:rPr>
                <w:b/>
                <w:bCs/>
              </w:rPr>
              <w:t>PUC Distribution Inc. contribution</w:t>
            </w:r>
          </w:p>
        </w:tc>
        <w:tc>
          <w:tcPr>
            <w:tcW w:w="1530" w:type="dxa"/>
            <w:noWrap/>
            <w:hideMark/>
          </w:tcPr>
          <w:p w14:paraId="0A41D4D8" w14:textId="77777777" w:rsidR="00957A75" w:rsidRPr="00957A75" w:rsidRDefault="00957A75" w:rsidP="00F12CE5">
            <w:pPr>
              <w:jc w:val="right"/>
            </w:pPr>
            <w:r w:rsidRPr="00957A75">
              <w:t xml:space="preserve">272,466 </w:t>
            </w:r>
          </w:p>
        </w:tc>
        <w:tc>
          <w:tcPr>
            <w:tcW w:w="1530" w:type="dxa"/>
            <w:noWrap/>
            <w:hideMark/>
          </w:tcPr>
          <w:p w14:paraId="1A8F2203" w14:textId="77777777" w:rsidR="00957A75" w:rsidRPr="00957A75" w:rsidRDefault="00957A75" w:rsidP="00F12CE5">
            <w:pPr>
              <w:jc w:val="right"/>
            </w:pPr>
            <w:r w:rsidRPr="00957A75">
              <w:t>18%</w:t>
            </w:r>
          </w:p>
        </w:tc>
        <w:tc>
          <w:tcPr>
            <w:tcW w:w="1440" w:type="dxa"/>
            <w:noWrap/>
            <w:hideMark/>
          </w:tcPr>
          <w:p w14:paraId="001881C5" w14:textId="77777777" w:rsidR="00957A75" w:rsidRPr="00957A75" w:rsidRDefault="00957A75" w:rsidP="00F12CE5">
            <w:pPr>
              <w:jc w:val="right"/>
            </w:pPr>
            <w:r w:rsidRPr="00957A75">
              <w:t xml:space="preserve">2,000 </w:t>
            </w:r>
          </w:p>
        </w:tc>
        <w:tc>
          <w:tcPr>
            <w:tcW w:w="1525" w:type="dxa"/>
            <w:noWrap/>
            <w:hideMark/>
          </w:tcPr>
          <w:p w14:paraId="47370A47" w14:textId="30B72470" w:rsidR="00957A75" w:rsidRPr="00957A75" w:rsidRDefault="00773801" w:rsidP="00F12CE5">
            <w:pPr>
              <w:jc w:val="right"/>
            </w:pPr>
            <w:r>
              <w:t>-</w:t>
            </w:r>
          </w:p>
        </w:tc>
      </w:tr>
      <w:tr w:rsidR="00957A75" w:rsidRPr="00957A75" w14:paraId="5B6B9F72" w14:textId="77777777" w:rsidTr="00F12CE5">
        <w:trPr>
          <w:trHeight w:val="288"/>
        </w:trPr>
        <w:tc>
          <w:tcPr>
            <w:tcW w:w="3325" w:type="dxa"/>
            <w:noWrap/>
            <w:hideMark/>
          </w:tcPr>
          <w:p w14:paraId="73611750" w14:textId="77777777" w:rsidR="00957A75" w:rsidRPr="00957A75" w:rsidRDefault="00957A75">
            <w:pPr>
              <w:rPr>
                <w:b/>
                <w:bCs/>
              </w:rPr>
            </w:pPr>
            <w:r w:rsidRPr="00957A75">
              <w:rPr>
                <w:b/>
                <w:bCs/>
              </w:rPr>
              <w:t>St. Thomas Energy Inc. contribution</w:t>
            </w:r>
          </w:p>
        </w:tc>
        <w:tc>
          <w:tcPr>
            <w:tcW w:w="1530" w:type="dxa"/>
            <w:noWrap/>
            <w:hideMark/>
          </w:tcPr>
          <w:p w14:paraId="6EC83A71" w14:textId="77777777" w:rsidR="00957A75" w:rsidRPr="00957A75" w:rsidRDefault="00957A75" w:rsidP="00F12CE5">
            <w:pPr>
              <w:jc w:val="right"/>
            </w:pPr>
            <w:r w:rsidRPr="00957A75">
              <w:t xml:space="preserve">140,003 </w:t>
            </w:r>
          </w:p>
        </w:tc>
        <w:tc>
          <w:tcPr>
            <w:tcW w:w="1530" w:type="dxa"/>
            <w:noWrap/>
            <w:hideMark/>
          </w:tcPr>
          <w:p w14:paraId="1276EDED" w14:textId="77777777" w:rsidR="00957A75" w:rsidRPr="00957A75" w:rsidRDefault="00957A75" w:rsidP="00F12CE5">
            <w:pPr>
              <w:jc w:val="right"/>
            </w:pPr>
            <w:r w:rsidRPr="00957A75">
              <w:t>9%</w:t>
            </w:r>
          </w:p>
        </w:tc>
        <w:tc>
          <w:tcPr>
            <w:tcW w:w="1440" w:type="dxa"/>
            <w:noWrap/>
            <w:hideMark/>
          </w:tcPr>
          <w:p w14:paraId="77924DB9" w14:textId="77777777" w:rsidR="00957A75" w:rsidRPr="00957A75" w:rsidRDefault="00957A75" w:rsidP="00F12CE5">
            <w:pPr>
              <w:jc w:val="right"/>
            </w:pPr>
            <w:r w:rsidRPr="00957A75">
              <w:t xml:space="preserve">2,000 </w:t>
            </w:r>
          </w:p>
        </w:tc>
        <w:tc>
          <w:tcPr>
            <w:tcW w:w="1525" w:type="dxa"/>
            <w:noWrap/>
            <w:hideMark/>
          </w:tcPr>
          <w:p w14:paraId="42BCADFD" w14:textId="7CFDB613" w:rsidR="00957A75" w:rsidRPr="00957A75" w:rsidRDefault="00773801">
            <w:pPr>
              <w:jc w:val="right"/>
            </w:pPr>
            <w:r>
              <w:t>-</w:t>
            </w:r>
          </w:p>
        </w:tc>
      </w:tr>
      <w:tr w:rsidR="00957A75" w:rsidRPr="00957A75" w14:paraId="475C5CB5" w14:textId="77777777" w:rsidTr="00F12CE5">
        <w:trPr>
          <w:trHeight w:val="288"/>
        </w:trPr>
        <w:tc>
          <w:tcPr>
            <w:tcW w:w="3325" w:type="dxa"/>
            <w:noWrap/>
            <w:hideMark/>
          </w:tcPr>
          <w:p w14:paraId="4AD0BEC4" w14:textId="2C3EEB7E" w:rsidR="00957A75" w:rsidRPr="00957A75" w:rsidRDefault="00957A75">
            <w:pPr>
              <w:rPr>
                <w:b/>
                <w:bCs/>
              </w:rPr>
            </w:pPr>
            <w:r w:rsidRPr="00957A75">
              <w:rPr>
                <w:b/>
                <w:bCs/>
              </w:rPr>
              <w:t>Espanola Regional Hydro Distribution Corp</w:t>
            </w:r>
            <w:r w:rsidR="00773801">
              <w:rPr>
                <w:b/>
                <w:bCs/>
              </w:rPr>
              <w:t>.</w:t>
            </w:r>
            <w:r w:rsidRPr="00957A75">
              <w:rPr>
                <w:b/>
                <w:bCs/>
              </w:rPr>
              <w:t xml:space="preserve"> contribution</w:t>
            </w:r>
          </w:p>
        </w:tc>
        <w:tc>
          <w:tcPr>
            <w:tcW w:w="1530" w:type="dxa"/>
            <w:noWrap/>
            <w:hideMark/>
          </w:tcPr>
          <w:p w14:paraId="453343B0" w14:textId="77777777" w:rsidR="00957A75" w:rsidRPr="00957A75" w:rsidRDefault="00957A75" w:rsidP="00F12CE5">
            <w:pPr>
              <w:jc w:val="right"/>
            </w:pPr>
            <w:r w:rsidRPr="00957A75">
              <w:t xml:space="preserve">26,275 </w:t>
            </w:r>
          </w:p>
        </w:tc>
        <w:tc>
          <w:tcPr>
            <w:tcW w:w="1530" w:type="dxa"/>
            <w:noWrap/>
            <w:hideMark/>
          </w:tcPr>
          <w:p w14:paraId="5AB892A6" w14:textId="77777777" w:rsidR="00957A75" w:rsidRPr="00957A75" w:rsidRDefault="00957A75" w:rsidP="00F12CE5">
            <w:pPr>
              <w:jc w:val="right"/>
            </w:pPr>
            <w:r w:rsidRPr="00957A75">
              <w:t>2%</w:t>
            </w:r>
          </w:p>
        </w:tc>
        <w:tc>
          <w:tcPr>
            <w:tcW w:w="1440" w:type="dxa"/>
            <w:noWrap/>
            <w:hideMark/>
          </w:tcPr>
          <w:p w14:paraId="75DED0BB" w14:textId="77777777" w:rsidR="00957A75" w:rsidRPr="00957A75" w:rsidRDefault="00957A75" w:rsidP="00F12CE5">
            <w:pPr>
              <w:jc w:val="right"/>
            </w:pPr>
            <w:r w:rsidRPr="00957A75">
              <w:t xml:space="preserve">2,000 </w:t>
            </w:r>
          </w:p>
        </w:tc>
        <w:tc>
          <w:tcPr>
            <w:tcW w:w="1525" w:type="dxa"/>
            <w:noWrap/>
            <w:hideMark/>
          </w:tcPr>
          <w:p w14:paraId="7FFA7B62" w14:textId="04DD0C88" w:rsidR="00957A75" w:rsidRPr="00957A75" w:rsidRDefault="00773801" w:rsidP="00F12CE5">
            <w:pPr>
              <w:jc w:val="right"/>
            </w:pPr>
            <w:r>
              <w:t>-</w:t>
            </w:r>
          </w:p>
        </w:tc>
      </w:tr>
      <w:tr w:rsidR="00957A75" w:rsidRPr="00957A75" w14:paraId="0CEDD978" w14:textId="77777777" w:rsidTr="00F12CE5">
        <w:trPr>
          <w:trHeight w:val="288"/>
        </w:trPr>
        <w:tc>
          <w:tcPr>
            <w:tcW w:w="3325" w:type="dxa"/>
            <w:noWrap/>
            <w:hideMark/>
          </w:tcPr>
          <w:p w14:paraId="60235C9C" w14:textId="77777777" w:rsidR="00957A75" w:rsidRPr="00957A75" w:rsidRDefault="00957A75">
            <w:pPr>
              <w:rPr>
                <w:b/>
                <w:bCs/>
              </w:rPr>
            </w:pPr>
            <w:r w:rsidRPr="00957A75">
              <w:rPr>
                <w:b/>
                <w:bCs/>
              </w:rPr>
              <w:t>Subtotal (non-OEB funding contribution)</w:t>
            </w:r>
          </w:p>
        </w:tc>
        <w:tc>
          <w:tcPr>
            <w:tcW w:w="1530" w:type="dxa"/>
            <w:noWrap/>
            <w:hideMark/>
          </w:tcPr>
          <w:p w14:paraId="47A4BEA3" w14:textId="77777777" w:rsidR="00957A75" w:rsidRPr="00957A75" w:rsidRDefault="00957A75" w:rsidP="00F12CE5">
            <w:pPr>
              <w:jc w:val="right"/>
            </w:pPr>
            <w:r w:rsidRPr="00957A75">
              <w:t xml:space="preserve">1,365,637 </w:t>
            </w:r>
          </w:p>
        </w:tc>
        <w:tc>
          <w:tcPr>
            <w:tcW w:w="1530" w:type="dxa"/>
            <w:noWrap/>
            <w:hideMark/>
          </w:tcPr>
          <w:p w14:paraId="1632579F" w14:textId="77777777" w:rsidR="00957A75" w:rsidRPr="00957A75" w:rsidRDefault="00957A75" w:rsidP="00F12CE5">
            <w:pPr>
              <w:jc w:val="right"/>
            </w:pPr>
            <w:r w:rsidRPr="00957A75">
              <w:t>89%</w:t>
            </w:r>
          </w:p>
        </w:tc>
        <w:tc>
          <w:tcPr>
            <w:tcW w:w="1440" w:type="dxa"/>
            <w:noWrap/>
            <w:hideMark/>
          </w:tcPr>
          <w:p w14:paraId="24583186" w14:textId="77777777" w:rsidR="00957A75" w:rsidRPr="00957A75" w:rsidRDefault="00957A75" w:rsidP="00F12CE5">
            <w:pPr>
              <w:jc w:val="right"/>
            </w:pPr>
            <w:r w:rsidRPr="00957A75">
              <w:t xml:space="preserve">82,050 </w:t>
            </w:r>
          </w:p>
        </w:tc>
        <w:tc>
          <w:tcPr>
            <w:tcW w:w="1525" w:type="dxa"/>
            <w:noWrap/>
            <w:hideMark/>
          </w:tcPr>
          <w:p w14:paraId="6670B573" w14:textId="2F366306" w:rsidR="00957A75" w:rsidRPr="00957A75" w:rsidRDefault="00773801" w:rsidP="00F12CE5">
            <w:pPr>
              <w:jc w:val="right"/>
            </w:pPr>
            <w:r>
              <w:t>4%</w:t>
            </w:r>
          </w:p>
        </w:tc>
      </w:tr>
      <w:tr w:rsidR="00957A75" w:rsidRPr="00957A75" w14:paraId="5A97E38B" w14:textId="77777777" w:rsidTr="00F12CE5">
        <w:trPr>
          <w:trHeight w:val="288"/>
        </w:trPr>
        <w:tc>
          <w:tcPr>
            <w:tcW w:w="3325" w:type="dxa"/>
            <w:noWrap/>
            <w:hideMark/>
          </w:tcPr>
          <w:p w14:paraId="1BBC7829" w14:textId="77777777" w:rsidR="00957A75" w:rsidRPr="00957A75" w:rsidRDefault="00957A75">
            <w:pPr>
              <w:rPr>
                <w:b/>
                <w:bCs/>
              </w:rPr>
            </w:pPr>
            <w:r w:rsidRPr="00957A75">
              <w:rPr>
                <w:b/>
                <w:bCs/>
              </w:rPr>
              <w:t>Requested Funding</w:t>
            </w:r>
          </w:p>
        </w:tc>
        <w:tc>
          <w:tcPr>
            <w:tcW w:w="1530" w:type="dxa"/>
            <w:shd w:val="clear" w:color="auto" w:fill="D9D9D9" w:themeFill="background1" w:themeFillShade="D9"/>
            <w:noWrap/>
            <w:hideMark/>
          </w:tcPr>
          <w:p w14:paraId="285A6CC7" w14:textId="77777777" w:rsidR="00957A75" w:rsidRPr="00957A75" w:rsidRDefault="00957A75" w:rsidP="00F12CE5">
            <w:pPr>
              <w:jc w:val="right"/>
            </w:pPr>
            <w:r w:rsidRPr="00957A75">
              <w:t xml:space="preserve">85,000 </w:t>
            </w:r>
          </w:p>
        </w:tc>
        <w:tc>
          <w:tcPr>
            <w:tcW w:w="1530" w:type="dxa"/>
            <w:shd w:val="clear" w:color="auto" w:fill="D9D9D9" w:themeFill="background1" w:themeFillShade="D9"/>
            <w:noWrap/>
            <w:hideMark/>
          </w:tcPr>
          <w:p w14:paraId="300BC464" w14:textId="77777777" w:rsidR="00957A75" w:rsidRPr="00957A75" w:rsidRDefault="00957A75" w:rsidP="00F12CE5">
            <w:pPr>
              <w:jc w:val="right"/>
            </w:pPr>
            <w:r w:rsidRPr="00957A75">
              <w:t>6%</w:t>
            </w:r>
          </w:p>
        </w:tc>
        <w:tc>
          <w:tcPr>
            <w:tcW w:w="1440" w:type="dxa"/>
            <w:noWrap/>
            <w:hideMark/>
          </w:tcPr>
          <w:p w14:paraId="4E7A0FB6" w14:textId="77777777" w:rsidR="00957A75" w:rsidRPr="00957A75" w:rsidRDefault="00957A75" w:rsidP="00F12CE5">
            <w:pPr>
              <w:jc w:val="right"/>
            </w:pPr>
            <w:r w:rsidRPr="00957A75">
              <w:t>N/A</w:t>
            </w:r>
          </w:p>
        </w:tc>
        <w:tc>
          <w:tcPr>
            <w:tcW w:w="1525" w:type="dxa"/>
            <w:noWrap/>
            <w:hideMark/>
          </w:tcPr>
          <w:p w14:paraId="3BB99BB9" w14:textId="77777777" w:rsidR="00957A75" w:rsidRPr="00957A75" w:rsidRDefault="00957A75" w:rsidP="00F12CE5">
            <w:pPr>
              <w:jc w:val="right"/>
            </w:pPr>
            <w:r w:rsidRPr="00957A75">
              <w:t>N/A</w:t>
            </w:r>
          </w:p>
        </w:tc>
      </w:tr>
      <w:tr w:rsidR="00957A75" w:rsidRPr="00957A75" w14:paraId="0A2CDE83" w14:textId="77777777" w:rsidTr="00F12CE5">
        <w:trPr>
          <w:trHeight w:val="288"/>
        </w:trPr>
        <w:tc>
          <w:tcPr>
            <w:tcW w:w="3325" w:type="dxa"/>
            <w:noWrap/>
            <w:hideMark/>
          </w:tcPr>
          <w:p w14:paraId="10013573" w14:textId="77777777" w:rsidR="00957A75" w:rsidRPr="00957A75" w:rsidRDefault="00957A75">
            <w:pPr>
              <w:rPr>
                <w:b/>
                <w:bCs/>
              </w:rPr>
            </w:pPr>
            <w:r w:rsidRPr="00957A75">
              <w:rPr>
                <w:b/>
                <w:bCs/>
              </w:rPr>
              <w:t>Totals</w:t>
            </w:r>
          </w:p>
        </w:tc>
        <w:tc>
          <w:tcPr>
            <w:tcW w:w="1530" w:type="dxa"/>
            <w:noWrap/>
            <w:hideMark/>
          </w:tcPr>
          <w:p w14:paraId="196C2A1D" w14:textId="77777777" w:rsidR="00957A75" w:rsidRPr="00957A75" w:rsidRDefault="00957A75" w:rsidP="00F12CE5">
            <w:pPr>
              <w:jc w:val="right"/>
            </w:pPr>
            <w:r w:rsidRPr="00957A75">
              <w:t xml:space="preserve">1,450,637 </w:t>
            </w:r>
          </w:p>
        </w:tc>
        <w:tc>
          <w:tcPr>
            <w:tcW w:w="1530" w:type="dxa"/>
            <w:noWrap/>
            <w:hideMark/>
          </w:tcPr>
          <w:p w14:paraId="659849E3" w14:textId="77777777" w:rsidR="00957A75" w:rsidRPr="00957A75" w:rsidRDefault="00F12CE5" w:rsidP="00F12CE5">
            <w:pPr>
              <w:jc w:val="right"/>
            </w:pPr>
            <w:r>
              <w:t>-</w:t>
            </w:r>
          </w:p>
        </w:tc>
        <w:tc>
          <w:tcPr>
            <w:tcW w:w="1440" w:type="dxa"/>
            <w:noWrap/>
            <w:hideMark/>
          </w:tcPr>
          <w:p w14:paraId="1E5781E1" w14:textId="77777777" w:rsidR="00957A75" w:rsidRPr="00957A75" w:rsidRDefault="00957A75" w:rsidP="00F12CE5">
            <w:pPr>
              <w:jc w:val="right"/>
            </w:pPr>
            <w:r w:rsidRPr="00957A75">
              <w:t xml:space="preserve">82,050 </w:t>
            </w:r>
          </w:p>
        </w:tc>
        <w:tc>
          <w:tcPr>
            <w:tcW w:w="1525" w:type="dxa"/>
            <w:noWrap/>
            <w:hideMark/>
          </w:tcPr>
          <w:p w14:paraId="1E1E443F" w14:textId="548197B3" w:rsidR="00957A75" w:rsidRPr="00957A75" w:rsidRDefault="007D0D0A" w:rsidP="00F12CE5">
            <w:pPr>
              <w:jc w:val="right"/>
            </w:pPr>
            <w:r>
              <w:t>4</w:t>
            </w:r>
            <w:r w:rsidR="00957A75" w:rsidRPr="00957A75">
              <w:t>%</w:t>
            </w:r>
          </w:p>
        </w:tc>
      </w:tr>
      <w:tr w:rsidR="007D0D0A" w:rsidRPr="00957A75" w14:paraId="7C890015" w14:textId="77777777" w:rsidTr="00491631">
        <w:trPr>
          <w:trHeight w:val="288"/>
        </w:trPr>
        <w:tc>
          <w:tcPr>
            <w:tcW w:w="3325" w:type="dxa"/>
            <w:noWrap/>
            <w:hideMark/>
          </w:tcPr>
          <w:p w14:paraId="7660EED9" w14:textId="77777777" w:rsidR="007D0D0A" w:rsidRPr="00957A75" w:rsidRDefault="007D0D0A">
            <w:pPr>
              <w:rPr>
                <w:b/>
                <w:bCs/>
              </w:rPr>
            </w:pPr>
            <w:r w:rsidRPr="00957A75">
              <w:rPr>
                <w:b/>
                <w:bCs/>
              </w:rPr>
              <w:t>Total project value (all cash + in-kind)</w:t>
            </w:r>
          </w:p>
        </w:tc>
        <w:tc>
          <w:tcPr>
            <w:tcW w:w="6025" w:type="dxa"/>
            <w:gridSpan w:val="4"/>
            <w:noWrap/>
            <w:hideMark/>
          </w:tcPr>
          <w:p w14:paraId="03054732" w14:textId="6AE9372B" w:rsidR="007D0D0A" w:rsidRPr="00957A75" w:rsidRDefault="007D0D0A" w:rsidP="002432E8">
            <w:r w:rsidRPr="00957A75">
              <w:t>1,532,687</w:t>
            </w:r>
          </w:p>
        </w:tc>
      </w:tr>
    </w:tbl>
    <w:p w14:paraId="2ED52B4E" w14:textId="77777777" w:rsidR="005706DF" w:rsidRDefault="005706DF">
      <w:r>
        <w:br w:type="page"/>
      </w:r>
    </w:p>
    <w:p w14:paraId="42EB1BB0" w14:textId="77777777" w:rsidR="006963B0" w:rsidRDefault="005706DF" w:rsidP="005706DF">
      <w:pPr>
        <w:pStyle w:val="Heading1"/>
      </w:pPr>
      <w:r>
        <w:lastRenderedPageBreak/>
        <w:t xml:space="preserve">Project Concept </w:t>
      </w:r>
      <w:r w:rsidR="00121C62">
        <w:t>and</w:t>
      </w:r>
      <w:r>
        <w:t xml:space="preserve"> Rationale</w:t>
      </w:r>
    </w:p>
    <w:p w14:paraId="50920C4C" w14:textId="77777777" w:rsidR="006963B0" w:rsidRDefault="005706DF" w:rsidP="005706DF">
      <w:pPr>
        <w:pStyle w:val="Heading2"/>
      </w:pPr>
      <w:r>
        <w:t>Project Goal</w:t>
      </w:r>
    </w:p>
    <w:p w14:paraId="0DEEA5E4" w14:textId="5FB06F9A" w:rsidR="005706DF" w:rsidRDefault="007D0D0A">
      <w:r>
        <w:t>Multiple distributors to p</w:t>
      </w:r>
      <w:r w:rsidR="005706DF">
        <w:t xml:space="preserve">ilot a pricing and </w:t>
      </w:r>
      <w:r w:rsidR="00A86A5D">
        <w:t xml:space="preserve">non-pricing combination </w:t>
      </w:r>
      <w:r w:rsidR="0052004D">
        <w:t xml:space="preserve">RPP </w:t>
      </w:r>
      <w:r w:rsidR="005706DF">
        <w:t xml:space="preserve">program </w:t>
      </w:r>
      <w:r w:rsidR="00A86A5D">
        <w:t xml:space="preserve">using enhanced TOU </w:t>
      </w:r>
      <w:r w:rsidR="005706DF">
        <w:t>pric</w:t>
      </w:r>
      <w:r w:rsidR="00A86A5D">
        <w:t xml:space="preserve">es as well as enabling tools and information by leveraging </w:t>
      </w:r>
      <w:r w:rsidR="00D12F10">
        <w:t>a CDM program currently in market</w:t>
      </w:r>
      <w:r w:rsidR="00A86A5D">
        <w:t xml:space="preserve"> to </w:t>
      </w:r>
      <w:r>
        <w:t xml:space="preserve">provide </w:t>
      </w:r>
      <w:r w:rsidR="00A86A5D">
        <w:t xml:space="preserve">customers </w:t>
      </w:r>
      <w:r>
        <w:t xml:space="preserve">with </w:t>
      </w:r>
      <w:r w:rsidR="00A86A5D">
        <w:t>incentives and opportunities to decrease their energy consumption and shift their time of electricity use.</w:t>
      </w:r>
    </w:p>
    <w:p w14:paraId="175ECCFC" w14:textId="77777777" w:rsidR="005706DF" w:rsidRDefault="005706DF" w:rsidP="0002391E">
      <w:pPr>
        <w:pStyle w:val="Heading2"/>
      </w:pPr>
      <w:r>
        <w:t>RPP Roadmap Objectives Addressed</w:t>
      </w:r>
    </w:p>
    <w:p w14:paraId="2AEA9905" w14:textId="77777777" w:rsidR="00F71615" w:rsidRDefault="00F71615">
      <w:r>
        <w:t>The pilot will address many of the objectives of the RPP roadmap</w:t>
      </w:r>
      <w:r w:rsidR="007D0D0A">
        <w:t>:</w:t>
      </w:r>
    </w:p>
    <w:p w14:paraId="04FD1482" w14:textId="019268AD" w:rsidR="003A7B6D" w:rsidRDefault="0002391E">
      <w:r w:rsidRPr="00387434">
        <w:rPr>
          <w:b/>
        </w:rPr>
        <w:t>Combination</w:t>
      </w:r>
      <w:r w:rsidR="003A7B6D" w:rsidRPr="00387434">
        <w:rPr>
          <w:b/>
        </w:rPr>
        <w:t xml:space="preserve"> pilot</w:t>
      </w:r>
      <w:r w:rsidR="00387434">
        <w:t xml:space="preserve"> – the pilot will combine pricing and non-pricing treatments</w:t>
      </w:r>
      <w:r w:rsidR="00A746E4">
        <w:t>,</w:t>
      </w:r>
      <w:r w:rsidR="00387434">
        <w:t xml:space="preserve"> complimenting </w:t>
      </w:r>
      <w:r w:rsidR="00D12F10">
        <w:t>enhanced</w:t>
      </w:r>
      <w:r w:rsidR="00387434">
        <w:t xml:space="preserve"> TOU pricing with new tools and information for customers</w:t>
      </w:r>
    </w:p>
    <w:p w14:paraId="7C0881D6" w14:textId="68C674E9" w:rsidR="0002391E" w:rsidRDefault="0002391E" w:rsidP="0002391E">
      <w:r w:rsidRPr="00387434">
        <w:rPr>
          <w:b/>
        </w:rPr>
        <w:t>Enhanced</w:t>
      </w:r>
      <w:r w:rsidR="00387434" w:rsidRPr="00387434">
        <w:rPr>
          <w:b/>
        </w:rPr>
        <w:t xml:space="preserve"> TOU </w:t>
      </w:r>
      <w:r w:rsidRPr="00387434">
        <w:rPr>
          <w:b/>
        </w:rPr>
        <w:t>prices</w:t>
      </w:r>
      <w:r w:rsidR="00387434">
        <w:t xml:space="preserve"> – enhanced TOU pricing will introduce a greater ratio between on and off peak prices while maintaining the existing pricing structure</w:t>
      </w:r>
    </w:p>
    <w:p w14:paraId="6D69DAF0" w14:textId="77777777" w:rsidR="003A7B6D" w:rsidRDefault="0002391E">
      <w:r w:rsidRPr="00E56D38">
        <w:rPr>
          <w:b/>
        </w:rPr>
        <w:t>Utilizing a</w:t>
      </w:r>
      <w:r w:rsidR="003A7B6D" w:rsidRPr="00E56D38">
        <w:rPr>
          <w:b/>
        </w:rPr>
        <w:t>utomation treatment</w:t>
      </w:r>
      <w:r w:rsidR="00DF5680" w:rsidRPr="00E56D38">
        <w:rPr>
          <w:b/>
        </w:rPr>
        <w:t>s and enabling technologies</w:t>
      </w:r>
      <w:r w:rsidR="00387434">
        <w:t xml:space="preserve"> – customers will be provided with intelligent thermostats </w:t>
      </w:r>
      <w:r w:rsidR="007D0D0A">
        <w:t>pre-</w:t>
      </w:r>
      <w:r w:rsidR="00387434">
        <w:t>programmed to take advantage of TOU pricing opportunities</w:t>
      </w:r>
    </w:p>
    <w:p w14:paraId="11010E1E" w14:textId="1AFF836D" w:rsidR="003A7B6D" w:rsidRDefault="003A7B6D">
      <w:r w:rsidRPr="00E56D38">
        <w:rPr>
          <w:b/>
        </w:rPr>
        <w:t>I</w:t>
      </w:r>
      <w:r w:rsidR="0002391E" w:rsidRPr="00E56D38">
        <w:rPr>
          <w:b/>
        </w:rPr>
        <w:t xml:space="preserve">ncrease </w:t>
      </w:r>
      <w:r w:rsidR="00DF5680" w:rsidRPr="00E56D38">
        <w:rPr>
          <w:b/>
        </w:rPr>
        <w:t xml:space="preserve">customer </w:t>
      </w:r>
      <w:r w:rsidR="0002391E" w:rsidRPr="00E56D38">
        <w:rPr>
          <w:b/>
        </w:rPr>
        <w:t xml:space="preserve">energy literacy through </w:t>
      </w:r>
      <w:r w:rsidR="00DF5680" w:rsidRPr="00E56D38">
        <w:rPr>
          <w:b/>
        </w:rPr>
        <w:t xml:space="preserve">additional </w:t>
      </w:r>
      <w:r w:rsidR="0002391E" w:rsidRPr="00E56D38">
        <w:rPr>
          <w:b/>
        </w:rPr>
        <w:t>information</w:t>
      </w:r>
      <w:r w:rsidR="00387434">
        <w:t xml:space="preserve"> – customers will receive additional information about TOU and recommendations </w:t>
      </w:r>
      <w:r w:rsidR="0052004D">
        <w:t xml:space="preserve">on how </w:t>
      </w:r>
      <w:r w:rsidR="00387434">
        <w:t xml:space="preserve">to reduce </w:t>
      </w:r>
      <w:r w:rsidR="0052004D">
        <w:t xml:space="preserve">their </w:t>
      </w:r>
      <w:r w:rsidR="00387434">
        <w:t xml:space="preserve">consumption and shift </w:t>
      </w:r>
      <w:r w:rsidR="0052004D">
        <w:t xml:space="preserve">the </w:t>
      </w:r>
      <w:r w:rsidR="00387434">
        <w:t xml:space="preserve">time </w:t>
      </w:r>
      <w:r w:rsidR="00D12F10">
        <w:t xml:space="preserve">of </w:t>
      </w:r>
      <w:r w:rsidR="0052004D">
        <w:t xml:space="preserve">their </w:t>
      </w:r>
      <w:r w:rsidR="00D12F10">
        <w:t>electricity use</w:t>
      </w:r>
    </w:p>
    <w:p w14:paraId="55DFCA66" w14:textId="6FB97181" w:rsidR="00F42016" w:rsidRDefault="00F42016">
      <w:r w:rsidRPr="002432E8">
        <w:rPr>
          <w:b/>
        </w:rPr>
        <w:t>Greater customer control</w:t>
      </w:r>
      <w:r>
        <w:t xml:space="preserve"> </w:t>
      </w:r>
      <w:r w:rsidR="000446DA" w:rsidRPr="002432E8">
        <w:rPr>
          <w:b/>
        </w:rPr>
        <w:t>and empowerment</w:t>
      </w:r>
      <w:r w:rsidR="0052004D">
        <w:rPr>
          <w:b/>
        </w:rPr>
        <w:t xml:space="preserve"> </w:t>
      </w:r>
      <w:r>
        <w:t xml:space="preserve">– programmable thermostats will be </w:t>
      </w:r>
      <w:r w:rsidR="00723BFA">
        <w:t>Wi-Fi</w:t>
      </w:r>
      <w:r w:rsidR="0052004D">
        <w:t>,</w:t>
      </w:r>
      <w:r>
        <w:t xml:space="preserve"> </w:t>
      </w:r>
      <w:r w:rsidR="0052004D">
        <w:t>allowing heating and cooling</w:t>
      </w:r>
      <w:r>
        <w:t xml:space="preserve"> equipment to be controlled remotely where available to give customers greater control.  Programmable thermostats will also have demand response capability</w:t>
      </w:r>
      <w:r w:rsidR="000446DA">
        <w:t>.  Through the pilot, customers will have the ability to choose between different TOU pricing options.</w:t>
      </w:r>
    </w:p>
    <w:p w14:paraId="70876226" w14:textId="77777777" w:rsidR="0002391E" w:rsidRDefault="0002391E" w:rsidP="0002391E">
      <w:r w:rsidRPr="00E56D38">
        <w:rPr>
          <w:b/>
        </w:rPr>
        <w:t>Testing multiple treatments</w:t>
      </w:r>
      <w:r w:rsidR="00387434">
        <w:t xml:space="preserve"> – different treatments </w:t>
      </w:r>
      <w:r w:rsidR="00D12F10">
        <w:t xml:space="preserve">in different regions </w:t>
      </w:r>
      <w:r w:rsidR="00387434">
        <w:t xml:space="preserve">will </w:t>
      </w:r>
      <w:r w:rsidR="00D12F10">
        <w:t xml:space="preserve">be </w:t>
      </w:r>
      <w:r w:rsidR="00387434">
        <w:t>tested to determine the efficacy of each</w:t>
      </w:r>
    </w:p>
    <w:p w14:paraId="14CD3010" w14:textId="7C57A521" w:rsidR="003D5353" w:rsidRDefault="00E56D38" w:rsidP="0002391E">
      <w:r>
        <w:rPr>
          <w:b/>
        </w:rPr>
        <w:t>Leverage CDM p</w:t>
      </w:r>
      <w:r w:rsidR="003D5353" w:rsidRPr="00E56D38">
        <w:rPr>
          <w:b/>
        </w:rPr>
        <w:t>rograms</w:t>
      </w:r>
      <w:r w:rsidR="003D5353">
        <w:t xml:space="preserve"> – CDM </w:t>
      </w:r>
      <w:r>
        <w:t xml:space="preserve">will be leveraged as much as possible </w:t>
      </w:r>
      <w:r w:rsidR="002933D0">
        <w:t>to minimize</w:t>
      </w:r>
      <w:r w:rsidR="007D0D0A">
        <w:t xml:space="preserve"> </w:t>
      </w:r>
      <w:r w:rsidR="003D5353">
        <w:t xml:space="preserve">costs and </w:t>
      </w:r>
      <w:r w:rsidR="007D0D0A">
        <w:t xml:space="preserve">for </w:t>
      </w:r>
      <w:r w:rsidR="003D5353">
        <w:t xml:space="preserve">further conservation and consumer benefits </w:t>
      </w:r>
    </w:p>
    <w:p w14:paraId="1EB98ACA" w14:textId="77777777" w:rsidR="0002391E" w:rsidRDefault="0002391E" w:rsidP="0002391E">
      <w:r w:rsidRPr="00E56D38">
        <w:rPr>
          <w:b/>
        </w:rPr>
        <w:t>Customer diversity including low income and high usage customers</w:t>
      </w:r>
      <w:r w:rsidR="003D5353">
        <w:t xml:space="preserve"> – all residential customers will be included in the pilot including </w:t>
      </w:r>
      <w:r w:rsidR="00D12F10">
        <w:t xml:space="preserve">low income customers and </w:t>
      </w:r>
      <w:r w:rsidR="003D5353">
        <w:t xml:space="preserve">high usage customers </w:t>
      </w:r>
      <w:r w:rsidR="007D0D0A">
        <w:t xml:space="preserve">including those </w:t>
      </w:r>
      <w:r w:rsidR="003D5353">
        <w:t xml:space="preserve">with electric heating </w:t>
      </w:r>
    </w:p>
    <w:p w14:paraId="4F0E2AF8" w14:textId="72DB7262" w:rsidR="003A7B6D" w:rsidRDefault="0002391E">
      <w:r w:rsidRPr="00E56D38">
        <w:rPr>
          <w:b/>
        </w:rPr>
        <w:t>Distributor collaboratio</w:t>
      </w:r>
      <w:r w:rsidR="003A7B6D" w:rsidRPr="00E56D38">
        <w:rPr>
          <w:b/>
        </w:rPr>
        <w:t>n</w:t>
      </w:r>
      <w:r w:rsidR="003D5353">
        <w:t xml:space="preserve"> – seven distributors will be </w:t>
      </w:r>
      <w:r w:rsidR="0052004D">
        <w:t>working together</w:t>
      </w:r>
      <w:r w:rsidR="0052004D">
        <w:t xml:space="preserve"> </w:t>
      </w:r>
      <w:r w:rsidR="003D5353">
        <w:t>to deliver the pilo</w:t>
      </w:r>
      <w:r w:rsidR="00A746E4">
        <w:t>t</w:t>
      </w:r>
    </w:p>
    <w:p w14:paraId="6D933FC9" w14:textId="052C66D1" w:rsidR="006303B0" w:rsidRDefault="006303B0">
      <w:r w:rsidRPr="00E56D38">
        <w:rPr>
          <w:b/>
        </w:rPr>
        <w:t>Provincial diversity</w:t>
      </w:r>
      <w:r w:rsidR="0052004D">
        <w:rPr>
          <w:b/>
        </w:rPr>
        <w:t xml:space="preserve"> </w:t>
      </w:r>
      <w:r>
        <w:t xml:space="preserve">- </w:t>
      </w:r>
      <w:r w:rsidR="00344461">
        <w:t xml:space="preserve">the pilot will be run simultaneously with </w:t>
      </w:r>
      <w:r w:rsidR="0002391E">
        <w:t>small</w:t>
      </w:r>
      <w:r>
        <w:t xml:space="preserve"> and medium size dis</w:t>
      </w:r>
      <w:r w:rsidR="003D5353">
        <w:t xml:space="preserve">tributors </w:t>
      </w:r>
      <w:r>
        <w:t xml:space="preserve">covering </w:t>
      </w:r>
      <w:r w:rsidR="00344461">
        <w:t>multiple service areas</w:t>
      </w:r>
      <w:r>
        <w:t xml:space="preserve"> including </w:t>
      </w:r>
      <w:r w:rsidR="003D5353">
        <w:t>winter peaking in the northern region and summer peaking in the southern region</w:t>
      </w:r>
    </w:p>
    <w:p w14:paraId="4502FE1A" w14:textId="5F71C9B6" w:rsidR="0002391E" w:rsidRDefault="0002391E" w:rsidP="0002391E">
      <w:r w:rsidRPr="00E56D38">
        <w:rPr>
          <w:b/>
        </w:rPr>
        <w:t>Potential for scalability</w:t>
      </w:r>
      <w:r>
        <w:t xml:space="preserve"> – </w:t>
      </w:r>
      <w:r w:rsidR="003D5353">
        <w:t xml:space="preserve">the pilot has the potential to be scaled to be </w:t>
      </w:r>
      <w:r>
        <w:t>province-</w:t>
      </w:r>
      <w:r w:rsidR="003D5353">
        <w:t>wide</w:t>
      </w:r>
      <w:r w:rsidR="000446DA">
        <w:t xml:space="preserve"> for all RPP customers</w:t>
      </w:r>
      <w:r w:rsidR="003D5353">
        <w:t xml:space="preserve"> and </w:t>
      </w:r>
      <w:r w:rsidR="00D12F10">
        <w:t>to</w:t>
      </w:r>
      <w:r w:rsidR="003D5353">
        <w:t xml:space="preserve"> </w:t>
      </w:r>
      <w:r w:rsidR="007D0D0A">
        <w:t xml:space="preserve">also </w:t>
      </w:r>
      <w:r w:rsidR="003D5353">
        <w:t>include</w:t>
      </w:r>
      <w:r>
        <w:t xml:space="preserve"> </w:t>
      </w:r>
      <w:r w:rsidR="00DF5680">
        <w:t>low-volume business</w:t>
      </w:r>
      <w:r w:rsidR="003D5353">
        <w:t xml:space="preserve"> customers</w:t>
      </w:r>
      <w:r w:rsidR="007D0D0A">
        <w:t>.  The automation treatments will have demand response capability for possible future use.</w:t>
      </w:r>
    </w:p>
    <w:p w14:paraId="1EDAFD7F" w14:textId="77777777" w:rsidR="005706DF" w:rsidRDefault="005706DF" w:rsidP="00E56D38">
      <w:pPr>
        <w:pStyle w:val="Heading2"/>
      </w:pPr>
      <w:r>
        <w:lastRenderedPageBreak/>
        <w:t xml:space="preserve">Pilot </w:t>
      </w:r>
      <w:r w:rsidR="003D5353">
        <w:t xml:space="preserve">Outline and </w:t>
      </w:r>
      <w:r>
        <w:t>Alignment with RPP Objectives</w:t>
      </w:r>
    </w:p>
    <w:p w14:paraId="523BA0A4" w14:textId="13712071" w:rsidR="00E56D38" w:rsidRPr="00E56D38" w:rsidRDefault="003B7A50" w:rsidP="00E56D38">
      <w:r>
        <w:t>The pilot</w:t>
      </w:r>
      <w:r w:rsidR="00E56D38" w:rsidRPr="00E56D38">
        <w:t xml:space="preserve"> </w:t>
      </w:r>
      <w:r>
        <w:t>will incent and encourage</w:t>
      </w:r>
      <w:r w:rsidR="00E56D38" w:rsidRPr="00E56D38">
        <w:t xml:space="preserve"> residential customers to take advantage of mid-peak and off-peak times </w:t>
      </w:r>
      <w:r w:rsidR="0017555F">
        <w:t>using a combination of pricing and non-pricing treatments.  C</w:t>
      </w:r>
      <w:r w:rsidR="00E56D38" w:rsidRPr="00E56D38">
        <w:t xml:space="preserve">ustomers </w:t>
      </w:r>
      <w:r w:rsidR="0017555F">
        <w:t xml:space="preserve">will be offered </w:t>
      </w:r>
      <w:r w:rsidR="00E56D38" w:rsidRPr="00E56D38">
        <w:t>a</w:t>
      </w:r>
      <w:r w:rsidR="0017555F">
        <w:t>n enhanced TOU</w:t>
      </w:r>
      <w:r w:rsidR="00E56D38" w:rsidRPr="00E56D38">
        <w:t xml:space="preserve"> pricing mec</w:t>
      </w:r>
      <w:r w:rsidR="0017555F">
        <w:t>hanism and provided with additional information</w:t>
      </w:r>
      <w:r w:rsidR="00E56D38" w:rsidRPr="00E56D38">
        <w:t xml:space="preserve"> and tools such as intelligent thermostat</w:t>
      </w:r>
      <w:r w:rsidR="00D55DED">
        <w:t>s</w:t>
      </w:r>
      <w:r w:rsidR="00E56D38" w:rsidRPr="00E56D38">
        <w:t>.</w:t>
      </w:r>
    </w:p>
    <w:p w14:paraId="548E938F" w14:textId="4828D8DD" w:rsidR="00E56D38" w:rsidRPr="00E56D38" w:rsidRDefault="00E56D38" w:rsidP="00E56D38">
      <w:r w:rsidRPr="00E56D38">
        <w:t xml:space="preserve">The pricing component of the pilot </w:t>
      </w:r>
      <w:r>
        <w:t>will be</w:t>
      </w:r>
      <w:r w:rsidRPr="00E56D38">
        <w:t xml:space="preserve"> Enhanced Status Quo (ESQ), which will introduce a greater ratio between on and off peak prices while maintaining the existing prici</w:t>
      </w:r>
      <w:r>
        <w:t>ng structure</w:t>
      </w:r>
      <w:r w:rsidRPr="00E56D38">
        <w:t>.  Under ESQ, a</w:t>
      </w:r>
      <w:r>
        <w:t>ll TOU periods stay the same (status quo)</w:t>
      </w:r>
      <w:r w:rsidRPr="00E56D38">
        <w:t xml:space="preserve">, </w:t>
      </w:r>
      <w:r w:rsidR="0017555F">
        <w:t xml:space="preserve">however, the prices will be </w:t>
      </w:r>
      <w:r w:rsidRPr="00E56D38">
        <w:t>different.</w:t>
      </w:r>
    </w:p>
    <w:p w14:paraId="7CBFC8EF" w14:textId="458B8862" w:rsidR="00E56D38" w:rsidRPr="00E56D38" w:rsidRDefault="00E56D38" w:rsidP="00E56D38">
      <w:r w:rsidRPr="00E56D38">
        <w:t xml:space="preserve">The pilot will leverage the Home Energy Assessment &amp; Retrofit (HEAR) program, which is a pilot/local CDM program that is currently in market with CustomerFirst </w:t>
      </w:r>
      <w:r w:rsidR="00363136">
        <w:t>distributors</w:t>
      </w:r>
      <w:r w:rsidRPr="00E56D38">
        <w:t xml:space="preserve">.   Through the HEAR program, customers receive information through an in-home assessment by a qualified assessor plus a customized report showing them the potential savings and financial opportunity from changing how they use electricity or </w:t>
      </w:r>
      <w:r w:rsidR="00FE61DD">
        <w:t xml:space="preserve">by </w:t>
      </w:r>
      <w:r w:rsidRPr="00E56D38">
        <w:t xml:space="preserve">upgrading </w:t>
      </w:r>
      <w:r w:rsidR="007C4272">
        <w:t xml:space="preserve">to more efficient </w:t>
      </w:r>
      <w:r w:rsidRPr="00E56D38">
        <w:t xml:space="preserve">equipment.  Customers also receive energy efficient measures including intelligent thermostats that are directly installed by their </w:t>
      </w:r>
      <w:r w:rsidR="00363136">
        <w:t>distributor</w:t>
      </w:r>
      <w:r w:rsidRPr="00E56D38">
        <w:t xml:space="preserve"> at no-charge.</w:t>
      </w:r>
      <w:r>
        <w:t xml:space="preserve">  </w:t>
      </w:r>
    </w:p>
    <w:p w14:paraId="7D144763" w14:textId="0F2B7E09" w:rsidR="00E56D38" w:rsidRPr="00E56D38" w:rsidRDefault="00E56D38" w:rsidP="00E56D38">
      <w:r w:rsidRPr="00E56D38">
        <w:t xml:space="preserve">Customers </w:t>
      </w:r>
      <w:r w:rsidR="00FE61DD">
        <w:t>who participate</w:t>
      </w:r>
      <w:r w:rsidRPr="00E56D38">
        <w:t xml:space="preserve"> in the HEAR program will be encouraged to </w:t>
      </w:r>
      <w:r w:rsidR="00FE61DD">
        <w:t xml:space="preserve">also </w:t>
      </w:r>
      <w:r w:rsidRPr="00E56D38">
        <w:t xml:space="preserve">participate in the RPP pricing pilot and will receive additional information about TOU pricing including a specialized report showing them the cost savings by switching to an ESQ pricing treatment.  This report will be generated using a cost comparison </w:t>
      </w:r>
      <w:r w:rsidR="00AA5355">
        <w:t>tool</w:t>
      </w:r>
      <w:r w:rsidR="00AA5355" w:rsidRPr="00E56D38">
        <w:t xml:space="preserve"> </w:t>
      </w:r>
      <w:r w:rsidRPr="00E56D38">
        <w:t xml:space="preserve">and will use </w:t>
      </w:r>
      <w:r w:rsidR="00C10DEC">
        <w:t>customers’</w:t>
      </w:r>
      <w:r w:rsidR="00C10DEC" w:rsidRPr="00E56D38">
        <w:t xml:space="preserve"> </w:t>
      </w:r>
      <w:r w:rsidRPr="00E56D38">
        <w:t>historical billing data</w:t>
      </w:r>
      <w:r w:rsidR="007C4272">
        <w:t>.</w:t>
      </w:r>
      <w:r w:rsidRPr="00E56D38">
        <w:t xml:space="preserve">  The intelligent thermostats will be pre</w:t>
      </w:r>
      <w:r w:rsidR="00491631">
        <w:t>-</w:t>
      </w:r>
      <w:r w:rsidRPr="00E56D38">
        <w:t>programmed for pricing periods, adjusting the heating and cooling temperature setting</w:t>
      </w:r>
      <w:r w:rsidR="007C4272">
        <w:t>s</w:t>
      </w:r>
      <w:r w:rsidRPr="00E56D38">
        <w:t xml:space="preserve"> according to the pricing period.</w:t>
      </w:r>
      <w:r w:rsidR="00FE61DD" w:rsidRPr="00FE61DD">
        <w:t xml:space="preserve"> </w:t>
      </w:r>
      <w:r w:rsidR="00FE61DD">
        <w:t xml:space="preserve"> For the RPP pilot, intelligent thermostats with demand response capability will be provided for possible future programs</w:t>
      </w:r>
      <w:r w:rsidR="00723BFA">
        <w:t xml:space="preserve">.  </w:t>
      </w:r>
      <w:r w:rsidR="007C4272" w:rsidRPr="00E56D38">
        <w:t>The opportunity to include control devices for customers with electric water heating will also be explored</w:t>
      </w:r>
      <w:r w:rsidR="007C4272">
        <w:t xml:space="preserve">.  </w:t>
      </w:r>
      <w:r w:rsidR="00F46235">
        <w:t>Customers who do not</w:t>
      </w:r>
      <w:r w:rsidRPr="00E56D38">
        <w:t xml:space="preserve"> participate in the HEAR </w:t>
      </w:r>
      <w:r w:rsidR="00D55DED">
        <w:t xml:space="preserve">program </w:t>
      </w:r>
      <w:r w:rsidRPr="00E56D38">
        <w:t>will also be eligibl</w:t>
      </w:r>
      <w:r w:rsidR="00FE61DD">
        <w:t xml:space="preserve">e to participate in the RPP </w:t>
      </w:r>
      <w:r w:rsidRPr="00E56D38">
        <w:t>pilot and will have access to the same tools and reports.</w:t>
      </w:r>
    </w:p>
    <w:p w14:paraId="1A5B2101" w14:textId="16CA50A0" w:rsidR="00120D12" w:rsidRPr="00E56D38" w:rsidRDefault="00E56D38" w:rsidP="00E56D38">
      <w:r w:rsidRPr="00E56D38">
        <w:t>Throu</w:t>
      </w:r>
      <w:r w:rsidR="00F46235">
        <w:t>gh the participation of different</w:t>
      </w:r>
      <w:r w:rsidRPr="00E56D38">
        <w:t xml:space="preserve"> </w:t>
      </w:r>
      <w:r w:rsidR="00363136">
        <w:t>distributors</w:t>
      </w:r>
      <w:r w:rsidR="00F46235">
        <w:t xml:space="preserve"> in the pilot, multiple</w:t>
      </w:r>
      <w:r w:rsidRPr="00E56D38">
        <w:t xml:space="preserve"> treatments will be tested to determine the effectiveness of treatments relative to others.</w:t>
      </w:r>
      <w:r w:rsidR="00915DD3">
        <w:t xml:space="preserve">  </w:t>
      </w:r>
      <w:r w:rsidR="00DC3D9B">
        <w:t>All treatments</w:t>
      </w:r>
      <w:r w:rsidR="00120D12">
        <w:t>, including the testing of multiple treatments such as the combination of the pricing treatments and/or non-price treatments,</w:t>
      </w:r>
      <w:r w:rsidR="00DC3D9B">
        <w:t xml:space="preserve"> will be determined with input and approval from the OEB</w:t>
      </w:r>
      <w:r w:rsidR="00D55DED">
        <w:t>.</w:t>
      </w:r>
    </w:p>
    <w:p w14:paraId="3DF14D6F" w14:textId="31B9ECFC" w:rsidR="00E56D38" w:rsidRPr="00E56D38" w:rsidRDefault="00E56D38" w:rsidP="00E56D38">
      <w:r w:rsidRPr="00E56D38">
        <w:t xml:space="preserve">The pilot will be a collaborative effort between CustomerFirst </w:t>
      </w:r>
      <w:r w:rsidR="00363136">
        <w:t>distributors</w:t>
      </w:r>
      <w:r w:rsidRPr="00E56D38">
        <w:t xml:space="preserve">.  The pilot will be in market March 1, 2017 – March 1, 2018, with EM&amp;V completed and the final report submitted to the OEB </w:t>
      </w:r>
      <w:r w:rsidR="00D55DED">
        <w:t xml:space="preserve">on or </w:t>
      </w:r>
      <w:r w:rsidRPr="00E56D38">
        <w:t>before October 1, 2018.</w:t>
      </w:r>
    </w:p>
    <w:p w14:paraId="6D34644D" w14:textId="77777777" w:rsidR="00E56D38" w:rsidRPr="00E56D38" w:rsidRDefault="00E56D38" w:rsidP="00E56D38">
      <w:pPr>
        <w:keepNext/>
        <w:keepLines/>
        <w:spacing w:before="40" w:after="0"/>
        <w:outlineLvl w:val="1"/>
        <w:rPr>
          <w:rFonts w:asciiTheme="majorHAnsi" w:eastAsiaTheme="majorEastAsia" w:hAnsiTheme="majorHAnsi" w:cstheme="majorBidi"/>
          <w:color w:val="2E74B5" w:themeColor="accent1" w:themeShade="BF"/>
          <w:sz w:val="26"/>
          <w:szCs w:val="26"/>
        </w:rPr>
      </w:pPr>
      <w:r w:rsidRPr="00E56D38">
        <w:rPr>
          <w:rFonts w:asciiTheme="majorHAnsi" w:eastAsiaTheme="majorEastAsia" w:hAnsiTheme="majorHAnsi" w:cstheme="majorBidi"/>
          <w:color w:val="2E74B5" w:themeColor="accent1" w:themeShade="BF"/>
          <w:sz w:val="26"/>
          <w:szCs w:val="26"/>
        </w:rPr>
        <w:t>Pilot Objectives</w:t>
      </w:r>
    </w:p>
    <w:p w14:paraId="0DF8DB08" w14:textId="77777777" w:rsidR="00491631" w:rsidRPr="00E56D38" w:rsidRDefault="00491631" w:rsidP="00491631">
      <w:pPr>
        <w:numPr>
          <w:ilvl w:val="0"/>
          <w:numId w:val="5"/>
        </w:numPr>
        <w:contextualSpacing/>
      </w:pPr>
      <w:r w:rsidRPr="00E56D38">
        <w:t xml:space="preserve">Test a pricing and non-pricing combination pilot </w:t>
      </w:r>
      <w:r>
        <w:t xml:space="preserve">with multiple treatments </w:t>
      </w:r>
      <w:r w:rsidRPr="00E56D38">
        <w:t>that gives customers incentives, tools and information to reduce their electricity bills by shifting their time of electricity</w:t>
      </w:r>
      <w:r>
        <w:t xml:space="preserve"> use</w:t>
      </w:r>
      <w:r w:rsidRPr="00E56D38">
        <w:t>.</w:t>
      </w:r>
    </w:p>
    <w:p w14:paraId="1EF77B87" w14:textId="04AB3FD1" w:rsidR="00E56D38" w:rsidRPr="00E56D38" w:rsidRDefault="00E56D38" w:rsidP="00D55DED">
      <w:pPr>
        <w:numPr>
          <w:ilvl w:val="0"/>
          <w:numId w:val="5"/>
        </w:numPr>
        <w:contextualSpacing/>
      </w:pPr>
      <w:r w:rsidRPr="00E56D38">
        <w:t xml:space="preserve">Test </w:t>
      </w:r>
      <w:r w:rsidR="00491631">
        <w:t>the pilot</w:t>
      </w:r>
      <w:r w:rsidRPr="00E56D38">
        <w:t xml:space="preserve"> with multiple </w:t>
      </w:r>
      <w:r w:rsidR="00363136">
        <w:t>distributors</w:t>
      </w:r>
      <w:r w:rsidRPr="00E56D38">
        <w:t xml:space="preserve"> including smaller and medium sized </w:t>
      </w:r>
      <w:r w:rsidR="00363136">
        <w:t>distributors</w:t>
      </w:r>
      <w:r w:rsidRPr="00E56D38">
        <w:t xml:space="preserve"> and </w:t>
      </w:r>
      <w:r w:rsidR="00363136">
        <w:t>distributors</w:t>
      </w:r>
      <w:r w:rsidR="00CE13DC">
        <w:t xml:space="preserve"> </w:t>
      </w:r>
      <w:r w:rsidRPr="00E56D38">
        <w:t xml:space="preserve">located </w:t>
      </w:r>
      <w:r>
        <w:t>in different regions of the province</w:t>
      </w:r>
      <w:r w:rsidR="00D55DED">
        <w:t xml:space="preserve">.  </w:t>
      </w:r>
      <w:r w:rsidR="00D55DED" w:rsidRPr="00E56D38">
        <w:t xml:space="preserve">Create economies of scale and larger customer participation through a joint pilot </w:t>
      </w:r>
      <w:r w:rsidR="00D55DED">
        <w:t>with multiple distributors</w:t>
      </w:r>
      <w:r w:rsidR="00D55DED">
        <w:t>.</w:t>
      </w:r>
    </w:p>
    <w:p w14:paraId="2874FBDB" w14:textId="01457110" w:rsidR="00E56D38" w:rsidRPr="00E56D38" w:rsidRDefault="00E56D38" w:rsidP="00E56D38">
      <w:pPr>
        <w:numPr>
          <w:ilvl w:val="0"/>
          <w:numId w:val="5"/>
        </w:numPr>
        <w:contextualSpacing/>
      </w:pPr>
      <w:r w:rsidRPr="00E56D38">
        <w:t>Enhance customer energy literacy including understanding of TOU</w:t>
      </w:r>
      <w:r w:rsidR="00D55DED">
        <w:t>.</w:t>
      </w:r>
    </w:p>
    <w:p w14:paraId="255A8DF7" w14:textId="66C9D0A7" w:rsidR="00E56D38" w:rsidRDefault="00E170EA" w:rsidP="00FE61DD">
      <w:pPr>
        <w:numPr>
          <w:ilvl w:val="0"/>
          <w:numId w:val="5"/>
        </w:numPr>
        <w:contextualSpacing/>
      </w:pPr>
      <w:r>
        <w:t>Leverage CDM to reduce costs and provide additional customer benefits and savings</w:t>
      </w:r>
      <w:r w:rsidR="00D55DED">
        <w:t>.</w:t>
      </w:r>
    </w:p>
    <w:p w14:paraId="1E050710" w14:textId="7B37EAEE" w:rsidR="005706DF" w:rsidRDefault="005706DF" w:rsidP="00FE61DD">
      <w:pPr>
        <w:pStyle w:val="Heading2"/>
      </w:pPr>
      <w:r>
        <w:lastRenderedPageBreak/>
        <w:t xml:space="preserve">Comparison to Other </w:t>
      </w:r>
      <w:r w:rsidR="00827511">
        <w:t xml:space="preserve">RPP Pricing </w:t>
      </w:r>
      <w:r>
        <w:t>Pilots</w:t>
      </w:r>
    </w:p>
    <w:p w14:paraId="41ECAB7B" w14:textId="1D1CF6E2" w:rsidR="00FE61DD" w:rsidRDefault="00FE61DD" w:rsidP="00FE61DD">
      <w:r>
        <w:t xml:space="preserve">This is a unique pilot because it is a combination of pricing and non-pricing treatments </w:t>
      </w:r>
      <w:r w:rsidR="00827511">
        <w:t xml:space="preserve">that will be run simultaneously </w:t>
      </w:r>
      <w:r>
        <w:t xml:space="preserve">with multiple </w:t>
      </w:r>
      <w:r w:rsidR="00363136">
        <w:t>distributors</w:t>
      </w:r>
      <w:r>
        <w:t xml:space="preserve"> of different sizes located in different regions of the provinc</w:t>
      </w:r>
      <w:r w:rsidR="00F46235">
        <w:t>e.  The pilot will also be integrated with a CDM program</w:t>
      </w:r>
      <w:r w:rsidR="00E170EA">
        <w:t>.</w:t>
      </w:r>
    </w:p>
    <w:p w14:paraId="2F7B7024" w14:textId="71DF87B1" w:rsidR="00D406B9" w:rsidRDefault="00D406B9" w:rsidP="00956E0D">
      <w:pPr>
        <w:pStyle w:val="Heading1"/>
      </w:pPr>
      <w:r>
        <w:t>Project Plan</w:t>
      </w:r>
    </w:p>
    <w:p w14:paraId="2D89E27B" w14:textId="4B40F3B0" w:rsidR="00566080" w:rsidRDefault="00191565" w:rsidP="00FE61DD">
      <w:r>
        <w:t xml:space="preserve">The RPP </w:t>
      </w:r>
      <w:r w:rsidR="00827511">
        <w:t xml:space="preserve">pilot </w:t>
      </w:r>
      <w:r>
        <w:t>will be fully integrated with the HEAR conservation program</w:t>
      </w:r>
      <w:r w:rsidR="003E3867">
        <w:t xml:space="preserve"> that is currently </w:t>
      </w:r>
      <w:r w:rsidR="00D55DED">
        <w:t>available to customers</w:t>
      </w:r>
      <w:r>
        <w:t xml:space="preserve">, leveraging </w:t>
      </w:r>
      <w:r w:rsidR="003E3867">
        <w:t xml:space="preserve">its </w:t>
      </w:r>
      <w:r>
        <w:t>marketing, staff, technology</w:t>
      </w:r>
      <w:r w:rsidR="004E23D4">
        <w:t>, information and data collection and reporting,</w:t>
      </w:r>
      <w:r>
        <w:t xml:space="preserve"> and all other </w:t>
      </w:r>
      <w:r w:rsidR="00F46235">
        <w:t xml:space="preserve">program </w:t>
      </w:r>
      <w:r>
        <w:t xml:space="preserve">elements that will help </w:t>
      </w:r>
      <w:r w:rsidR="00DB3E7F">
        <w:t xml:space="preserve">the </w:t>
      </w:r>
      <w:r w:rsidR="00F46235">
        <w:t xml:space="preserve">RPP </w:t>
      </w:r>
      <w:r w:rsidR="00DB3E7F">
        <w:t>project be in market as quickly as possible</w:t>
      </w:r>
      <w:r>
        <w:t xml:space="preserve">.  </w:t>
      </w:r>
      <w:r w:rsidR="00566080">
        <w:t>Integrating wit</w:t>
      </w:r>
      <w:r w:rsidR="00DB3E7F">
        <w:t xml:space="preserve">h an existing </w:t>
      </w:r>
      <w:r w:rsidR="00F46235">
        <w:t>CDM program should</w:t>
      </w:r>
      <w:r w:rsidR="00DB3E7F">
        <w:t xml:space="preserve"> also lead to greater participation </w:t>
      </w:r>
      <w:r w:rsidR="00F46235">
        <w:t xml:space="preserve">in the pilot </w:t>
      </w:r>
      <w:r w:rsidR="00DB3E7F">
        <w:t>and this will drive additional savings and benefits</w:t>
      </w:r>
      <w:r w:rsidR="00566080">
        <w:t xml:space="preserve"> and a more robust evaluation of program effectiveness.  </w:t>
      </w:r>
      <w:r>
        <w:t xml:space="preserve">The program will be delivered </w:t>
      </w:r>
      <w:r w:rsidR="00C37906">
        <w:t xml:space="preserve">simultaneously </w:t>
      </w:r>
      <w:r>
        <w:t>by seve</w:t>
      </w:r>
      <w:r w:rsidR="00C37906">
        <w:t>n distributors</w:t>
      </w:r>
      <w:r>
        <w:t xml:space="preserve"> with </w:t>
      </w:r>
      <w:r w:rsidR="009E79D3">
        <w:t xml:space="preserve">project </w:t>
      </w:r>
      <w:r>
        <w:t xml:space="preserve">coordination </w:t>
      </w:r>
      <w:r w:rsidR="009E79D3">
        <w:t xml:space="preserve">and administration functions </w:t>
      </w:r>
      <w:r>
        <w:t>provided by CustomerFirst.</w:t>
      </w:r>
      <w:r w:rsidR="00566080">
        <w:t xml:space="preserve">  Having multiple </w:t>
      </w:r>
      <w:r w:rsidR="00C37906">
        <w:t>distributors</w:t>
      </w:r>
      <w:r w:rsidR="00566080">
        <w:t xml:space="preserve"> in the program will provide the opportunity to test multiple treatments</w:t>
      </w:r>
      <w:r w:rsidR="00F46235">
        <w:t xml:space="preserve"> in different regions </w:t>
      </w:r>
      <w:r w:rsidR="00566080">
        <w:t>with different sizes of distributors.</w:t>
      </w:r>
      <w:r w:rsidR="00120D12">
        <w:t xml:space="preserve">  Because customers will have a choice between different pricing options and will also have devices installed in their home by their distributor, the pilot is proposing that customers opt-in.</w:t>
      </w:r>
      <w:r w:rsidR="00566080">
        <w:t xml:space="preserve"> </w:t>
      </w:r>
    </w:p>
    <w:p w14:paraId="1DC25483" w14:textId="77777777" w:rsidR="00D406B9" w:rsidRDefault="00CB3BA8" w:rsidP="004737EA">
      <w:pPr>
        <w:pStyle w:val="Heading2"/>
      </w:pPr>
      <w:r>
        <w:t xml:space="preserve">Project </w:t>
      </w:r>
      <w:r w:rsidR="00D406B9">
        <w:t>Task Areas</w:t>
      </w:r>
      <w:r w:rsidR="0031646E">
        <w:t xml:space="preserve"> - </w:t>
      </w:r>
      <w:r w:rsidR="00035731">
        <w:t>Program Design</w:t>
      </w:r>
    </w:p>
    <w:p w14:paraId="4330F889" w14:textId="77777777" w:rsidR="002375FE" w:rsidRDefault="0031646E" w:rsidP="0031646E">
      <w:r>
        <w:t>The enhanced TOU r</w:t>
      </w:r>
      <w:r w:rsidR="002375FE">
        <w:t xml:space="preserve">ates </w:t>
      </w:r>
      <w:r>
        <w:t xml:space="preserve">outlined in the 2014 Navigant study: “Time of Use Rates in Ontario Part 2: Alternative Scenario Analysis”, will be used for the pricing component </w:t>
      </w:r>
      <w:r w:rsidR="002375FE">
        <w:t>of the pilot.</w:t>
      </w:r>
    </w:p>
    <w:p w14:paraId="48BB7C88" w14:textId="77777777" w:rsidR="002375FE" w:rsidRPr="00E56D38" w:rsidRDefault="002375FE" w:rsidP="002375FE">
      <w:pPr>
        <w:pStyle w:val="Heading5"/>
      </w:pPr>
      <w:r w:rsidRPr="00E56D38">
        <w:t xml:space="preserve">Enhanced </w:t>
      </w:r>
      <w:r>
        <w:t xml:space="preserve">Status Quo </w:t>
      </w:r>
      <w:r w:rsidRPr="00E56D38">
        <w:t>TOU</w:t>
      </w:r>
      <w:r>
        <w:t xml:space="preserve"> Pricing</w:t>
      </w:r>
    </w:p>
    <w:tbl>
      <w:tblPr>
        <w:tblStyle w:val="TableGrid"/>
        <w:tblW w:w="9715" w:type="dxa"/>
        <w:tblLook w:val="04A0" w:firstRow="1" w:lastRow="0" w:firstColumn="1" w:lastColumn="0" w:noHBand="0" w:noVBand="1"/>
      </w:tblPr>
      <w:tblGrid>
        <w:gridCol w:w="1525"/>
        <w:gridCol w:w="1620"/>
        <w:gridCol w:w="6570"/>
      </w:tblGrid>
      <w:tr w:rsidR="002375FE" w:rsidRPr="00E56D38" w14:paraId="13512A87" w14:textId="77777777" w:rsidTr="00491631">
        <w:tc>
          <w:tcPr>
            <w:tcW w:w="1525" w:type="dxa"/>
            <w:shd w:val="clear" w:color="auto" w:fill="F2F2F2" w:themeFill="background1" w:themeFillShade="F2"/>
          </w:tcPr>
          <w:p w14:paraId="5BA5424C" w14:textId="77777777" w:rsidR="002375FE" w:rsidRPr="00E56D38" w:rsidRDefault="002375FE" w:rsidP="00491631">
            <w:pPr>
              <w:jc w:val="center"/>
              <w:rPr>
                <w:b/>
                <w:sz w:val="20"/>
                <w:szCs w:val="20"/>
              </w:rPr>
            </w:pPr>
            <w:r w:rsidRPr="00E56D38">
              <w:rPr>
                <w:b/>
                <w:sz w:val="20"/>
                <w:szCs w:val="20"/>
              </w:rPr>
              <w:t>Time of Day</w:t>
            </w:r>
          </w:p>
        </w:tc>
        <w:tc>
          <w:tcPr>
            <w:tcW w:w="1620" w:type="dxa"/>
            <w:shd w:val="clear" w:color="auto" w:fill="F2F2F2" w:themeFill="background1" w:themeFillShade="F2"/>
          </w:tcPr>
          <w:p w14:paraId="6DED5617" w14:textId="77777777" w:rsidR="002375FE" w:rsidRPr="00E56D38" w:rsidRDefault="002375FE" w:rsidP="00491631">
            <w:pPr>
              <w:jc w:val="center"/>
              <w:rPr>
                <w:b/>
                <w:sz w:val="20"/>
                <w:szCs w:val="20"/>
              </w:rPr>
            </w:pPr>
            <w:r w:rsidRPr="00E56D38">
              <w:rPr>
                <w:b/>
                <w:sz w:val="20"/>
                <w:szCs w:val="20"/>
              </w:rPr>
              <w:t>Price ($/kWh)</w:t>
            </w:r>
          </w:p>
        </w:tc>
        <w:tc>
          <w:tcPr>
            <w:tcW w:w="6570" w:type="dxa"/>
            <w:shd w:val="clear" w:color="auto" w:fill="F2F2F2" w:themeFill="background1" w:themeFillShade="F2"/>
          </w:tcPr>
          <w:p w14:paraId="450CB38E" w14:textId="77777777" w:rsidR="002375FE" w:rsidRPr="00E56D38" w:rsidRDefault="002375FE" w:rsidP="00491631">
            <w:pPr>
              <w:jc w:val="center"/>
              <w:rPr>
                <w:b/>
                <w:sz w:val="20"/>
                <w:szCs w:val="20"/>
              </w:rPr>
            </w:pPr>
            <w:r w:rsidRPr="00E56D38">
              <w:rPr>
                <w:b/>
                <w:sz w:val="20"/>
                <w:szCs w:val="20"/>
              </w:rPr>
              <w:t>Applicable Period</w:t>
            </w:r>
          </w:p>
        </w:tc>
      </w:tr>
      <w:tr w:rsidR="002375FE" w:rsidRPr="00E56D38" w14:paraId="4291B905" w14:textId="77777777" w:rsidTr="00491631">
        <w:tc>
          <w:tcPr>
            <w:tcW w:w="1525" w:type="dxa"/>
          </w:tcPr>
          <w:p w14:paraId="2BD92BA6" w14:textId="77777777" w:rsidR="002375FE" w:rsidRPr="00E56D38" w:rsidRDefault="002375FE" w:rsidP="00491631">
            <w:pPr>
              <w:rPr>
                <w:sz w:val="20"/>
                <w:szCs w:val="20"/>
              </w:rPr>
            </w:pPr>
            <w:r w:rsidRPr="00E56D38">
              <w:rPr>
                <w:sz w:val="20"/>
                <w:szCs w:val="20"/>
              </w:rPr>
              <w:t>Off-Peak</w:t>
            </w:r>
          </w:p>
        </w:tc>
        <w:tc>
          <w:tcPr>
            <w:tcW w:w="1620" w:type="dxa"/>
          </w:tcPr>
          <w:p w14:paraId="456C5865" w14:textId="77777777" w:rsidR="002375FE" w:rsidRPr="00E56D38" w:rsidRDefault="002375FE" w:rsidP="00491631">
            <w:pPr>
              <w:rPr>
                <w:sz w:val="20"/>
                <w:szCs w:val="20"/>
              </w:rPr>
            </w:pPr>
            <w:r w:rsidRPr="00E56D38">
              <w:rPr>
                <w:sz w:val="20"/>
                <w:szCs w:val="20"/>
              </w:rPr>
              <w:t>$0.046</w:t>
            </w:r>
          </w:p>
        </w:tc>
        <w:tc>
          <w:tcPr>
            <w:tcW w:w="6570" w:type="dxa"/>
          </w:tcPr>
          <w:p w14:paraId="6887F368" w14:textId="7B1A12EB" w:rsidR="002375FE" w:rsidRPr="00E56D38" w:rsidRDefault="002375FE" w:rsidP="00491631">
            <w:pPr>
              <w:rPr>
                <w:sz w:val="20"/>
                <w:szCs w:val="20"/>
              </w:rPr>
            </w:pPr>
            <w:r w:rsidRPr="00E56D38">
              <w:rPr>
                <w:sz w:val="20"/>
                <w:szCs w:val="20"/>
              </w:rPr>
              <w:t xml:space="preserve">7pm-7am </w:t>
            </w:r>
            <w:r w:rsidR="009E79D3">
              <w:rPr>
                <w:sz w:val="20"/>
                <w:szCs w:val="20"/>
              </w:rPr>
              <w:t>w</w:t>
            </w:r>
            <w:r w:rsidRPr="00E56D38">
              <w:rPr>
                <w:sz w:val="20"/>
                <w:szCs w:val="20"/>
              </w:rPr>
              <w:t xml:space="preserve">eekdays, 24-hours </w:t>
            </w:r>
            <w:r w:rsidR="009E79D3">
              <w:rPr>
                <w:sz w:val="20"/>
                <w:szCs w:val="20"/>
              </w:rPr>
              <w:t>w</w:t>
            </w:r>
            <w:r w:rsidRPr="00E56D38">
              <w:rPr>
                <w:sz w:val="20"/>
                <w:szCs w:val="20"/>
              </w:rPr>
              <w:t xml:space="preserve">eekends and </w:t>
            </w:r>
            <w:r w:rsidR="009E79D3">
              <w:rPr>
                <w:sz w:val="20"/>
                <w:szCs w:val="20"/>
              </w:rPr>
              <w:t>h</w:t>
            </w:r>
            <w:r w:rsidRPr="00E56D38">
              <w:rPr>
                <w:sz w:val="20"/>
                <w:szCs w:val="20"/>
              </w:rPr>
              <w:t>olidays</w:t>
            </w:r>
          </w:p>
        </w:tc>
      </w:tr>
      <w:tr w:rsidR="002375FE" w:rsidRPr="00E56D38" w14:paraId="79422B2F" w14:textId="77777777" w:rsidTr="00491631">
        <w:tc>
          <w:tcPr>
            <w:tcW w:w="1525" w:type="dxa"/>
          </w:tcPr>
          <w:p w14:paraId="6B73BF4B" w14:textId="77777777" w:rsidR="002375FE" w:rsidRPr="00E56D38" w:rsidRDefault="002375FE" w:rsidP="00491631">
            <w:pPr>
              <w:rPr>
                <w:sz w:val="20"/>
                <w:szCs w:val="20"/>
              </w:rPr>
            </w:pPr>
            <w:r w:rsidRPr="00E56D38">
              <w:rPr>
                <w:sz w:val="20"/>
                <w:szCs w:val="20"/>
              </w:rPr>
              <w:t>Mid-Peak</w:t>
            </w:r>
          </w:p>
        </w:tc>
        <w:tc>
          <w:tcPr>
            <w:tcW w:w="1620" w:type="dxa"/>
          </w:tcPr>
          <w:p w14:paraId="527E8F37" w14:textId="77777777" w:rsidR="002375FE" w:rsidRPr="00E56D38" w:rsidRDefault="002375FE" w:rsidP="00491631">
            <w:pPr>
              <w:rPr>
                <w:sz w:val="20"/>
                <w:szCs w:val="20"/>
              </w:rPr>
            </w:pPr>
            <w:r w:rsidRPr="00E56D38">
              <w:rPr>
                <w:sz w:val="20"/>
                <w:szCs w:val="20"/>
              </w:rPr>
              <w:t>$0.137</w:t>
            </w:r>
          </w:p>
        </w:tc>
        <w:tc>
          <w:tcPr>
            <w:tcW w:w="6570" w:type="dxa"/>
          </w:tcPr>
          <w:p w14:paraId="5C490B45" w14:textId="43D80B30" w:rsidR="002375FE" w:rsidRPr="00E56D38" w:rsidRDefault="002375FE" w:rsidP="00491631">
            <w:pPr>
              <w:rPr>
                <w:sz w:val="20"/>
                <w:szCs w:val="20"/>
              </w:rPr>
            </w:pPr>
            <w:r w:rsidRPr="00E56D38">
              <w:rPr>
                <w:sz w:val="20"/>
                <w:szCs w:val="20"/>
              </w:rPr>
              <w:t xml:space="preserve">7am-11am and 5pm-7pm </w:t>
            </w:r>
            <w:r w:rsidR="009E79D3">
              <w:rPr>
                <w:sz w:val="20"/>
                <w:szCs w:val="20"/>
              </w:rPr>
              <w:t>s</w:t>
            </w:r>
            <w:r w:rsidRPr="00E56D38">
              <w:rPr>
                <w:sz w:val="20"/>
                <w:szCs w:val="20"/>
              </w:rPr>
              <w:t xml:space="preserve">ummer </w:t>
            </w:r>
            <w:r w:rsidR="009E79D3">
              <w:rPr>
                <w:sz w:val="20"/>
                <w:szCs w:val="20"/>
              </w:rPr>
              <w:t>w</w:t>
            </w:r>
            <w:r w:rsidRPr="00E56D38">
              <w:rPr>
                <w:sz w:val="20"/>
                <w:szCs w:val="20"/>
              </w:rPr>
              <w:t xml:space="preserve">eekdays, 11am-5pm </w:t>
            </w:r>
            <w:r w:rsidR="009E79D3">
              <w:rPr>
                <w:sz w:val="20"/>
                <w:szCs w:val="20"/>
              </w:rPr>
              <w:t>w</w:t>
            </w:r>
            <w:r w:rsidRPr="00E56D38">
              <w:rPr>
                <w:sz w:val="20"/>
                <w:szCs w:val="20"/>
              </w:rPr>
              <w:t xml:space="preserve">inter </w:t>
            </w:r>
            <w:r w:rsidR="009E79D3">
              <w:rPr>
                <w:sz w:val="20"/>
                <w:szCs w:val="20"/>
              </w:rPr>
              <w:t>w</w:t>
            </w:r>
            <w:r w:rsidRPr="00E56D38">
              <w:rPr>
                <w:sz w:val="20"/>
                <w:szCs w:val="20"/>
              </w:rPr>
              <w:t>eekdays</w:t>
            </w:r>
          </w:p>
        </w:tc>
      </w:tr>
      <w:tr w:rsidR="002375FE" w:rsidRPr="00E56D38" w14:paraId="3E580C9E" w14:textId="77777777" w:rsidTr="00491631">
        <w:tc>
          <w:tcPr>
            <w:tcW w:w="1525" w:type="dxa"/>
          </w:tcPr>
          <w:p w14:paraId="7A7F9119" w14:textId="77777777" w:rsidR="002375FE" w:rsidRPr="00E56D38" w:rsidRDefault="002375FE" w:rsidP="00491631">
            <w:pPr>
              <w:rPr>
                <w:sz w:val="20"/>
                <w:szCs w:val="20"/>
              </w:rPr>
            </w:pPr>
            <w:r w:rsidRPr="00E56D38">
              <w:rPr>
                <w:sz w:val="20"/>
                <w:szCs w:val="20"/>
              </w:rPr>
              <w:t>On-Peak</w:t>
            </w:r>
          </w:p>
        </w:tc>
        <w:tc>
          <w:tcPr>
            <w:tcW w:w="1620" w:type="dxa"/>
          </w:tcPr>
          <w:p w14:paraId="0AEE62FF" w14:textId="77777777" w:rsidR="002375FE" w:rsidRPr="00E56D38" w:rsidRDefault="002375FE" w:rsidP="00491631">
            <w:pPr>
              <w:rPr>
                <w:sz w:val="20"/>
                <w:szCs w:val="20"/>
              </w:rPr>
            </w:pPr>
            <w:r w:rsidRPr="00E56D38">
              <w:rPr>
                <w:sz w:val="20"/>
                <w:szCs w:val="20"/>
              </w:rPr>
              <w:t>$0.182</w:t>
            </w:r>
          </w:p>
        </w:tc>
        <w:tc>
          <w:tcPr>
            <w:tcW w:w="6570" w:type="dxa"/>
          </w:tcPr>
          <w:p w14:paraId="76588E4D" w14:textId="352DC434" w:rsidR="002375FE" w:rsidRPr="00E56D38" w:rsidRDefault="002375FE" w:rsidP="00491631">
            <w:pPr>
              <w:rPr>
                <w:sz w:val="20"/>
                <w:szCs w:val="20"/>
              </w:rPr>
            </w:pPr>
            <w:r w:rsidRPr="00E56D38">
              <w:rPr>
                <w:sz w:val="20"/>
                <w:szCs w:val="20"/>
              </w:rPr>
              <w:t xml:space="preserve">7am-11am, 5pm-7pm </w:t>
            </w:r>
            <w:r w:rsidR="009E79D3">
              <w:rPr>
                <w:sz w:val="20"/>
                <w:szCs w:val="20"/>
              </w:rPr>
              <w:t>w</w:t>
            </w:r>
            <w:r w:rsidRPr="00E56D38">
              <w:rPr>
                <w:sz w:val="20"/>
                <w:szCs w:val="20"/>
              </w:rPr>
              <w:t xml:space="preserve">inter </w:t>
            </w:r>
            <w:r w:rsidR="009E79D3">
              <w:rPr>
                <w:sz w:val="20"/>
                <w:szCs w:val="20"/>
              </w:rPr>
              <w:t>w</w:t>
            </w:r>
            <w:r w:rsidRPr="00E56D38">
              <w:rPr>
                <w:sz w:val="20"/>
                <w:szCs w:val="20"/>
              </w:rPr>
              <w:t xml:space="preserve">eekdays, 11am-5pm </w:t>
            </w:r>
            <w:r w:rsidR="009E79D3">
              <w:rPr>
                <w:sz w:val="20"/>
                <w:szCs w:val="20"/>
              </w:rPr>
              <w:t>s</w:t>
            </w:r>
            <w:r w:rsidRPr="00E56D38">
              <w:rPr>
                <w:sz w:val="20"/>
                <w:szCs w:val="20"/>
              </w:rPr>
              <w:t xml:space="preserve">ummer </w:t>
            </w:r>
            <w:r w:rsidR="009E79D3">
              <w:rPr>
                <w:sz w:val="20"/>
                <w:szCs w:val="20"/>
              </w:rPr>
              <w:t>w</w:t>
            </w:r>
            <w:r w:rsidRPr="00E56D38">
              <w:rPr>
                <w:sz w:val="20"/>
                <w:szCs w:val="20"/>
              </w:rPr>
              <w:t>eekdays</w:t>
            </w:r>
          </w:p>
        </w:tc>
      </w:tr>
    </w:tbl>
    <w:p w14:paraId="52E8F1EC" w14:textId="77777777" w:rsidR="002375FE" w:rsidRDefault="002375FE" w:rsidP="0031646E"/>
    <w:p w14:paraId="4D95D37C" w14:textId="4994C4BE" w:rsidR="00CB3BA8" w:rsidRDefault="0031646E" w:rsidP="0031646E">
      <w:r>
        <w:t>For the non-pricing component</w:t>
      </w:r>
      <w:r w:rsidR="002375FE">
        <w:t xml:space="preserve"> of the pilot</w:t>
      </w:r>
      <w:r>
        <w:t xml:space="preserve">, the existing </w:t>
      </w:r>
      <w:r w:rsidRPr="0031646E">
        <w:t>HEAR</w:t>
      </w:r>
      <w:r>
        <w:t xml:space="preserve"> conservation program will be utilized as much as possible with </w:t>
      </w:r>
      <w:r w:rsidR="00F46235">
        <w:t>new</w:t>
      </w:r>
      <w:r>
        <w:t xml:space="preserve"> elements </w:t>
      </w:r>
      <w:r w:rsidR="00F46235">
        <w:t xml:space="preserve">developed and </w:t>
      </w:r>
      <w:r>
        <w:t xml:space="preserve">added </w:t>
      </w:r>
      <w:r w:rsidR="00827511">
        <w:t xml:space="preserve">to the program </w:t>
      </w:r>
      <w:r>
        <w:t>for the RPP pilot.</w:t>
      </w:r>
    </w:p>
    <w:p w14:paraId="07DF1358" w14:textId="77777777" w:rsidR="00035731" w:rsidRPr="0031646E" w:rsidRDefault="006C78E7" w:rsidP="003F2AFC">
      <w:pPr>
        <w:pStyle w:val="Heading5"/>
      </w:pPr>
      <w:r w:rsidRPr="0031646E">
        <w:t xml:space="preserve">Integration with </w:t>
      </w:r>
      <w:r w:rsidR="00035731" w:rsidRPr="0031646E">
        <w:t>Home Energy &amp; Assessment Retrofit Program (HEAR)</w:t>
      </w:r>
    </w:p>
    <w:p w14:paraId="13F5BB89" w14:textId="00D1E259" w:rsidR="005639A5" w:rsidRDefault="0031646E" w:rsidP="00035731">
      <w:r>
        <w:t xml:space="preserve">The </w:t>
      </w:r>
      <w:r w:rsidR="00C10DEC">
        <w:t>HEAR</w:t>
      </w:r>
      <w:r w:rsidR="00035731">
        <w:t xml:space="preserve"> program is an innovat</w:t>
      </w:r>
      <w:r>
        <w:t xml:space="preserve">ive pilot program that uses </w:t>
      </w:r>
      <w:r w:rsidR="00827511">
        <w:t xml:space="preserve">automation </w:t>
      </w:r>
      <w:r w:rsidR="00035731">
        <w:t>technology to help customers conserve electricity and save money on their electricity bills.  Through the program, an assessor visit</w:t>
      </w:r>
      <w:r>
        <w:t>s</w:t>
      </w:r>
      <w:r w:rsidR="00035731">
        <w:t xml:space="preserve"> customers to undertake an energy assessment of their home and provide</w:t>
      </w:r>
      <w:r w:rsidR="009E79D3">
        <w:t>s</w:t>
      </w:r>
      <w:r w:rsidR="00035731">
        <w:t xml:space="preserve"> them with a report outlining different actions they can take to conserve energy.  Customers then receive </w:t>
      </w:r>
      <w:r>
        <w:t xml:space="preserve">energy efficient </w:t>
      </w:r>
      <w:r w:rsidR="00035731">
        <w:t xml:space="preserve">measures </w:t>
      </w:r>
      <w:r>
        <w:t xml:space="preserve">including an intelligent </w:t>
      </w:r>
      <w:r w:rsidR="00C10DEC">
        <w:t xml:space="preserve">thermostats </w:t>
      </w:r>
      <w:r w:rsidR="00035731">
        <w:t xml:space="preserve">that </w:t>
      </w:r>
      <w:r>
        <w:t>are</w:t>
      </w:r>
      <w:r w:rsidR="00035731">
        <w:t xml:space="preserve"> installed by the assessor</w:t>
      </w:r>
      <w:r w:rsidR="005639A5">
        <w:t>.</w:t>
      </w:r>
    </w:p>
    <w:p w14:paraId="552842D2" w14:textId="7688DC9E" w:rsidR="00035731" w:rsidRDefault="005639A5" w:rsidP="00035731">
      <w:r>
        <w:t xml:space="preserve">If approved, the RPP </w:t>
      </w:r>
      <w:r w:rsidR="00121C62">
        <w:t>pilot</w:t>
      </w:r>
      <w:r>
        <w:t xml:space="preserve"> will become an </w:t>
      </w:r>
      <w:r w:rsidR="00121C62">
        <w:t>integral</w:t>
      </w:r>
      <w:r>
        <w:t xml:space="preserve"> part of the HEAR program.  Under the RPP pilot, assessors would educate </w:t>
      </w:r>
      <w:r w:rsidR="00121C62">
        <w:t>customers</w:t>
      </w:r>
      <w:r>
        <w:t xml:space="preserve"> about TOU and a new cost comparison tool will be developed that will </w:t>
      </w:r>
      <w:r w:rsidR="009E79D3">
        <w:t xml:space="preserve">be </w:t>
      </w:r>
      <w:r>
        <w:t>use</w:t>
      </w:r>
      <w:r w:rsidR="009E79D3">
        <w:t>d</w:t>
      </w:r>
      <w:r>
        <w:t xml:space="preserve"> to help</w:t>
      </w:r>
      <w:r w:rsidR="009E79D3">
        <w:t xml:space="preserve"> show </w:t>
      </w:r>
      <w:r>
        <w:t xml:space="preserve">customers the potential savings from changing behaviours and switching to </w:t>
      </w:r>
      <w:r w:rsidR="00B876EF">
        <w:t xml:space="preserve">the </w:t>
      </w:r>
      <w:r w:rsidR="00827511">
        <w:t>ESQ</w:t>
      </w:r>
      <w:r w:rsidR="00827511">
        <w:t xml:space="preserve"> </w:t>
      </w:r>
      <w:r w:rsidR="00F46235">
        <w:t>pricing plan.</w:t>
      </w:r>
    </w:p>
    <w:p w14:paraId="04985A25" w14:textId="77777777" w:rsidR="006C78E7" w:rsidRDefault="0031646E" w:rsidP="005639A5">
      <w:pPr>
        <w:pStyle w:val="Heading2"/>
      </w:pPr>
      <w:r>
        <w:lastRenderedPageBreak/>
        <w:t xml:space="preserve">Project Task Areas - </w:t>
      </w:r>
      <w:r w:rsidR="006C78E7">
        <w:t>Program Delivery</w:t>
      </w:r>
    </w:p>
    <w:p w14:paraId="63C6E779" w14:textId="77777777" w:rsidR="006C78E7" w:rsidRDefault="006C78E7" w:rsidP="003F2AFC">
      <w:pPr>
        <w:pStyle w:val="Heading5"/>
      </w:pPr>
      <w:r>
        <w:t>Enrollment, Marketing and Communications</w:t>
      </w:r>
    </w:p>
    <w:p w14:paraId="60AB0956" w14:textId="538046F6" w:rsidR="005639A5" w:rsidRDefault="005639A5" w:rsidP="00FE61DD">
      <w:r>
        <w:t xml:space="preserve">Program enrollment will be driven </w:t>
      </w:r>
      <w:r w:rsidR="009E79D3">
        <w:t>through</w:t>
      </w:r>
      <w:r>
        <w:t xml:space="preserve"> the HEAR </w:t>
      </w:r>
      <w:r w:rsidR="00121C62">
        <w:t>program</w:t>
      </w:r>
      <w:r>
        <w:t xml:space="preserve"> and marketing materials for HEAR will be enhanced to include RPP pilot</w:t>
      </w:r>
      <w:r w:rsidR="00C52326">
        <w:t xml:space="preserve"> </w:t>
      </w:r>
      <w:r w:rsidR="00C06A6C">
        <w:t xml:space="preserve">and TOU </w:t>
      </w:r>
      <w:r w:rsidR="00C52326">
        <w:t>information</w:t>
      </w:r>
      <w:r>
        <w:t xml:space="preserve">.  </w:t>
      </w:r>
      <w:r w:rsidR="009E79D3">
        <w:t xml:space="preserve">New materials </w:t>
      </w:r>
      <w:r w:rsidR="00C52326">
        <w:t xml:space="preserve">about the RPP pilot </w:t>
      </w:r>
      <w:r>
        <w:t xml:space="preserve">for </w:t>
      </w:r>
      <w:r w:rsidR="00121C62">
        <w:t>customers</w:t>
      </w:r>
      <w:r>
        <w:t xml:space="preserve"> not participating </w:t>
      </w:r>
      <w:r w:rsidR="00121C62">
        <w:t>in the H</w:t>
      </w:r>
      <w:r>
        <w:t>EAR program will also be developed.</w:t>
      </w:r>
    </w:p>
    <w:p w14:paraId="1C92162A" w14:textId="24C13004" w:rsidR="00F34FED" w:rsidRDefault="00F34FED" w:rsidP="00FE61DD">
      <w:r>
        <w:t>Extensive market research on residen</w:t>
      </w:r>
      <w:r w:rsidR="00C52326">
        <w:t>tial customers including</w:t>
      </w:r>
      <w:r>
        <w:t xml:space="preserve"> multiple focus groups </w:t>
      </w:r>
      <w:r w:rsidR="00C52326">
        <w:t>in different service areas</w:t>
      </w:r>
      <w:r w:rsidR="00537139" w:rsidRPr="00537139">
        <w:t xml:space="preserve"> </w:t>
      </w:r>
      <w:r w:rsidR="00537139">
        <w:t>has recently been completed by the distributors</w:t>
      </w:r>
      <w:r>
        <w:t>.  The focus grou</w:t>
      </w:r>
      <w:r w:rsidR="00C52326">
        <w:t xml:space="preserve">ps provided valuable insights </w:t>
      </w:r>
      <w:r w:rsidR="009E79D3">
        <w:t xml:space="preserve">that were used </w:t>
      </w:r>
      <w:r w:rsidR="002933D0">
        <w:t>to develop</w:t>
      </w:r>
      <w:r w:rsidR="009E79D3">
        <w:t xml:space="preserve"> </w:t>
      </w:r>
      <w:r>
        <w:t>effective marketing strategies including advertising for the</w:t>
      </w:r>
      <w:r w:rsidR="009E79D3">
        <w:t xml:space="preserve"> HEAR</w:t>
      </w:r>
      <w:r>
        <w:t xml:space="preserve"> program</w:t>
      </w:r>
      <w:r w:rsidR="00C52326">
        <w:t xml:space="preserve"> and </w:t>
      </w:r>
      <w:r w:rsidR="009E79D3">
        <w:t xml:space="preserve">this research </w:t>
      </w:r>
      <w:r w:rsidR="00C52326">
        <w:t>will be used for the RPP pilot</w:t>
      </w:r>
      <w:r>
        <w:t>.</w:t>
      </w:r>
    </w:p>
    <w:p w14:paraId="2B690EA5" w14:textId="423DEA8E" w:rsidR="009E79D3" w:rsidRDefault="00C06A6C" w:rsidP="00FE61DD">
      <w:r>
        <w:t>The websites of all the distributor</w:t>
      </w:r>
      <w:r w:rsidR="009E79D3">
        <w:t xml:space="preserve">s participating in this pilot </w:t>
      </w:r>
      <w:r w:rsidR="0059567A">
        <w:t xml:space="preserve">recently had significant upgrades and </w:t>
      </w:r>
      <w:r>
        <w:t xml:space="preserve">the websites </w:t>
      </w:r>
      <w:r w:rsidR="00344461">
        <w:t xml:space="preserve">are </w:t>
      </w:r>
      <w:r>
        <w:t xml:space="preserve">more user friendly </w:t>
      </w:r>
      <w:r w:rsidR="0059567A">
        <w:t xml:space="preserve">and allow customers to arrange a home assessment under the HEAR program.  The RPP pilot and additional information about TOU will be added to </w:t>
      </w:r>
      <w:r>
        <w:t>the</w:t>
      </w:r>
      <w:r w:rsidR="0059567A">
        <w:t xml:space="preserve"> websites.</w:t>
      </w:r>
    </w:p>
    <w:p w14:paraId="1D43BDA4" w14:textId="7DA26D20" w:rsidR="00344461" w:rsidRDefault="00344461" w:rsidP="00FE61DD">
      <w:r>
        <w:t xml:space="preserve">The recommendations from the OEB’s Working Group around effective communication tools and techniques </w:t>
      </w:r>
      <w:r w:rsidR="00C06A6C">
        <w:t xml:space="preserve">for RPP pricing </w:t>
      </w:r>
      <w:r>
        <w:t xml:space="preserve">will be an important </w:t>
      </w:r>
      <w:r w:rsidR="00C06A6C">
        <w:t>input towards</w:t>
      </w:r>
      <w:r>
        <w:t xml:space="preserve"> the development of an effective communications plan for the pilot</w:t>
      </w:r>
      <w:r w:rsidR="00537139">
        <w:t>.  Input from the OEB in this area will also be sought.</w:t>
      </w:r>
    </w:p>
    <w:p w14:paraId="78638B0F" w14:textId="77777777" w:rsidR="00035731" w:rsidRDefault="00035731" w:rsidP="003F2AFC">
      <w:pPr>
        <w:pStyle w:val="Heading5"/>
      </w:pPr>
      <w:r>
        <w:t>Technology</w:t>
      </w:r>
    </w:p>
    <w:p w14:paraId="1DDAA45B" w14:textId="43477E95" w:rsidR="002375FE" w:rsidRDefault="00A662C5" w:rsidP="00FE61DD">
      <w:r>
        <w:t xml:space="preserve">Customers will receive programmable </w:t>
      </w:r>
      <w:r w:rsidR="00121C62">
        <w:t>thermostats</w:t>
      </w:r>
      <w:r>
        <w:t xml:space="preserve"> that are pre-</w:t>
      </w:r>
      <w:r w:rsidR="00121C62">
        <w:t>programmed</w:t>
      </w:r>
      <w:r>
        <w:t xml:space="preserve"> for the different pricing times.  The</w:t>
      </w:r>
      <w:r w:rsidR="00C52326">
        <w:t>se ther</w:t>
      </w:r>
      <w:r>
        <w:t xml:space="preserve">mostats will </w:t>
      </w:r>
      <w:r w:rsidR="00C52326">
        <w:t xml:space="preserve">also be </w:t>
      </w:r>
      <w:r>
        <w:t xml:space="preserve">demand response </w:t>
      </w:r>
      <w:r w:rsidR="00C52326">
        <w:t xml:space="preserve">‘ready’ </w:t>
      </w:r>
      <w:r>
        <w:t xml:space="preserve">for </w:t>
      </w:r>
      <w:r w:rsidR="00C52326">
        <w:t xml:space="preserve">possible </w:t>
      </w:r>
      <w:r>
        <w:t>future use.</w:t>
      </w:r>
      <w:r w:rsidR="00C06A6C" w:rsidRPr="00C06A6C">
        <w:t xml:space="preserve"> </w:t>
      </w:r>
      <w:r w:rsidR="00C06A6C" w:rsidRPr="00E56D38">
        <w:t xml:space="preserve">The opportunity to include control devices </w:t>
      </w:r>
      <w:r w:rsidR="00537139">
        <w:t xml:space="preserve">for electric water heaters </w:t>
      </w:r>
      <w:r w:rsidR="00C06A6C">
        <w:t xml:space="preserve">that are demand response capable and communicate on the same platform </w:t>
      </w:r>
      <w:r w:rsidR="00537139">
        <w:t>as the programmable thermostats</w:t>
      </w:r>
      <w:r w:rsidR="00C06A6C" w:rsidRPr="00E56D38">
        <w:t xml:space="preserve"> will also be explored</w:t>
      </w:r>
      <w:r w:rsidR="00C06A6C">
        <w:t>.</w:t>
      </w:r>
    </w:p>
    <w:p w14:paraId="67DFEBBB" w14:textId="4AFD97B7" w:rsidR="00F46235" w:rsidRDefault="00F46235" w:rsidP="00FE61DD">
      <w:r>
        <w:t xml:space="preserve">Customers will have access to a cost </w:t>
      </w:r>
      <w:r w:rsidR="0059567A">
        <w:t xml:space="preserve">comparison </w:t>
      </w:r>
      <w:r>
        <w:t>tool that will show them the potential savings from changing behaviours and switching to an enhanced pricing treatment</w:t>
      </w:r>
      <w:r w:rsidR="00C52326">
        <w:t xml:space="preserve">.  This tool will produce a customized report that includes the </w:t>
      </w:r>
      <w:r w:rsidR="00C07EF7">
        <w:t>customer’s</w:t>
      </w:r>
      <w:r w:rsidR="00C52326">
        <w:t xml:space="preserve"> current </w:t>
      </w:r>
      <w:r w:rsidR="0059567A">
        <w:t xml:space="preserve">and past electricity </w:t>
      </w:r>
      <w:r w:rsidR="00C52326">
        <w:t>consumption.</w:t>
      </w:r>
      <w:r>
        <w:t xml:space="preserve">  The tool will be built using the same platform that is currently being used for the home assessment and </w:t>
      </w:r>
      <w:r w:rsidR="00C52326">
        <w:t>customer report</w:t>
      </w:r>
      <w:r>
        <w:t xml:space="preserve"> under the HEAR program.</w:t>
      </w:r>
    </w:p>
    <w:p w14:paraId="14635960" w14:textId="267AFA8A" w:rsidR="005639A5" w:rsidRDefault="003E62AE" w:rsidP="00FE61DD">
      <w:r>
        <w:t xml:space="preserve">A separate rate class will be created for </w:t>
      </w:r>
      <w:r w:rsidR="00121C62">
        <w:t>customers</w:t>
      </w:r>
      <w:r>
        <w:t xml:space="preserve"> included in the pilot and th</w:t>
      </w:r>
      <w:r w:rsidR="00537139">
        <w:t>is</w:t>
      </w:r>
      <w:r>
        <w:t xml:space="preserve"> will be </w:t>
      </w:r>
      <w:r w:rsidR="002375FE">
        <w:t>added to</w:t>
      </w:r>
      <w:r w:rsidR="00363136">
        <w:t xml:space="preserve"> each distributor</w:t>
      </w:r>
      <w:r w:rsidR="00733010">
        <w:t>’</w:t>
      </w:r>
      <w:r w:rsidR="00363136">
        <w:t>s</w:t>
      </w:r>
      <w:r>
        <w:t xml:space="preserve"> billing system.</w:t>
      </w:r>
      <w:r w:rsidR="00A662C5">
        <w:t xml:space="preserve">  </w:t>
      </w:r>
    </w:p>
    <w:p w14:paraId="426875B1" w14:textId="77777777" w:rsidR="00035731" w:rsidRDefault="00035731" w:rsidP="0035486D">
      <w:pPr>
        <w:pStyle w:val="Heading5"/>
      </w:pPr>
      <w:r>
        <w:t>Estimated Pilot Partic</w:t>
      </w:r>
      <w:r w:rsidR="004737EA">
        <w:t>i</w:t>
      </w:r>
      <w:r>
        <w:t>pation</w:t>
      </w:r>
    </w:p>
    <w:p w14:paraId="3C77DB85" w14:textId="37DB204B" w:rsidR="003B5DE6" w:rsidRDefault="00363136" w:rsidP="00FE61DD">
      <w:r>
        <w:t>The distributor</w:t>
      </w:r>
      <w:r w:rsidR="003B5DE6">
        <w:t xml:space="preserve">s of </w:t>
      </w:r>
      <w:r w:rsidR="00121C62">
        <w:t>CustomerFirst</w:t>
      </w:r>
      <w:r w:rsidR="00C52326">
        <w:t xml:space="preserve"> </w:t>
      </w:r>
      <w:r w:rsidR="00733010">
        <w:t xml:space="preserve">combined </w:t>
      </w:r>
      <w:r w:rsidR="00C52326">
        <w:t xml:space="preserve">have </w:t>
      </w:r>
      <w:r w:rsidR="003B5DE6">
        <w:t xml:space="preserve">over 148,000 </w:t>
      </w:r>
      <w:r w:rsidR="00121C62">
        <w:t>residential</w:t>
      </w:r>
      <w:r w:rsidR="003B5DE6">
        <w:t xml:space="preserve"> </w:t>
      </w:r>
      <w:r w:rsidR="00121C62">
        <w:t>customers</w:t>
      </w:r>
      <w:r w:rsidR="003B5DE6">
        <w:t>.  The</w:t>
      </w:r>
      <w:r w:rsidR="0076156E">
        <w:t xml:space="preserve"> </w:t>
      </w:r>
      <w:r w:rsidR="00C52326">
        <w:t>CustomerFirst joint CDM Plan</w:t>
      </w:r>
      <w:r w:rsidR="003B5DE6">
        <w:t xml:space="preserve"> that was approved by the IESO includes </w:t>
      </w:r>
      <w:r w:rsidR="00F5303B">
        <w:t>2,068</w:t>
      </w:r>
      <w:r w:rsidR="003B5DE6">
        <w:t xml:space="preserve"> </w:t>
      </w:r>
      <w:r w:rsidR="00121C62">
        <w:t>participants</w:t>
      </w:r>
      <w:r w:rsidR="003B5DE6">
        <w:t xml:space="preserve"> in the HEAR program for 2017 and 2018</w:t>
      </w:r>
      <w:r w:rsidR="0076156E">
        <w:t>.</w:t>
      </w:r>
      <w:r w:rsidR="00C06A6C">
        <w:t xml:space="preserve">  </w:t>
      </w:r>
      <w:r w:rsidR="0076156E">
        <w:t>B</w:t>
      </w:r>
      <w:r w:rsidR="00121C62">
        <w:t>ecause</w:t>
      </w:r>
      <w:r w:rsidR="00F5303B">
        <w:t xml:space="preserve"> the RPP pilot is for a </w:t>
      </w:r>
      <w:r w:rsidR="00121C62">
        <w:t>single</w:t>
      </w:r>
      <w:r w:rsidR="00F5303B">
        <w:t xml:space="preserve"> </w:t>
      </w:r>
      <w:r w:rsidR="00121C62">
        <w:t xml:space="preserve">year </w:t>
      </w:r>
      <w:r w:rsidR="00F5303B">
        <w:t xml:space="preserve">and overlaps the two </w:t>
      </w:r>
      <w:r w:rsidR="00C06A6C">
        <w:t xml:space="preserve">calendar </w:t>
      </w:r>
      <w:r w:rsidR="00F5303B">
        <w:t xml:space="preserve">years, </w:t>
      </w:r>
      <w:r w:rsidR="003B5DE6">
        <w:t xml:space="preserve">it is </w:t>
      </w:r>
      <w:r w:rsidR="00121C62">
        <w:t>expected that</w:t>
      </w:r>
      <w:r w:rsidR="00F5303B">
        <w:t xml:space="preserve"> 1,034 will </w:t>
      </w:r>
      <w:r w:rsidR="00121C62">
        <w:t>participate</w:t>
      </w:r>
      <w:r w:rsidR="00C52326">
        <w:t xml:space="preserve"> in the H</w:t>
      </w:r>
      <w:r w:rsidR="00F5303B">
        <w:t xml:space="preserve">EAR program during </w:t>
      </w:r>
      <w:r w:rsidR="0076156E">
        <w:t xml:space="preserve">the pilot period </w:t>
      </w:r>
      <w:r w:rsidR="00C52326">
        <w:t xml:space="preserve">and </w:t>
      </w:r>
      <w:r w:rsidR="00F5303B">
        <w:t xml:space="preserve">a significant portion </w:t>
      </w:r>
      <w:r w:rsidR="00537139">
        <w:t xml:space="preserve">of those participants </w:t>
      </w:r>
      <w:r w:rsidR="00F5303B">
        <w:t xml:space="preserve">will elect to </w:t>
      </w:r>
      <w:r w:rsidR="00121C62">
        <w:t>participate</w:t>
      </w:r>
      <w:r w:rsidR="00F5303B">
        <w:t xml:space="preserve"> in the </w:t>
      </w:r>
      <w:r w:rsidR="0076156E">
        <w:t>RPP pilot as well</w:t>
      </w:r>
      <w:r w:rsidR="00F5303B">
        <w:t xml:space="preserve">.  </w:t>
      </w:r>
      <w:r w:rsidR="00C06A6C">
        <w:t>Many of the customers currently participating in the HEAR program are low income and/or high usage.</w:t>
      </w:r>
      <w:r w:rsidR="00C06A6C">
        <w:t xml:space="preserve">  </w:t>
      </w:r>
      <w:r w:rsidR="00F5303B">
        <w:t xml:space="preserve">There will also be additional customers that participant in the RPP </w:t>
      </w:r>
      <w:r w:rsidR="00121C62">
        <w:t>pilot</w:t>
      </w:r>
      <w:r w:rsidR="00F5303B">
        <w:t xml:space="preserve"> from outside the HEAR program.</w:t>
      </w:r>
    </w:p>
    <w:p w14:paraId="5D2D5D73" w14:textId="77777777" w:rsidR="003B5DE6" w:rsidRDefault="00363136" w:rsidP="00B876EF">
      <w:pPr>
        <w:pStyle w:val="Heading5"/>
      </w:pPr>
      <w:r>
        <w:t>Distributor</w:t>
      </w:r>
      <w:r w:rsidR="003B5DE6">
        <w:t xml:space="preserve"> Coordination</w:t>
      </w:r>
      <w:r w:rsidR="00B876EF">
        <w:t xml:space="preserve"> and Testing of Multiple </w:t>
      </w:r>
      <w:r w:rsidR="00121C62">
        <w:t>Treatments</w:t>
      </w:r>
    </w:p>
    <w:p w14:paraId="3066E057" w14:textId="77777777" w:rsidR="00B876EF" w:rsidRDefault="003B5DE6" w:rsidP="00FE61DD">
      <w:r>
        <w:t xml:space="preserve">The seven </w:t>
      </w:r>
      <w:r w:rsidR="00363136">
        <w:t>distributors</w:t>
      </w:r>
      <w:r>
        <w:t xml:space="preserve"> of </w:t>
      </w:r>
      <w:r w:rsidR="00121C62">
        <w:t>CustomerFirst</w:t>
      </w:r>
      <w:r>
        <w:t xml:space="preserve"> will </w:t>
      </w:r>
      <w:r w:rsidR="00121C62">
        <w:t>participate</w:t>
      </w:r>
      <w:r>
        <w:t xml:space="preserve"> in the pilot and all project activities will be coordinate</w:t>
      </w:r>
      <w:r w:rsidR="00B876EF">
        <w:t xml:space="preserve">d </w:t>
      </w:r>
      <w:r w:rsidR="00C52326">
        <w:t>for</w:t>
      </w:r>
      <w:r w:rsidR="00B876EF">
        <w:t xml:space="preserve"> the group by CustomerFirst.  Each </w:t>
      </w:r>
      <w:r w:rsidR="00363136">
        <w:t>distributor</w:t>
      </w:r>
      <w:r w:rsidR="00B876EF">
        <w:t xml:space="preserve"> will be represented on the project team.</w:t>
      </w:r>
    </w:p>
    <w:p w14:paraId="537E73AF" w14:textId="05557AC8" w:rsidR="00915DD3" w:rsidRDefault="00B876EF" w:rsidP="00B876EF">
      <w:r w:rsidRPr="00B876EF">
        <w:lastRenderedPageBreak/>
        <w:t xml:space="preserve">Through the participation of multiple </w:t>
      </w:r>
      <w:r w:rsidR="00363136">
        <w:t>distributors</w:t>
      </w:r>
      <w:r w:rsidRPr="00B876EF">
        <w:t xml:space="preserve">, different treatments will be tested to determine the effectiveness of </w:t>
      </w:r>
      <w:r w:rsidR="00537139">
        <w:t xml:space="preserve">some </w:t>
      </w:r>
      <w:r w:rsidRPr="00B876EF">
        <w:t xml:space="preserve">treatments relative to others.  </w:t>
      </w:r>
      <w:r w:rsidR="00915DD3" w:rsidRPr="00E56D38">
        <w:t xml:space="preserve">For example, the effectiveness of having an assessor help to educate customers about pricing periods and installing a programmable thermostat through the HEAR program can be tested against customers who do not participate in the HEAR program.  These customers could be provided TOU information through </w:t>
      </w:r>
      <w:r w:rsidR="00915DD3">
        <w:t>the bill or direct mail and can access the TOU cost comparison tool through their distributor’s website</w:t>
      </w:r>
      <w:r w:rsidR="00915DD3" w:rsidRPr="00E56D38">
        <w:t>.</w:t>
      </w:r>
      <w:r w:rsidR="00915DD3">
        <w:t xml:space="preserve">  Different priority information treatments can also be tested including where one group of customers would receive information about the financial opportunity of switching TOU pricing and another group would receive information related to environmental/health benefits such as C02 saved</w:t>
      </w:r>
      <w:r w:rsidRPr="00B876EF">
        <w:t>.</w:t>
      </w:r>
      <w:r>
        <w:t xml:space="preserve">  The treatments that will be tested and what service areas they will be tested in will be determined </w:t>
      </w:r>
      <w:r w:rsidR="00915DD3">
        <w:t>with input and approval from the OEB</w:t>
      </w:r>
      <w:r>
        <w:t>.</w:t>
      </w:r>
    </w:p>
    <w:p w14:paraId="5F29806A" w14:textId="77777777" w:rsidR="004737EA" w:rsidRDefault="004737EA" w:rsidP="003E62AE">
      <w:pPr>
        <w:pStyle w:val="Heading5"/>
      </w:pPr>
      <w:r>
        <w:t>Staffing, Training &amp; Development</w:t>
      </w:r>
    </w:p>
    <w:p w14:paraId="56303959" w14:textId="0EF3AC08" w:rsidR="0035486D" w:rsidRDefault="00363136" w:rsidP="00FE61DD">
      <w:r>
        <w:t>Distributor</w:t>
      </w:r>
      <w:r w:rsidR="0035486D">
        <w:t xml:space="preserve"> staff will be used as much as possible for the pilot.  All staff will be trained on the RPP pilot and this includes </w:t>
      </w:r>
      <w:r w:rsidR="00121C62">
        <w:t>customer</w:t>
      </w:r>
      <w:r w:rsidR="0035486D">
        <w:t xml:space="preserve"> service representatives who can help educate and enroll </w:t>
      </w:r>
      <w:r w:rsidR="00121C62">
        <w:t>customers</w:t>
      </w:r>
      <w:r w:rsidR="0035486D">
        <w:t xml:space="preserve"> in the program.</w:t>
      </w:r>
      <w:r w:rsidR="00C52326">
        <w:t xml:space="preserve">  This approach will help build capability within each distributor.</w:t>
      </w:r>
    </w:p>
    <w:p w14:paraId="1314F92E" w14:textId="77777777" w:rsidR="004737EA" w:rsidRDefault="004737EA" w:rsidP="003E62AE">
      <w:pPr>
        <w:pStyle w:val="Heading5"/>
      </w:pPr>
      <w:r>
        <w:t>Channel Engagement</w:t>
      </w:r>
    </w:p>
    <w:p w14:paraId="26A81821" w14:textId="0C245813" w:rsidR="0035486D" w:rsidRDefault="0035486D" w:rsidP="00FE61DD">
      <w:r w:rsidRPr="00035731">
        <w:t xml:space="preserve">There is the potential to engage various channels, for </w:t>
      </w:r>
      <w:r w:rsidR="00AA5355">
        <w:t>example</w:t>
      </w:r>
      <w:r w:rsidR="00AA5355" w:rsidRPr="00035731">
        <w:t xml:space="preserve"> </w:t>
      </w:r>
      <w:r w:rsidRPr="00035731">
        <w:t>manufacturers, retailers and contracto</w:t>
      </w:r>
      <w:r>
        <w:t xml:space="preserve">rs, in the </w:t>
      </w:r>
      <w:r w:rsidR="00AA5355">
        <w:t>pilot</w:t>
      </w:r>
      <w:r>
        <w:t>.  Including channel partners can help to increase awareness and education of TOU</w:t>
      </w:r>
      <w:r w:rsidR="00F002A5">
        <w:t>,</w:t>
      </w:r>
      <w:r>
        <w:t xml:space="preserve"> and encourage additional </w:t>
      </w:r>
      <w:r w:rsidR="00915DD3">
        <w:t xml:space="preserve">customer </w:t>
      </w:r>
      <w:r>
        <w:t>participation</w:t>
      </w:r>
      <w:r w:rsidR="00915DD3">
        <w:t xml:space="preserve"> in the pilot</w:t>
      </w:r>
      <w:r>
        <w:t>.</w:t>
      </w:r>
    </w:p>
    <w:p w14:paraId="19B2693B" w14:textId="77777777" w:rsidR="004737EA" w:rsidRDefault="003E62AE" w:rsidP="003E62AE">
      <w:pPr>
        <w:pStyle w:val="Heading5"/>
      </w:pPr>
      <w:r>
        <w:t xml:space="preserve">Including </w:t>
      </w:r>
      <w:r w:rsidR="004737EA">
        <w:t>Community Partners</w:t>
      </w:r>
    </w:p>
    <w:p w14:paraId="6C7BBB99" w14:textId="77777777" w:rsidR="0035486D" w:rsidRDefault="0035486D" w:rsidP="00FE61DD">
      <w:r>
        <w:t xml:space="preserve">Community partners, including </w:t>
      </w:r>
      <w:r w:rsidR="00121C62">
        <w:t>social</w:t>
      </w:r>
      <w:r>
        <w:t xml:space="preserve"> agencies supporting low income </w:t>
      </w:r>
      <w:r w:rsidR="00121C62">
        <w:t>customers</w:t>
      </w:r>
      <w:r>
        <w:t xml:space="preserve">, </w:t>
      </w:r>
      <w:r w:rsidR="003E62AE">
        <w:t>will</w:t>
      </w:r>
      <w:r>
        <w:t xml:space="preserve"> be engaged to help promote the program to their </w:t>
      </w:r>
      <w:r w:rsidR="00121C62">
        <w:t>constituents</w:t>
      </w:r>
      <w:r>
        <w:t xml:space="preserve"> to help </w:t>
      </w:r>
      <w:r w:rsidR="00C52326">
        <w:t xml:space="preserve">them </w:t>
      </w:r>
      <w:r>
        <w:t>save money on their energy bills.</w:t>
      </w:r>
    </w:p>
    <w:p w14:paraId="61D8BB24" w14:textId="77777777" w:rsidR="0035486D" w:rsidRDefault="004737EA" w:rsidP="003E62AE">
      <w:pPr>
        <w:pStyle w:val="Heading5"/>
      </w:pPr>
      <w:r>
        <w:t>Risk Management &amp; Mitigation</w:t>
      </w:r>
    </w:p>
    <w:p w14:paraId="529036E8" w14:textId="0D240AAD" w:rsidR="003E62AE" w:rsidRDefault="003E62AE" w:rsidP="00FE61DD">
      <w:r>
        <w:t xml:space="preserve">Risks are an inherit part of any project and these include timeline delays, lower </w:t>
      </w:r>
      <w:r w:rsidR="00C52326">
        <w:t xml:space="preserve">than expected </w:t>
      </w:r>
      <w:r>
        <w:t xml:space="preserve">participation, technical issues, staffing issues, and cost increases.  Having multiple </w:t>
      </w:r>
      <w:r w:rsidR="00363136">
        <w:t>distributors</w:t>
      </w:r>
      <w:r>
        <w:t xml:space="preserve"> in the pilot as well as leveraging </w:t>
      </w:r>
      <w:r w:rsidR="00F002A5">
        <w:t xml:space="preserve">an existing </w:t>
      </w:r>
      <w:r>
        <w:t>CDM</w:t>
      </w:r>
      <w:r w:rsidR="00AA5355">
        <w:t xml:space="preserve"> program</w:t>
      </w:r>
      <w:r>
        <w:t xml:space="preserve"> </w:t>
      </w:r>
      <w:r w:rsidR="00F002A5">
        <w:t xml:space="preserve">that is </w:t>
      </w:r>
      <w:r w:rsidR="00C52326">
        <w:t xml:space="preserve">already </w:t>
      </w:r>
      <w:r w:rsidR="00F002A5">
        <w:t xml:space="preserve">in market will help to mitigate </w:t>
      </w:r>
      <w:r w:rsidR="00121C62">
        <w:t>risks</w:t>
      </w:r>
      <w:r>
        <w:t xml:space="preserve">, </w:t>
      </w:r>
      <w:r w:rsidR="00F002A5">
        <w:t xml:space="preserve">however, </w:t>
      </w:r>
      <w:r>
        <w:t xml:space="preserve">a full risk management plan will be developed prior to </w:t>
      </w:r>
      <w:r w:rsidR="00121C62">
        <w:t>program</w:t>
      </w:r>
      <w:r>
        <w:t xml:space="preserve"> launch. </w:t>
      </w:r>
    </w:p>
    <w:p w14:paraId="01975287" w14:textId="3ABA4DDD" w:rsidR="004737EA" w:rsidRDefault="00DC3D9B" w:rsidP="00CD06D4">
      <w:pPr>
        <w:pStyle w:val="Heading2"/>
      </w:pPr>
      <w:r>
        <w:t xml:space="preserve">Pilot </w:t>
      </w:r>
      <w:r w:rsidR="004737EA">
        <w:t>Implementation</w:t>
      </w:r>
    </w:p>
    <w:p w14:paraId="64B6C01E" w14:textId="0B93BABD" w:rsidR="00DC3D9B" w:rsidRDefault="00DC3D9B" w:rsidP="00CD06D4">
      <w:r>
        <w:t xml:space="preserve">The pilot will be implemented in accordance with the approach set out in the technical </w:t>
      </w:r>
      <w:r w:rsidR="00723BFA">
        <w:t>manual</w:t>
      </w:r>
      <w:r w:rsidR="00537139">
        <w:t xml:space="preserve"> provided by the OEB</w:t>
      </w:r>
      <w:r>
        <w:t xml:space="preserve"> and will adhere to </w:t>
      </w:r>
      <w:r w:rsidR="00915DD3">
        <w:t xml:space="preserve">all </w:t>
      </w:r>
      <w:r>
        <w:t>requirements related to experimental design, recruitment, sampling, survey design and pilot outputs.</w:t>
      </w:r>
    </w:p>
    <w:p w14:paraId="2545BC44" w14:textId="79AEFE93" w:rsidR="00CD06D4" w:rsidRDefault="00CD06D4" w:rsidP="00CD06D4">
      <w:r>
        <w:t xml:space="preserve">The pilot will be in market March 1, 2017 – March 1, 2018, with EM&amp;V completed and the final report submitted to the OEB </w:t>
      </w:r>
      <w:r w:rsidR="000446DA">
        <w:t xml:space="preserve">on or </w:t>
      </w:r>
      <w:r>
        <w:t>before October 1, 2018.</w:t>
      </w:r>
    </w:p>
    <w:tbl>
      <w:tblPr>
        <w:tblStyle w:val="TableGrid"/>
        <w:tblW w:w="0" w:type="auto"/>
        <w:tblLook w:val="04A0" w:firstRow="1" w:lastRow="0" w:firstColumn="1" w:lastColumn="0" w:noHBand="0" w:noVBand="1"/>
      </w:tblPr>
      <w:tblGrid>
        <w:gridCol w:w="2155"/>
        <w:gridCol w:w="5670"/>
      </w:tblGrid>
      <w:tr w:rsidR="00CD06D4" w14:paraId="00F1A49A" w14:textId="77777777" w:rsidTr="00C37906">
        <w:tc>
          <w:tcPr>
            <w:tcW w:w="2155" w:type="dxa"/>
            <w:shd w:val="clear" w:color="auto" w:fill="F2F2F2" w:themeFill="background1" w:themeFillShade="F2"/>
          </w:tcPr>
          <w:p w14:paraId="7F545185" w14:textId="77777777" w:rsidR="00CD06D4" w:rsidRPr="00E20CF4" w:rsidRDefault="00CD06D4" w:rsidP="00491631">
            <w:pPr>
              <w:jc w:val="center"/>
              <w:rPr>
                <w:b/>
              </w:rPr>
            </w:pPr>
            <w:r w:rsidRPr="00E20CF4">
              <w:rPr>
                <w:b/>
              </w:rPr>
              <w:t>Date</w:t>
            </w:r>
          </w:p>
        </w:tc>
        <w:tc>
          <w:tcPr>
            <w:tcW w:w="5670" w:type="dxa"/>
            <w:shd w:val="clear" w:color="auto" w:fill="F2F2F2" w:themeFill="background1" w:themeFillShade="F2"/>
          </w:tcPr>
          <w:p w14:paraId="60C85855" w14:textId="77777777" w:rsidR="00CD06D4" w:rsidRPr="00E20CF4" w:rsidRDefault="00CD06D4" w:rsidP="00491631">
            <w:pPr>
              <w:jc w:val="center"/>
              <w:rPr>
                <w:b/>
              </w:rPr>
            </w:pPr>
            <w:r w:rsidRPr="00E20CF4">
              <w:rPr>
                <w:b/>
              </w:rPr>
              <w:t>Key Activity</w:t>
            </w:r>
          </w:p>
        </w:tc>
      </w:tr>
      <w:tr w:rsidR="00CD06D4" w14:paraId="17184BDE" w14:textId="77777777" w:rsidTr="00C37906">
        <w:tc>
          <w:tcPr>
            <w:tcW w:w="2155" w:type="dxa"/>
          </w:tcPr>
          <w:p w14:paraId="514454C0" w14:textId="77777777" w:rsidR="00CD06D4" w:rsidRDefault="00CD06D4" w:rsidP="00491631">
            <w:r>
              <w:t>March 1, 2017</w:t>
            </w:r>
          </w:p>
        </w:tc>
        <w:tc>
          <w:tcPr>
            <w:tcW w:w="5670" w:type="dxa"/>
          </w:tcPr>
          <w:p w14:paraId="45743B6B" w14:textId="77777777" w:rsidR="00CD06D4" w:rsidRDefault="00CD06D4" w:rsidP="00491631">
            <w:r>
              <w:t>Pilot launched and available to customers</w:t>
            </w:r>
          </w:p>
        </w:tc>
      </w:tr>
      <w:tr w:rsidR="00CD06D4" w14:paraId="293E9457" w14:textId="77777777" w:rsidTr="00C37906">
        <w:tc>
          <w:tcPr>
            <w:tcW w:w="2155" w:type="dxa"/>
          </w:tcPr>
          <w:p w14:paraId="1A234EE1" w14:textId="77777777" w:rsidR="00CD06D4" w:rsidRDefault="00CD06D4" w:rsidP="00491631">
            <w:r>
              <w:t>October 1, 2017</w:t>
            </w:r>
          </w:p>
        </w:tc>
        <w:tc>
          <w:tcPr>
            <w:tcW w:w="5670" w:type="dxa"/>
          </w:tcPr>
          <w:p w14:paraId="5795CF4D" w14:textId="77777777" w:rsidR="00CD06D4" w:rsidRDefault="00CD06D4" w:rsidP="00491631">
            <w:r>
              <w:t>Midpoint Report submitted to OEB</w:t>
            </w:r>
          </w:p>
        </w:tc>
      </w:tr>
      <w:tr w:rsidR="00CD06D4" w14:paraId="2AD256F9" w14:textId="77777777" w:rsidTr="00C37906">
        <w:tc>
          <w:tcPr>
            <w:tcW w:w="2155" w:type="dxa"/>
          </w:tcPr>
          <w:p w14:paraId="60CD9F80" w14:textId="77777777" w:rsidR="00CD06D4" w:rsidRDefault="00CD06D4" w:rsidP="00491631">
            <w:r>
              <w:t>March 1, 2018</w:t>
            </w:r>
          </w:p>
        </w:tc>
        <w:tc>
          <w:tcPr>
            <w:tcW w:w="5670" w:type="dxa"/>
          </w:tcPr>
          <w:p w14:paraId="4B6CDFCB" w14:textId="77777777" w:rsidR="00CD06D4" w:rsidRDefault="00CD06D4" w:rsidP="00491631">
            <w:r>
              <w:t>Pilot completed</w:t>
            </w:r>
          </w:p>
        </w:tc>
      </w:tr>
      <w:tr w:rsidR="00CD06D4" w14:paraId="49DBFD76" w14:textId="77777777" w:rsidTr="00C37906">
        <w:tc>
          <w:tcPr>
            <w:tcW w:w="2155" w:type="dxa"/>
          </w:tcPr>
          <w:p w14:paraId="625F5B55" w14:textId="77777777" w:rsidR="00CD06D4" w:rsidRDefault="00CD06D4" w:rsidP="00491631">
            <w:r>
              <w:t>March-October, 2018</w:t>
            </w:r>
          </w:p>
        </w:tc>
        <w:tc>
          <w:tcPr>
            <w:tcW w:w="5670" w:type="dxa"/>
          </w:tcPr>
          <w:p w14:paraId="7F3FB3A7" w14:textId="77777777" w:rsidR="00CD06D4" w:rsidRDefault="00CD06D4" w:rsidP="00491631">
            <w:r>
              <w:t>Program wind-up and EM&amp;V</w:t>
            </w:r>
          </w:p>
        </w:tc>
      </w:tr>
      <w:tr w:rsidR="00CD06D4" w14:paraId="42D41C8D" w14:textId="77777777" w:rsidTr="00C37906">
        <w:tc>
          <w:tcPr>
            <w:tcW w:w="2155" w:type="dxa"/>
          </w:tcPr>
          <w:p w14:paraId="17977202" w14:textId="77777777" w:rsidR="00CD06D4" w:rsidRDefault="00CD06D4" w:rsidP="00491631">
            <w:r>
              <w:t>October 1, 2018</w:t>
            </w:r>
          </w:p>
        </w:tc>
        <w:tc>
          <w:tcPr>
            <w:tcW w:w="5670" w:type="dxa"/>
          </w:tcPr>
          <w:p w14:paraId="27FD7DE9" w14:textId="77777777" w:rsidR="00CD06D4" w:rsidRDefault="00CD06D4" w:rsidP="00491631">
            <w:r>
              <w:t>Final Report submitted to OEB</w:t>
            </w:r>
          </w:p>
        </w:tc>
      </w:tr>
      <w:tr w:rsidR="00CD06D4" w14:paraId="4BB03132" w14:textId="77777777" w:rsidTr="00C37906">
        <w:tc>
          <w:tcPr>
            <w:tcW w:w="2155" w:type="dxa"/>
          </w:tcPr>
          <w:p w14:paraId="5E581CF2" w14:textId="66529A34" w:rsidR="00CD06D4" w:rsidRDefault="000446DA" w:rsidP="00491631">
            <w:r>
              <w:t xml:space="preserve">December </w:t>
            </w:r>
            <w:r w:rsidR="00CD06D4">
              <w:t>1, 201</w:t>
            </w:r>
            <w:r>
              <w:t>8</w:t>
            </w:r>
          </w:p>
        </w:tc>
        <w:tc>
          <w:tcPr>
            <w:tcW w:w="5670" w:type="dxa"/>
          </w:tcPr>
          <w:p w14:paraId="755B53F1" w14:textId="77777777" w:rsidR="00CD06D4" w:rsidRDefault="00CD06D4" w:rsidP="00491631">
            <w:r>
              <w:t>Reconciliation Report submitted to OEB (if necessary)</w:t>
            </w:r>
          </w:p>
        </w:tc>
      </w:tr>
    </w:tbl>
    <w:p w14:paraId="415C33B0" w14:textId="77777777" w:rsidR="00CD06D4" w:rsidRDefault="00CD06D4" w:rsidP="00CD06D4"/>
    <w:tbl>
      <w:tblPr>
        <w:tblStyle w:val="TableGrid"/>
        <w:tblW w:w="8838" w:type="dxa"/>
        <w:tblLook w:val="04A0" w:firstRow="1" w:lastRow="0" w:firstColumn="1" w:lastColumn="0" w:noHBand="0" w:noVBand="1"/>
      </w:tblPr>
      <w:tblGrid>
        <w:gridCol w:w="5418"/>
        <w:gridCol w:w="1710"/>
        <w:gridCol w:w="1710"/>
      </w:tblGrid>
      <w:tr w:rsidR="00CD06D4" w:rsidRPr="00035731" w14:paraId="5B36CFD6" w14:textId="77777777" w:rsidTr="002432E8">
        <w:tc>
          <w:tcPr>
            <w:tcW w:w="5418" w:type="dxa"/>
            <w:shd w:val="clear" w:color="auto" w:fill="F2F2F2" w:themeFill="background1" w:themeFillShade="F2"/>
          </w:tcPr>
          <w:p w14:paraId="0937CFB1" w14:textId="77777777" w:rsidR="00CD06D4" w:rsidRPr="00035731" w:rsidRDefault="00CD06D4" w:rsidP="00491631">
            <w:pPr>
              <w:jc w:val="center"/>
              <w:rPr>
                <w:b/>
              </w:rPr>
            </w:pPr>
            <w:r>
              <w:rPr>
                <w:b/>
              </w:rPr>
              <w:lastRenderedPageBreak/>
              <w:t xml:space="preserve">Activities and </w:t>
            </w:r>
            <w:r w:rsidRPr="00035731">
              <w:rPr>
                <w:b/>
              </w:rPr>
              <w:t>Milestones</w:t>
            </w:r>
          </w:p>
        </w:tc>
        <w:tc>
          <w:tcPr>
            <w:tcW w:w="1710" w:type="dxa"/>
            <w:shd w:val="clear" w:color="auto" w:fill="F2F2F2" w:themeFill="background1" w:themeFillShade="F2"/>
          </w:tcPr>
          <w:p w14:paraId="3D276A3B" w14:textId="77777777" w:rsidR="00CD06D4" w:rsidRPr="00035731" w:rsidRDefault="00CD06D4" w:rsidP="00491631">
            <w:pPr>
              <w:jc w:val="center"/>
              <w:rPr>
                <w:b/>
              </w:rPr>
            </w:pPr>
            <w:r w:rsidRPr="00035731">
              <w:rPr>
                <w:b/>
              </w:rPr>
              <w:t>Reports</w:t>
            </w:r>
          </w:p>
        </w:tc>
        <w:tc>
          <w:tcPr>
            <w:tcW w:w="1710" w:type="dxa"/>
            <w:shd w:val="clear" w:color="auto" w:fill="F2F2F2" w:themeFill="background1" w:themeFillShade="F2"/>
          </w:tcPr>
          <w:p w14:paraId="2C23245D" w14:textId="77777777" w:rsidR="00CD06D4" w:rsidRPr="00035731" w:rsidRDefault="00CD06D4" w:rsidP="00491631">
            <w:pPr>
              <w:jc w:val="center"/>
              <w:rPr>
                <w:b/>
              </w:rPr>
            </w:pPr>
            <w:r w:rsidRPr="00035731">
              <w:rPr>
                <w:b/>
              </w:rPr>
              <w:t>Delivery Date</w:t>
            </w:r>
          </w:p>
        </w:tc>
      </w:tr>
      <w:tr w:rsidR="00CD06D4" w:rsidRPr="00035731" w14:paraId="7DBF8776" w14:textId="77777777" w:rsidTr="002432E8">
        <w:tc>
          <w:tcPr>
            <w:tcW w:w="5418" w:type="dxa"/>
          </w:tcPr>
          <w:p w14:paraId="60D02C97" w14:textId="77777777" w:rsidR="00CD06D4" w:rsidRPr="00035731" w:rsidRDefault="00CD06D4" w:rsidP="00491631">
            <w:r w:rsidRPr="00035731">
              <w:t>Participant agreement developed</w:t>
            </w:r>
          </w:p>
          <w:p w14:paraId="2D4B939E" w14:textId="77777777" w:rsidR="00CD06D4" w:rsidRPr="00035731" w:rsidRDefault="00CD06D4" w:rsidP="00491631">
            <w:r w:rsidRPr="00035731">
              <w:t xml:space="preserve">Marketing </w:t>
            </w:r>
            <w:r>
              <w:t xml:space="preserve">materials </w:t>
            </w:r>
            <w:r w:rsidRPr="00035731">
              <w:t>developed</w:t>
            </w:r>
          </w:p>
          <w:p w14:paraId="476AEA6A" w14:textId="3BB56849" w:rsidR="00CD06D4" w:rsidRPr="00035731" w:rsidRDefault="00CD06D4" w:rsidP="00491631">
            <w:r>
              <w:t xml:space="preserve">Cost comparison </w:t>
            </w:r>
            <w:r w:rsidRPr="00035731">
              <w:t>tool developed</w:t>
            </w:r>
          </w:p>
          <w:p w14:paraId="6BAFD26D" w14:textId="77777777" w:rsidR="00CD06D4" w:rsidRDefault="00CD06D4" w:rsidP="00491631">
            <w:r w:rsidRPr="00035731">
              <w:t>Staff hired, trained and in place</w:t>
            </w:r>
          </w:p>
          <w:p w14:paraId="53288B58" w14:textId="396E8F70" w:rsidR="00CD06D4" w:rsidRDefault="00CD06D4" w:rsidP="00491631">
            <w:r>
              <w:t>EM&amp;V provider contract</w:t>
            </w:r>
            <w:r w:rsidR="00AA5355">
              <w:t>ed</w:t>
            </w:r>
          </w:p>
          <w:p w14:paraId="7927BDD3" w14:textId="7C272F4E" w:rsidR="00E65F20" w:rsidRDefault="00E65F20" w:rsidP="00491631">
            <w:r>
              <w:t>Surveys developed and data collection processes in place</w:t>
            </w:r>
          </w:p>
          <w:p w14:paraId="55769099" w14:textId="77777777" w:rsidR="00CD06D4" w:rsidRPr="00035731" w:rsidRDefault="00CD06D4" w:rsidP="00491631">
            <w:r>
              <w:t>Billing system upgrades completed</w:t>
            </w:r>
          </w:p>
          <w:p w14:paraId="4096316C" w14:textId="77777777" w:rsidR="00CD06D4" w:rsidRPr="00035731" w:rsidRDefault="00CD06D4" w:rsidP="00491631">
            <w:r w:rsidRPr="00035731">
              <w:t>Performance monitoring and tracking systems in place</w:t>
            </w:r>
          </w:p>
          <w:p w14:paraId="5CF2CF07" w14:textId="77777777" w:rsidR="00CD06D4" w:rsidRPr="00035731" w:rsidRDefault="00CD06D4" w:rsidP="00491631">
            <w:r w:rsidRPr="00035731">
              <w:t>Customer reports developed</w:t>
            </w:r>
          </w:p>
          <w:p w14:paraId="69FD34BB" w14:textId="77777777" w:rsidR="00CD06D4" w:rsidRDefault="00CD06D4" w:rsidP="00491631">
            <w:r w:rsidRPr="00035731">
              <w:t xml:space="preserve">50% </w:t>
            </w:r>
            <w:r>
              <w:t>of anticipated participants enrolled</w:t>
            </w:r>
          </w:p>
          <w:p w14:paraId="31DCC712" w14:textId="61818A23" w:rsidR="00CD06D4" w:rsidRPr="00035731" w:rsidRDefault="00AA5355" w:rsidP="00491631">
            <w:r>
              <w:t>Midpoint</w:t>
            </w:r>
            <w:r w:rsidRPr="00035731">
              <w:t xml:space="preserve"> </w:t>
            </w:r>
            <w:r w:rsidR="00CD06D4" w:rsidRPr="00035731">
              <w:t xml:space="preserve">report completed and submitted to </w:t>
            </w:r>
            <w:r w:rsidR="00CD06D4">
              <w:t>OEB</w:t>
            </w:r>
          </w:p>
        </w:tc>
        <w:tc>
          <w:tcPr>
            <w:tcW w:w="1710" w:type="dxa"/>
          </w:tcPr>
          <w:p w14:paraId="7DCDCEE8" w14:textId="77777777" w:rsidR="00CD06D4" w:rsidRPr="00035731" w:rsidRDefault="00CD06D4" w:rsidP="00491631">
            <w:r>
              <w:t>Mid</w:t>
            </w:r>
            <w:r w:rsidRPr="00035731">
              <w:t>point Report</w:t>
            </w:r>
          </w:p>
        </w:tc>
        <w:tc>
          <w:tcPr>
            <w:tcW w:w="1710" w:type="dxa"/>
          </w:tcPr>
          <w:p w14:paraId="5B87A486" w14:textId="77777777" w:rsidR="00CD06D4" w:rsidRPr="00035731" w:rsidRDefault="00CD06D4" w:rsidP="00491631">
            <w:r>
              <w:t>October 1, 2017</w:t>
            </w:r>
          </w:p>
        </w:tc>
      </w:tr>
      <w:tr w:rsidR="00CD06D4" w:rsidRPr="00035731" w14:paraId="1405616E" w14:textId="77777777" w:rsidTr="002432E8">
        <w:tc>
          <w:tcPr>
            <w:tcW w:w="5418" w:type="dxa"/>
          </w:tcPr>
          <w:p w14:paraId="37BCB174" w14:textId="77777777" w:rsidR="00CD06D4" w:rsidRPr="00035731" w:rsidRDefault="00CD06D4" w:rsidP="00491631">
            <w:pPr>
              <w:contextualSpacing/>
            </w:pPr>
            <w:r w:rsidRPr="00035731">
              <w:t xml:space="preserve">Remaining </w:t>
            </w:r>
            <w:r>
              <w:t>a</w:t>
            </w:r>
            <w:r w:rsidRPr="00035731">
              <w:t xml:space="preserve">nticipated participants </w:t>
            </w:r>
            <w:r>
              <w:t>enrolled</w:t>
            </w:r>
          </w:p>
          <w:p w14:paraId="5CF08515" w14:textId="77777777" w:rsidR="00CD06D4" w:rsidRPr="00035731" w:rsidRDefault="00CD06D4" w:rsidP="00491631">
            <w:pPr>
              <w:contextualSpacing/>
            </w:pPr>
            <w:r w:rsidRPr="00035731">
              <w:t>EM&amp;V completed</w:t>
            </w:r>
          </w:p>
          <w:p w14:paraId="122E5D95" w14:textId="77777777" w:rsidR="00CD06D4" w:rsidRPr="00035731" w:rsidRDefault="00CD06D4" w:rsidP="00491631">
            <w:r w:rsidRPr="00035731">
              <w:t xml:space="preserve">Final report completed and submitted to </w:t>
            </w:r>
            <w:r>
              <w:t>OEB</w:t>
            </w:r>
          </w:p>
        </w:tc>
        <w:tc>
          <w:tcPr>
            <w:tcW w:w="1710" w:type="dxa"/>
          </w:tcPr>
          <w:p w14:paraId="17C8E6A3" w14:textId="77777777" w:rsidR="00CD06D4" w:rsidRPr="00035731" w:rsidRDefault="00CD06D4" w:rsidP="00491631">
            <w:r w:rsidRPr="00035731">
              <w:t>Final Report</w:t>
            </w:r>
          </w:p>
        </w:tc>
        <w:tc>
          <w:tcPr>
            <w:tcW w:w="1710" w:type="dxa"/>
          </w:tcPr>
          <w:p w14:paraId="1144B5F6" w14:textId="77777777" w:rsidR="00CD06D4" w:rsidRPr="00035731" w:rsidRDefault="00CD06D4" w:rsidP="00491631">
            <w:r>
              <w:t>October 1, 2018</w:t>
            </w:r>
          </w:p>
        </w:tc>
      </w:tr>
      <w:tr w:rsidR="00CD06D4" w:rsidRPr="00035731" w14:paraId="1A49B684" w14:textId="77777777" w:rsidTr="002432E8">
        <w:tc>
          <w:tcPr>
            <w:tcW w:w="5418" w:type="dxa"/>
          </w:tcPr>
          <w:p w14:paraId="5CCC50B9" w14:textId="7C4A416A" w:rsidR="00CD06D4" w:rsidRPr="00035731" w:rsidRDefault="00CD06D4" w:rsidP="00491631">
            <w:pPr>
              <w:contextualSpacing/>
            </w:pPr>
            <w:r w:rsidRPr="00035731">
              <w:t xml:space="preserve">Reconciliations completed and </w:t>
            </w:r>
            <w:r>
              <w:t>Reconciliation Report (</w:t>
            </w:r>
            <w:r w:rsidRPr="00035731">
              <w:t>revised Final Report (if necessary)</w:t>
            </w:r>
            <w:r>
              <w:t>)</w:t>
            </w:r>
            <w:r w:rsidRPr="00035731">
              <w:t xml:space="preserve"> submitted to </w:t>
            </w:r>
            <w:r>
              <w:t>OEB</w:t>
            </w:r>
          </w:p>
        </w:tc>
        <w:tc>
          <w:tcPr>
            <w:tcW w:w="1710" w:type="dxa"/>
          </w:tcPr>
          <w:p w14:paraId="2541BEFF" w14:textId="77777777" w:rsidR="00CD06D4" w:rsidRPr="00035731" w:rsidRDefault="00CD06D4" w:rsidP="00491631">
            <w:r w:rsidRPr="00035731">
              <w:t>Reconciliation Report</w:t>
            </w:r>
          </w:p>
        </w:tc>
        <w:tc>
          <w:tcPr>
            <w:tcW w:w="1710" w:type="dxa"/>
          </w:tcPr>
          <w:p w14:paraId="664904CA" w14:textId="77777777" w:rsidR="00CD06D4" w:rsidRPr="00035731" w:rsidRDefault="00CD06D4" w:rsidP="00491631">
            <w:r>
              <w:t>January 1, 2019</w:t>
            </w:r>
          </w:p>
        </w:tc>
      </w:tr>
    </w:tbl>
    <w:p w14:paraId="17366F1A" w14:textId="77777777" w:rsidR="004E23D4" w:rsidRDefault="004E23D4" w:rsidP="00CD06D4">
      <w:pPr>
        <w:pStyle w:val="Heading2"/>
      </w:pPr>
    </w:p>
    <w:p w14:paraId="235E0C22" w14:textId="66ED8AED" w:rsidR="004737EA" w:rsidRDefault="00570BB1" w:rsidP="00CD06D4">
      <w:pPr>
        <w:pStyle w:val="Heading2"/>
      </w:pPr>
      <w:r>
        <w:t xml:space="preserve">Customer Surveys and </w:t>
      </w:r>
      <w:r w:rsidR="004737EA">
        <w:t>Evaluation Measurement &amp; Verification</w:t>
      </w:r>
    </w:p>
    <w:p w14:paraId="41F792D2" w14:textId="1B3BFD38" w:rsidR="00570BB1" w:rsidRDefault="00570BB1" w:rsidP="004737EA">
      <w:r>
        <w:t xml:space="preserve">The pilot will adhere to all customer survey requirements </w:t>
      </w:r>
      <w:r w:rsidR="004E23D4">
        <w:t xml:space="preserve">provided by the OEB </w:t>
      </w:r>
      <w:r>
        <w:t xml:space="preserve">and </w:t>
      </w:r>
      <w:r w:rsidR="004E23D4">
        <w:t xml:space="preserve">ensure that all requested </w:t>
      </w:r>
      <w:r>
        <w:t>information and data is being collected and results are provided</w:t>
      </w:r>
      <w:r w:rsidR="004E23D4">
        <w:t xml:space="preserve"> to the OEB</w:t>
      </w:r>
      <w:r w:rsidR="008F143E">
        <w:t>, including those required for EM&amp;V purposes</w:t>
      </w:r>
      <w:r>
        <w:t xml:space="preserve">.  </w:t>
      </w:r>
      <w:r w:rsidR="008F143E">
        <w:t>C</w:t>
      </w:r>
      <w:r w:rsidR="004E23D4">
        <w:t>ustomer</w:t>
      </w:r>
      <w:r>
        <w:t xml:space="preserve"> surveys for pre-treatment, within experiment and p</w:t>
      </w:r>
      <w:r w:rsidR="00B778D7">
        <w:t>ost-treatment</w:t>
      </w:r>
      <w:r w:rsidR="004E23D4">
        <w:t>, plus any additional data requested by the OEB,</w:t>
      </w:r>
      <w:r w:rsidR="00B778D7">
        <w:t xml:space="preserve"> will be developed </w:t>
      </w:r>
      <w:r w:rsidR="00E65F20">
        <w:t>for the RPP pilot</w:t>
      </w:r>
      <w:r w:rsidR="00DB6D24">
        <w:t>.</w:t>
      </w:r>
    </w:p>
    <w:p w14:paraId="72CFE86C" w14:textId="177C006B" w:rsidR="004E23D4" w:rsidRPr="00035731" w:rsidRDefault="008F143E" w:rsidP="004737EA">
      <w:r>
        <w:t>It is expected that t</w:t>
      </w:r>
      <w:r w:rsidR="004737EA" w:rsidRPr="00035731">
        <w:t xml:space="preserve">he following </w:t>
      </w:r>
      <w:r w:rsidR="004737EA">
        <w:t>Evaluation Measurement &amp; Verification</w:t>
      </w:r>
      <w:r w:rsidR="000D7631">
        <w:t xml:space="preserve"> (</w:t>
      </w:r>
      <w:r w:rsidR="004737EA" w:rsidRPr="00035731">
        <w:t>EM&amp;V</w:t>
      </w:r>
      <w:r w:rsidR="000D7631">
        <w:t>)</w:t>
      </w:r>
      <w:r w:rsidR="004737EA" w:rsidRPr="00035731">
        <w:t xml:space="preserve"> </w:t>
      </w:r>
      <w:r w:rsidR="00C10DEC">
        <w:t>activities</w:t>
      </w:r>
      <w:r w:rsidR="00C10DEC" w:rsidRPr="00035731">
        <w:t xml:space="preserve"> </w:t>
      </w:r>
      <w:r w:rsidR="004737EA" w:rsidRPr="00035731">
        <w:t>will be undertaken</w:t>
      </w:r>
      <w:r w:rsidR="00570BB1">
        <w:t xml:space="preserve"> in accordance with the IESO’s Conservation First EM&amp;V Protocols and Requirements</w:t>
      </w:r>
      <w:r>
        <w:t>, however, a full EM&amp;V plan for the pilot will be developed with input from the OEB prior to program launch</w:t>
      </w:r>
      <w:r w:rsidR="004737EA" w:rsidRPr="00035731">
        <w:t>:</w:t>
      </w:r>
    </w:p>
    <w:p w14:paraId="207E9700" w14:textId="0B28D2D4" w:rsidR="004E23D4" w:rsidRPr="00035731" w:rsidRDefault="004737EA" w:rsidP="00000ECC">
      <w:pPr>
        <w:pStyle w:val="ListParagraph"/>
        <w:numPr>
          <w:ilvl w:val="0"/>
          <w:numId w:val="21"/>
        </w:numPr>
      </w:pPr>
      <w:r w:rsidRPr="00035731">
        <w:t xml:space="preserve">Process Evaluation – Detailed review of the delivery model and participation rates </w:t>
      </w:r>
    </w:p>
    <w:p w14:paraId="732DC85E" w14:textId="11B81756" w:rsidR="004E23D4" w:rsidRDefault="004737EA" w:rsidP="00000ECC">
      <w:pPr>
        <w:pStyle w:val="ListParagraph"/>
        <w:numPr>
          <w:ilvl w:val="0"/>
          <w:numId w:val="21"/>
        </w:numPr>
      </w:pPr>
      <w:r w:rsidRPr="00035731">
        <w:t>Impact Evaluation – Deemed savings from the IESO</w:t>
      </w:r>
      <w:r>
        <w:t>’s</w:t>
      </w:r>
      <w:r w:rsidRPr="00035731">
        <w:t xml:space="preserve"> M</w:t>
      </w:r>
      <w:r>
        <w:t xml:space="preserve">easure &amp; </w:t>
      </w:r>
      <w:r w:rsidRPr="00035731">
        <w:t>A</w:t>
      </w:r>
      <w:r>
        <w:t xml:space="preserve">ssumptions List </w:t>
      </w:r>
      <w:r w:rsidRPr="00035731">
        <w:t>will be applied to measure</w:t>
      </w:r>
      <w:r w:rsidR="00F87C11">
        <w:t>s</w:t>
      </w:r>
      <w:r w:rsidRPr="00035731">
        <w:t xml:space="preserve"> </w:t>
      </w:r>
      <w:r w:rsidR="00AA5355">
        <w:t>and</w:t>
      </w:r>
      <w:r w:rsidR="00AA5355" w:rsidRPr="00035731">
        <w:t xml:space="preserve"> </w:t>
      </w:r>
      <w:r w:rsidRPr="00035731">
        <w:t>detailed</w:t>
      </w:r>
      <w:r w:rsidR="00AA5355">
        <w:t xml:space="preserve"> net-to-</w:t>
      </w:r>
      <w:r w:rsidR="00AA629D">
        <w:t>gross</w:t>
      </w:r>
      <w:r w:rsidRPr="00035731">
        <w:t xml:space="preserve"> research will be conducted </w:t>
      </w:r>
    </w:p>
    <w:p w14:paraId="73443E0C" w14:textId="1CD05CA2" w:rsidR="004737EA" w:rsidRPr="00035731" w:rsidRDefault="004737EA" w:rsidP="004737EA">
      <w:r w:rsidRPr="00035731">
        <w:t>Data Requirement</w:t>
      </w:r>
      <w:r w:rsidR="008F143E">
        <w:t>s</w:t>
      </w:r>
      <w:r w:rsidR="00B778D7">
        <w:t>:</w:t>
      </w:r>
      <w:r w:rsidRPr="00035731">
        <w:t xml:space="preserve"> </w:t>
      </w:r>
    </w:p>
    <w:p w14:paraId="1C0D436E" w14:textId="77777777" w:rsidR="004737EA" w:rsidRPr="00035731" w:rsidRDefault="00F87C11" w:rsidP="00000ECC">
      <w:pPr>
        <w:pStyle w:val="ListParagraph"/>
        <w:numPr>
          <w:ilvl w:val="0"/>
          <w:numId w:val="22"/>
        </w:numPr>
      </w:pPr>
      <w:r>
        <w:t>P</w:t>
      </w:r>
      <w:r w:rsidR="004737EA" w:rsidRPr="00035731">
        <w:t>re and post TOU billing data for all participants</w:t>
      </w:r>
    </w:p>
    <w:p w14:paraId="3CB99E5F" w14:textId="77777777" w:rsidR="00B778D7" w:rsidRDefault="00F87C11" w:rsidP="00000ECC">
      <w:pPr>
        <w:pStyle w:val="ListParagraph"/>
        <w:numPr>
          <w:ilvl w:val="0"/>
          <w:numId w:val="22"/>
        </w:numPr>
      </w:pPr>
      <w:r>
        <w:t>P</w:t>
      </w:r>
      <w:r w:rsidR="004737EA" w:rsidRPr="00035731">
        <w:t xml:space="preserve">re and post TOU billing data for a selected group of non-participants to act as a </w:t>
      </w:r>
      <w:r w:rsidR="00B778D7">
        <w:t>control</w:t>
      </w:r>
    </w:p>
    <w:p w14:paraId="43E08A2F" w14:textId="70627663" w:rsidR="004737EA" w:rsidRPr="00035731" w:rsidRDefault="00B778D7" w:rsidP="00000ECC">
      <w:pPr>
        <w:pStyle w:val="ListParagraph"/>
        <w:numPr>
          <w:ilvl w:val="0"/>
          <w:numId w:val="22"/>
        </w:numPr>
      </w:pPr>
      <w:r>
        <w:t>Survey results</w:t>
      </w:r>
    </w:p>
    <w:p w14:paraId="42233A81" w14:textId="77777777" w:rsidR="00000ECC" w:rsidRDefault="00000ECC">
      <w:pPr>
        <w:rPr>
          <w:rFonts w:asciiTheme="majorHAnsi" w:eastAsiaTheme="majorEastAsia" w:hAnsiTheme="majorHAnsi" w:cstheme="majorBidi"/>
          <w:color w:val="2E74B5" w:themeColor="accent1" w:themeShade="BF"/>
          <w:sz w:val="26"/>
          <w:szCs w:val="26"/>
        </w:rPr>
      </w:pPr>
      <w:r>
        <w:br w:type="page"/>
      </w:r>
    </w:p>
    <w:p w14:paraId="182201E5" w14:textId="397B16B7" w:rsidR="00D406B9" w:rsidRPr="00CD06D4" w:rsidRDefault="00CD06D4" w:rsidP="00CD06D4">
      <w:pPr>
        <w:pStyle w:val="Heading2"/>
      </w:pPr>
      <w:r>
        <w:lastRenderedPageBreak/>
        <w:t xml:space="preserve">Major Project </w:t>
      </w:r>
      <w:r w:rsidR="00D406B9">
        <w:t>Deliverables</w:t>
      </w:r>
    </w:p>
    <w:p w14:paraId="6BAF7958" w14:textId="0CB17AC5" w:rsidR="00833242" w:rsidRDefault="000D7631" w:rsidP="00E20CF4">
      <w:r>
        <w:t xml:space="preserve">Under the pilot, the </w:t>
      </w:r>
      <w:r w:rsidR="00162D96">
        <w:t>OEB will be provided with a Midpoint Report, Final Report and Reconciliation R</w:t>
      </w:r>
      <w:r w:rsidR="00F87C11">
        <w:t>eport</w:t>
      </w:r>
      <w:r w:rsidR="00AA5355">
        <w:t xml:space="preserve"> (if necessary)</w:t>
      </w:r>
    </w:p>
    <w:p w14:paraId="45CF05ED" w14:textId="77777777" w:rsidR="00833242" w:rsidRDefault="00833242">
      <w:r w:rsidRPr="00730CF0">
        <w:t xml:space="preserve">The Midpoint </w:t>
      </w:r>
      <w:r>
        <w:t xml:space="preserve">Report will </w:t>
      </w:r>
      <w:r w:rsidRPr="00730CF0">
        <w:t xml:space="preserve">include the following: </w:t>
      </w:r>
    </w:p>
    <w:p w14:paraId="322330BC" w14:textId="77777777" w:rsidR="00833242" w:rsidRPr="00000ECC" w:rsidRDefault="00833242" w:rsidP="00000ECC">
      <w:pPr>
        <w:pStyle w:val="ListParagraph"/>
        <w:numPr>
          <w:ilvl w:val="0"/>
          <w:numId w:val="19"/>
        </w:numPr>
      </w:pPr>
      <w:r w:rsidRPr="00000ECC">
        <w:t xml:space="preserve">Deliverables for midpoint milestones  </w:t>
      </w:r>
    </w:p>
    <w:p w14:paraId="0B117BC2" w14:textId="77777777" w:rsidR="00833242" w:rsidRPr="00000ECC" w:rsidRDefault="00833242" w:rsidP="00000ECC">
      <w:pPr>
        <w:pStyle w:val="ListParagraph"/>
        <w:numPr>
          <w:ilvl w:val="0"/>
          <w:numId w:val="19"/>
        </w:numPr>
      </w:pPr>
      <w:r w:rsidRPr="00000ECC">
        <w:t>Updates on expenditures to date of Midpoint Report</w:t>
      </w:r>
    </w:p>
    <w:p w14:paraId="38C584B0" w14:textId="77777777" w:rsidR="00833242" w:rsidRPr="00000ECC" w:rsidRDefault="00833242" w:rsidP="00000ECC">
      <w:pPr>
        <w:pStyle w:val="ListParagraph"/>
        <w:numPr>
          <w:ilvl w:val="0"/>
          <w:numId w:val="19"/>
        </w:numPr>
      </w:pPr>
      <w:r w:rsidRPr="00000ECC">
        <w:t xml:space="preserve">An update on the progress of all activities </w:t>
      </w:r>
    </w:p>
    <w:p w14:paraId="0C802B28" w14:textId="4C9D00BF" w:rsidR="00833242" w:rsidRPr="00000ECC" w:rsidRDefault="00833242" w:rsidP="00000ECC">
      <w:pPr>
        <w:pStyle w:val="ListParagraph"/>
        <w:numPr>
          <w:ilvl w:val="0"/>
          <w:numId w:val="19"/>
        </w:numPr>
      </w:pPr>
      <w:r w:rsidRPr="00000ECC">
        <w:t>A description of any</w:t>
      </w:r>
      <w:r w:rsidR="00AA5355" w:rsidRPr="00000ECC">
        <w:t xml:space="preserve"> intellectual or other</w:t>
      </w:r>
      <w:r w:rsidRPr="00000ECC">
        <w:t xml:space="preserve"> property procured, developed or created</w:t>
      </w:r>
    </w:p>
    <w:p w14:paraId="2C04617E" w14:textId="77777777" w:rsidR="00833242" w:rsidRPr="00000ECC" w:rsidRDefault="00833242" w:rsidP="00000ECC">
      <w:pPr>
        <w:pStyle w:val="ListParagraph"/>
        <w:numPr>
          <w:ilvl w:val="0"/>
          <w:numId w:val="19"/>
        </w:numPr>
      </w:pPr>
      <w:r w:rsidRPr="00000ECC">
        <w:t>An analysis (strengths, weaknesses, threats and opportunities) of program design and delivery as implemented to date</w:t>
      </w:r>
    </w:p>
    <w:p w14:paraId="06A8146A" w14:textId="7923DA6E" w:rsidR="00721948" w:rsidRPr="00000ECC" w:rsidRDefault="00721948" w:rsidP="00000ECC">
      <w:pPr>
        <w:pStyle w:val="ListParagraph"/>
        <w:numPr>
          <w:ilvl w:val="0"/>
          <w:numId w:val="19"/>
        </w:numPr>
      </w:pPr>
      <w:r w:rsidRPr="00000ECC">
        <w:t>Surveys and survey results to date</w:t>
      </w:r>
    </w:p>
    <w:p w14:paraId="3F1CEEF2" w14:textId="77777777" w:rsidR="00833242" w:rsidRPr="00000ECC" w:rsidRDefault="00833242" w:rsidP="00000ECC">
      <w:pPr>
        <w:pStyle w:val="ListParagraph"/>
        <w:numPr>
          <w:ilvl w:val="0"/>
          <w:numId w:val="19"/>
        </w:numPr>
      </w:pPr>
      <w:r w:rsidRPr="00000ECC">
        <w:t>Other such information regarding the implementation of the pilot that the OEB may request</w:t>
      </w:r>
    </w:p>
    <w:p w14:paraId="43C74D3F" w14:textId="77777777" w:rsidR="00833242" w:rsidRDefault="00833242">
      <w:r>
        <w:t xml:space="preserve">The Final Report </w:t>
      </w:r>
      <w:r w:rsidR="00CD06D4">
        <w:t>will</w:t>
      </w:r>
      <w:r>
        <w:t xml:space="preserve"> include the following: </w:t>
      </w:r>
    </w:p>
    <w:p w14:paraId="4FEB5482" w14:textId="77777777" w:rsidR="00833242" w:rsidRPr="00000ECC" w:rsidRDefault="00833242" w:rsidP="00000ECC">
      <w:pPr>
        <w:pStyle w:val="ListParagraph"/>
        <w:numPr>
          <w:ilvl w:val="0"/>
          <w:numId w:val="20"/>
        </w:numPr>
      </w:pPr>
      <w:r>
        <w:t>Deliverables for remaining program milestones</w:t>
      </w:r>
    </w:p>
    <w:p w14:paraId="1215EB47" w14:textId="77777777" w:rsidR="00833242" w:rsidRPr="00000ECC" w:rsidRDefault="00833242" w:rsidP="00000ECC">
      <w:pPr>
        <w:pStyle w:val="ListParagraph"/>
        <w:numPr>
          <w:ilvl w:val="0"/>
          <w:numId w:val="20"/>
        </w:numPr>
      </w:pPr>
      <w:r w:rsidRPr="00000ECC">
        <w:t>Updates on expenditures to date of Final Report.</w:t>
      </w:r>
    </w:p>
    <w:p w14:paraId="6DEFB36B" w14:textId="77777777" w:rsidR="00833242" w:rsidRPr="00000ECC" w:rsidRDefault="00833242" w:rsidP="00000ECC">
      <w:pPr>
        <w:pStyle w:val="ListParagraph"/>
        <w:numPr>
          <w:ilvl w:val="0"/>
          <w:numId w:val="20"/>
        </w:numPr>
      </w:pPr>
      <w:r w:rsidRPr="00000ECC">
        <w:t xml:space="preserve">An update of the project schedule, including status of each activity </w:t>
      </w:r>
    </w:p>
    <w:p w14:paraId="1FC30BA8" w14:textId="243A28FA" w:rsidR="00833242" w:rsidRPr="00000ECC" w:rsidRDefault="00833242" w:rsidP="00000ECC">
      <w:pPr>
        <w:pStyle w:val="ListParagraph"/>
        <w:numPr>
          <w:ilvl w:val="0"/>
          <w:numId w:val="20"/>
        </w:numPr>
      </w:pPr>
      <w:r w:rsidRPr="00000ECC">
        <w:t xml:space="preserve">A description of any </w:t>
      </w:r>
      <w:r w:rsidR="00D96605" w:rsidRPr="00000ECC">
        <w:t xml:space="preserve">intellectual or other </w:t>
      </w:r>
      <w:r w:rsidRPr="00000ECC">
        <w:t>property procured, developed or created since midpoint</w:t>
      </w:r>
    </w:p>
    <w:p w14:paraId="18A2E235" w14:textId="43E6C3EA" w:rsidR="00833242" w:rsidRPr="00000ECC" w:rsidRDefault="00D96605" w:rsidP="00000ECC">
      <w:pPr>
        <w:pStyle w:val="ListParagraph"/>
        <w:numPr>
          <w:ilvl w:val="0"/>
          <w:numId w:val="20"/>
        </w:numPr>
      </w:pPr>
      <w:r w:rsidRPr="00000ECC">
        <w:t>An</w:t>
      </w:r>
      <w:r w:rsidR="00833242" w:rsidRPr="00000ECC">
        <w:t xml:space="preserve"> analysis (strengths, weaknesses, threats and opportunities of Collaboration Activity design and delivery as implemented)</w:t>
      </w:r>
    </w:p>
    <w:p w14:paraId="3BCCCB3E" w14:textId="77777777" w:rsidR="00833242" w:rsidRPr="00000ECC" w:rsidRDefault="00833242" w:rsidP="00000ECC">
      <w:pPr>
        <w:pStyle w:val="ListParagraph"/>
        <w:numPr>
          <w:ilvl w:val="0"/>
          <w:numId w:val="20"/>
        </w:numPr>
      </w:pPr>
      <w:r w:rsidRPr="00000ECC">
        <w:t>An analysis (strengths, weaknesses, threats and opportunities) of program design and delivery as implemented to date</w:t>
      </w:r>
    </w:p>
    <w:p w14:paraId="6F7FA971" w14:textId="0F943B15" w:rsidR="00721948" w:rsidRPr="00000ECC" w:rsidRDefault="00721948" w:rsidP="00000ECC">
      <w:pPr>
        <w:pStyle w:val="ListParagraph"/>
        <w:numPr>
          <w:ilvl w:val="0"/>
          <w:numId w:val="20"/>
        </w:numPr>
      </w:pPr>
      <w:r w:rsidRPr="00000ECC">
        <w:t>Final surveys and survey results</w:t>
      </w:r>
    </w:p>
    <w:p w14:paraId="3A9DE802" w14:textId="77777777" w:rsidR="00833242" w:rsidRPr="00000ECC" w:rsidRDefault="00833242" w:rsidP="00000ECC">
      <w:pPr>
        <w:pStyle w:val="ListParagraph"/>
        <w:numPr>
          <w:ilvl w:val="0"/>
          <w:numId w:val="20"/>
        </w:numPr>
      </w:pPr>
      <w:r w:rsidRPr="00000ECC">
        <w:t>Other such information regarding the implementation of the pilot that the OEB may request</w:t>
      </w:r>
    </w:p>
    <w:p w14:paraId="56DA7070" w14:textId="06F6D1A9" w:rsidR="00833242" w:rsidRPr="00000ECC" w:rsidRDefault="00833242" w:rsidP="00000ECC">
      <w:pPr>
        <w:pStyle w:val="ListParagraph"/>
        <w:numPr>
          <w:ilvl w:val="0"/>
          <w:numId w:val="20"/>
        </w:numPr>
      </w:pPr>
      <w:r w:rsidRPr="00000ECC">
        <w:t>A summary of lessons learned from the pilot and recommendations for implementation to a full scale or province-wide</w:t>
      </w:r>
      <w:r w:rsidR="00D96605" w:rsidRPr="00000ECC">
        <w:t xml:space="preserve"> program</w:t>
      </w:r>
    </w:p>
    <w:p w14:paraId="6305C0FC" w14:textId="6A31A79F" w:rsidR="00833242" w:rsidRPr="00000ECC" w:rsidRDefault="00833242" w:rsidP="00000ECC">
      <w:pPr>
        <w:pStyle w:val="ListParagraph"/>
        <w:numPr>
          <w:ilvl w:val="0"/>
          <w:numId w:val="20"/>
        </w:numPr>
      </w:pPr>
      <w:r w:rsidRPr="00000ECC">
        <w:t>Other such information regarding the implementation of the pilot the OEB may request</w:t>
      </w:r>
    </w:p>
    <w:p w14:paraId="6EC98180" w14:textId="77777777" w:rsidR="00D406B9" w:rsidRDefault="00833242" w:rsidP="002432E8">
      <w:r>
        <w:t>A</w:t>
      </w:r>
      <w:r w:rsidRPr="00000ECC">
        <w:t xml:space="preserve"> Reconciliation Report will be submitted if necessary </w:t>
      </w:r>
      <w:r w:rsidR="00935055">
        <w:t>following submission of the Final Report that contains any additional information on the pilot requested by the OEB.</w:t>
      </w:r>
      <w:r w:rsidR="00D406B9">
        <w:br w:type="page"/>
      </w:r>
    </w:p>
    <w:p w14:paraId="4379F24D" w14:textId="77777777" w:rsidR="00D406B9" w:rsidRDefault="00D406B9" w:rsidP="00D406B9">
      <w:pPr>
        <w:pStyle w:val="Heading1"/>
      </w:pPr>
      <w:r>
        <w:lastRenderedPageBreak/>
        <w:t>Project Team &amp; Partners</w:t>
      </w:r>
    </w:p>
    <w:tbl>
      <w:tblPr>
        <w:tblStyle w:val="TableGrid"/>
        <w:tblW w:w="0" w:type="auto"/>
        <w:tblLook w:val="04A0" w:firstRow="1" w:lastRow="0" w:firstColumn="1" w:lastColumn="0" w:noHBand="0" w:noVBand="1"/>
      </w:tblPr>
      <w:tblGrid>
        <w:gridCol w:w="3116"/>
        <w:gridCol w:w="3117"/>
        <w:gridCol w:w="3117"/>
      </w:tblGrid>
      <w:tr w:rsidR="00D406B9" w14:paraId="23596845" w14:textId="77777777" w:rsidTr="002375FE">
        <w:tc>
          <w:tcPr>
            <w:tcW w:w="9350" w:type="dxa"/>
            <w:gridSpan w:val="3"/>
            <w:shd w:val="clear" w:color="auto" w:fill="F2F2F2" w:themeFill="background1" w:themeFillShade="F2"/>
          </w:tcPr>
          <w:p w14:paraId="385155E8" w14:textId="77777777" w:rsidR="00D406B9" w:rsidRPr="00D406B9" w:rsidRDefault="00D406B9" w:rsidP="00D406B9">
            <w:pPr>
              <w:jc w:val="center"/>
              <w:rPr>
                <w:b/>
              </w:rPr>
            </w:pPr>
            <w:r w:rsidRPr="00D406B9">
              <w:rPr>
                <w:b/>
              </w:rPr>
              <w:t>PROJECT TEAM</w:t>
            </w:r>
          </w:p>
        </w:tc>
      </w:tr>
      <w:tr w:rsidR="00D406B9" w14:paraId="7449F876" w14:textId="77777777" w:rsidTr="002375FE">
        <w:tc>
          <w:tcPr>
            <w:tcW w:w="3116" w:type="dxa"/>
            <w:shd w:val="clear" w:color="auto" w:fill="F2F2F2" w:themeFill="background1" w:themeFillShade="F2"/>
          </w:tcPr>
          <w:p w14:paraId="3801E161" w14:textId="77777777" w:rsidR="00D406B9" w:rsidRPr="00D406B9" w:rsidRDefault="00D406B9" w:rsidP="002375FE">
            <w:pPr>
              <w:jc w:val="center"/>
              <w:rPr>
                <w:b/>
              </w:rPr>
            </w:pPr>
            <w:r w:rsidRPr="00D406B9">
              <w:rPr>
                <w:b/>
              </w:rPr>
              <w:t>Project team member</w:t>
            </w:r>
          </w:p>
        </w:tc>
        <w:tc>
          <w:tcPr>
            <w:tcW w:w="3117" w:type="dxa"/>
            <w:shd w:val="clear" w:color="auto" w:fill="F2F2F2" w:themeFill="background1" w:themeFillShade="F2"/>
          </w:tcPr>
          <w:p w14:paraId="3B301690" w14:textId="77777777" w:rsidR="00D406B9" w:rsidRPr="00D406B9" w:rsidRDefault="00D406B9" w:rsidP="002375FE">
            <w:pPr>
              <w:jc w:val="center"/>
              <w:rPr>
                <w:b/>
              </w:rPr>
            </w:pPr>
            <w:r w:rsidRPr="00D406B9">
              <w:rPr>
                <w:b/>
              </w:rPr>
              <w:t>Organization and job title</w:t>
            </w:r>
          </w:p>
        </w:tc>
        <w:tc>
          <w:tcPr>
            <w:tcW w:w="3117" w:type="dxa"/>
            <w:shd w:val="clear" w:color="auto" w:fill="F2F2F2" w:themeFill="background1" w:themeFillShade="F2"/>
          </w:tcPr>
          <w:p w14:paraId="3EDE615D" w14:textId="77777777" w:rsidR="00D406B9" w:rsidRPr="00D406B9" w:rsidRDefault="00D406B9" w:rsidP="002375FE">
            <w:pPr>
              <w:jc w:val="center"/>
              <w:rPr>
                <w:b/>
              </w:rPr>
            </w:pPr>
            <w:r w:rsidRPr="00D406B9">
              <w:rPr>
                <w:b/>
              </w:rPr>
              <w:t>Major accountability</w:t>
            </w:r>
          </w:p>
        </w:tc>
      </w:tr>
      <w:tr w:rsidR="00D406B9" w14:paraId="06F5807A" w14:textId="77777777" w:rsidTr="00D406B9">
        <w:tc>
          <w:tcPr>
            <w:tcW w:w="3116" w:type="dxa"/>
          </w:tcPr>
          <w:p w14:paraId="54CDB23D" w14:textId="77777777" w:rsidR="00D406B9" w:rsidRDefault="00805647" w:rsidP="00FE61DD">
            <w:r>
              <w:t>Chris Barker</w:t>
            </w:r>
          </w:p>
        </w:tc>
        <w:tc>
          <w:tcPr>
            <w:tcW w:w="3117" w:type="dxa"/>
          </w:tcPr>
          <w:p w14:paraId="723BB33C" w14:textId="77777777" w:rsidR="00D406B9" w:rsidRDefault="00805647" w:rsidP="00FE61DD">
            <w:r>
              <w:t>CustomerFirst, Executive Director</w:t>
            </w:r>
          </w:p>
        </w:tc>
        <w:tc>
          <w:tcPr>
            <w:tcW w:w="3117" w:type="dxa"/>
          </w:tcPr>
          <w:p w14:paraId="77580645" w14:textId="77777777" w:rsidR="00D406B9" w:rsidRDefault="00805647" w:rsidP="00FE61DD">
            <w:r>
              <w:t>Project lead</w:t>
            </w:r>
          </w:p>
        </w:tc>
      </w:tr>
      <w:tr w:rsidR="00773801" w14:paraId="359B579E" w14:textId="77777777" w:rsidTr="00D406B9">
        <w:tc>
          <w:tcPr>
            <w:tcW w:w="3116" w:type="dxa"/>
          </w:tcPr>
          <w:p w14:paraId="134E8218" w14:textId="77777777" w:rsidR="00773801" w:rsidRDefault="00773801" w:rsidP="008A4F6F">
            <w:r>
              <w:t>Paul Ferguson</w:t>
            </w:r>
          </w:p>
        </w:tc>
        <w:tc>
          <w:tcPr>
            <w:tcW w:w="3117" w:type="dxa"/>
          </w:tcPr>
          <w:p w14:paraId="45E187EB" w14:textId="77777777" w:rsidR="00773801" w:rsidRPr="0088454B" w:rsidRDefault="00773801" w:rsidP="008A4F6F">
            <w:r w:rsidRPr="0088454B">
              <w:t>Newmarket-Tay Power Distribution Ltd.</w:t>
            </w:r>
            <w:r>
              <w:t>, President &amp; CEO</w:t>
            </w:r>
          </w:p>
        </w:tc>
        <w:tc>
          <w:tcPr>
            <w:tcW w:w="3117" w:type="dxa"/>
          </w:tcPr>
          <w:p w14:paraId="78281ADC" w14:textId="77777777" w:rsidR="00773801" w:rsidRDefault="00773801" w:rsidP="008A4F6F">
            <w:r>
              <w:t>Distributor</w:t>
            </w:r>
          </w:p>
        </w:tc>
      </w:tr>
      <w:tr w:rsidR="008A4F6F" w14:paraId="5AB906AE" w14:textId="77777777" w:rsidTr="00D406B9">
        <w:tc>
          <w:tcPr>
            <w:tcW w:w="3116" w:type="dxa"/>
          </w:tcPr>
          <w:p w14:paraId="237D1F3E" w14:textId="77777777" w:rsidR="008A4F6F" w:rsidRDefault="008A4F6F" w:rsidP="008A4F6F">
            <w:r>
              <w:t>Frank Kallonen</w:t>
            </w:r>
          </w:p>
        </w:tc>
        <w:tc>
          <w:tcPr>
            <w:tcW w:w="3117" w:type="dxa"/>
          </w:tcPr>
          <w:p w14:paraId="12245502" w14:textId="77777777" w:rsidR="008A4F6F" w:rsidRPr="0088454B" w:rsidRDefault="008A4F6F" w:rsidP="008A4F6F">
            <w:r w:rsidRPr="0088454B">
              <w:t>Greater Sudbury Hydro Inc.</w:t>
            </w:r>
            <w:r>
              <w:t>, President &amp; CEO</w:t>
            </w:r>
          </w:p>
        </w:tc>
        <w:tc>
          <w:tcPr>
            <w:tcW w:w="3117" w:type="dxa"/>
          </w:tcPr>
          <w:p w14:paraId="16DDEC25" w14:textId="77777777" w:rsidR="008A4F6F" w:rsidRDefault="00C37906" w:rsidP="008A4F6F">
            <w:r>
              <w:t>Distributor</w:t>
            </w:r>
          </w:p>
        </w:tc>
      </w:tr>
      <w:tr w:rsidR="008A4F6F" w14:paraId="31C2C88D" w14:textId="77777777" w:rsidTr="00D406B9">
        <w:tc>
          <w:tcPr>
            <w:tcW w:w="3116" w:type="dxa"/>
          </w:tcPr>
          <w:p w14:paraId="5051DCE0" w14:textId="77777777" w:rsidR="008A4F6F" w:rsidRDefault="008A4F6F" w:rsidP="008A4F6F">
            <w:r>
              <w:t>Todd Wilcox</w:t>
            </w:r>
          </w:p>
        </w:tc>
        <w:tc>
          <w:tcPr>
            <w:tcW w:w="3117" w:type="dxa"/>
          </w:tcPr>
          <w:p w14:paraId="6F935171" w14:textId="77777777" w:rsidR="008A4F6F" w:rsidRPr="0088454B" w:rsidRDefault="008A4F6F" w:rsidP="008A4F6F">
            <w:r w:rsidRPr="0088454B">
              <w:t>North Bay Hydro Distribution Ltd.</w:t>
            </w:r>
            <w:r>
              <w:t>, President &amp; CEO</w:t>
            </w:r>
          </w:p>
        </w:tc>
        <w:tc>
          <w:tcPr>
            <w:tcW w:w="3117" w:type="dxa"/>
          </w:tcPr>
          <w:p w14:paraId="01A8549D" w14:textId="77777777" w:rsidR="008A4F6F" w:rsidRDefault="00C37906" w:rsidP="008A4F6F">
            <w:r>
              <w:t>Distributor</w:t>
            </w:r>
          </w:p>
        </w:tc>
      </w:tr>
      <w:tr w:rsidR="008A4F6F" w14:paraId="0C41C650" w14:textId="77777777" w:rsidTr="00D406B9">
        <w:tc>
          <w:tcPr>
            <w:tcW w:w="3116" w:type="dxa"/>
          </w:tcPr>
          <w:p w14:paraId="1894A7F0" w14:textId="77777777" w:rsidR="008A4F6F" w:rsidRDefault="008A4F6F" w:rsidP="008A4F6F">
            <w:r>
              <w:t>Dan Boucher</w:t>
            </w:r>
          </w:p>
        </w:tc>
        <w:tc>
          <w:tcPr>
            <w:tcW w:w="3117" w:type="dxa"/>
          </w:tcPr>
          <w:p w14:paraId="19FB5195" w14:textId="77777777" w:rsidR="008A4F6F" w:rsidRPr="0088454B" w:rsidRDefault="008A4F6F" w:rsidP="008A4F6F">
            <w:r w:rsidRPr="0088454B">
              <w:t>Northern Ontario Wires Inc.</w:t>
            </w:r>
            <w:r>
              <w:t>, President &amp; CEO</w:t>
            </w:r>
          </w:p>
        </w:tc>
        <w:tc>
          <w:tcPr>
            <w:tcW w:w="3117" w:type="dxa"/>
          </w:tcPr>
          <w:p w14:paraId="5975837A" w14:textId="77777777" w:rsidR="008A4F6F" w:rsidRDefault="00C37906" w:rsidP="008A4F6F">
            <w:r>
              <w:t>Distributor</w:t>
            </w:r>
          </w:p>
        </w:tc>
      </w:tr>
      <w:tr w:rsidR="008A4F6F" w14:paraId="7205C587" w14:textId="77777777" w:rsidTr="00D406B9">
        <w:tc>
          <w:tcPr>
            <w:tcW w:w="3116" w:type="dxa"/>
          </w:tcPr>
          <w:p w14:paraId="5261A4E8" w14:textId="77777777" w:rsidR="008A4F6F" w:rsidRDefault="008A4F6F" w:rsidP="008A4F6F">
            <w:r>
              <w:t xml:space="preserve">Dominic </w:t>
            </w:r>
            <w:r w:rsidR="00121C62">
              <w:t>Parrella</w:t>
            </w:r>
          </w:p>
        </w:tc>
        <w:tc>
          <w:tcPr>
            <w:tcW w:w="3117" w:type="dxa"/>
          </w:tcPr>
          <w:p w14:paraId="07003AD1" w14:textId="77777777" w:rsidR="008A4F6F" w:rsidRPr="0088454B" w:rsidRDefault="008A4F6F" w:rsidP="008A4F6F">
            <w:r w:rsidRPr="0088454B">
              <w:t>PUC Distribution Inc.</w:t>
            </w:r>
            <w:r>
              <w:t>, President &amp; CEO</w:t>
            </w:r>
          </w:p>
        </w:tc>
        <w:tc>
          <w:tcPr>
            <w:tcW w:w="3117" w:type="dxa"/>
          </w:tcPr>
          <w:p w14:paraId="2EDD11EF" w14:textId="77777777" w:rsidR="008A4F6F" w:rsidRDefault="00C37906" w:rsidP="008A4F6F">
            <w:r>
              <w:t>Distributor</w:t>
            </w:r>
          </w:p>
        </w:tc>
      </w:tr>
      <w:tr w:rsidR="008A4F6F" w14:paraId="07132F32" w14:textId="77777777" w:rsidTr="00D406B9">
        <w:tc>
          <w:tcPr>
            <w:tcW w:w="3116" w:type="dxa"/>
          </w:tcPr>
          <w:p w14:paraId="6277C5BA" w14:textId="77777777" w:rsidR="008A4F6F" w:rsidRDefault="008A4F6F" w:rsidP="008A4F6F">
            <w:r>
              <w:t>Duane Orth</w:t>
            </w:r>
          </w:p>
        </w:tc>
        <w:tc>
          <w:tcPr>
            <w:tcW w:w="3117" w:type="dxa"/>
          </w:tcPr>
          <w:p w14:paraId="27E949D0" w14:textId="77777777" w:rsidR="008A4F6F" w:rsidRPr="0088454B" w:rsidRDefault="008A4F6F" w:rsidP="008A4F6F">
            <w:r w:rsidRPr="0088454B">
              <w:t>St. Thomas Energy Inc.</w:t>
            </w:r>
            <w:r>
              <w:t>, Conservation Officer</w:t>
            </w:r>
          </w:p>
        </w:tc>
        <w:tc>
          <w:tcPr>
            <w:tcW w:w="3117" w:type="dxa"/>
          </w:tcPr>
          <w:p w14:paraId="3BC170DA" w14:textId="77777777" w:rsidR="008A4F6F" w:rsidRDefault="00C37906" w:rsidP="008A4F6F">
            <w:r>
              <w:t>Distributor</w:t>
            </w:r>
          </w:p>
        </w:tc>
      </w:tr>
      <w:tr w:rsidR="00D406B9" w14:paraId="66E220DF" w14:textId="77777777" w:rsidTr="002375FE">
        <w:tc>
          <w:tcPr>
            <w:tcW w:w="9350" w:type="dxa"/>
            <w:gridSpan w:val="3"/>
            <w:shd w:val="clear" w:color="auto" w:fill="F2F2F2" w:themeFill="background1" w:themeFillShade="F2"/>
          </w:tcPr>
          <w:p w14:paraId="278CFD67" w14:textId="77777777" w:rsidR="00D406B9" w:rsidRPr="00D406B9" w:rsidRDefault="00D406B9" w:rsidP="00D406B9">
            <w:pPr>
              <w:jc w:val="center"/>
              <w:rPr>
                <w:b/>
              </w:rPr>
            </w:pPr>
            <w:r w:rsidRPr="00D406B9">
              <w:rPr>
                <w:b/>
              </w:rPr>
              <w:t>PROJECT PARTNERS</w:t>
            </w:r>
          </w:p>
        </w:tc>
      </w:tr>
      <w:tr w:rsidR="00D406B9" w14:paraId="38B4B6F9" w14:textId="77777777" w:rsidTr="002375FE">
        <w:tc>
          <w:tcPr>
            <w:tcW w:w="3116" w:type="dxa"/>
            <w:shd w:val="clear" w:color="auto" w:fill="F2F2F2" w:themeFill="background1" w:themeFillShade="F2"/>
          </w:tcPr>
          <w:p w14:paraId="0C13FDA8" w14:textId="77777777" w:rsidR="00D406B9" w:rsidRPr="00D406B9" w:rsidRDefault="00D406B9" w:rsidP="00FE61DD">
            <w:pPr>
              <w:rPr>
                <w:b/>
              </w:rPr>
            </w:pPr>
            <w:r w:rsidRPr="00D406B9">
              <w:rPr>
                <w:b/>
              </w:rPr>
              <w:t>Organization</w:t>
            </w:r>
          </w:p>
        </w:tc>
        <w:tc>
          <w:tcPr>
            <w:tcW w:w="3117" w:type="dxa"/>
            <w:shd w:val="clear" w:color="auto" w:fill="F2F2F2" w:themeFill="background1" w:themeFillShade="F2"/>
          </w:tcPr>
          <w:p w14:paraId="75F6C60F" w14:textId="77777777" w:rsidR="00D406B9" w:rsidRPr="00D406B9" w:rsidRDefault="00D406B9" w:rsidP="00FE61DD">
            <w:pPr>
              <w:rPr>
                <w:b/>
              </w:rPr>
            </w:pPr>
            <w:r w:rsidRPr="00D406B9">
              <w:rPr>
                <w:b/>
              </w:rPr>
              <w:t>Project role</w:t>
            </w:r>
          </w:p>
        </w:tc>
        <w:tc>
          <w:tcPr>
            <w:tcW w:w="3117" w:type="dxa"/>
            <w:shd w:val="clear" w:color="auto" w:fill="F2F2F2" w:themeFill="background1" w:themeFillShade="F2"/>
          </w:tcPr>
          <w:p w14:paraId="171917DA" w14:textId="77777777" w:rsidR="00D406B9" w:rsidRPr="00D406B9" w:rsidRDefault="00F24BA5" w:rsidP="00F24BA5">
            <w:pPr>
              <w:rPr>
                <w:b/>
              </w:rPr>
            </w:pPr>
            <w:r>
              <w:rPr>
                <w:b/>
              </w:rPr>
              <w:t xml:space="preserve">Contribution – Financial, </w:t>
            </w:r>
            <w:r w:rsidR="003D5E02">
              <w:rPr>
                <w:b/>
              </w:rPr>
              <w:t>in-kind</w:t>
            </w:r>
          </w:p>
        </w:tc>
      </w:tr>
      <w:tr w:rsidR="003D5E02" w14:paraId="5F75CED6" w14:textId="77777777" w:rsidTr="00D406B9">
        <w:tc>
          <w:tcPr>
            <w:tcW w:w="3116" w:type="dxa"/>
          </w:tcPr>
          <w:p w14:paraId="07DC51D1" w14:textId="77777777" w:rsidR="003D5E02" w:rsidRPr="00A70709" w:rsidRDefault="003D5E02" w:rsidP="003D5E02">
            <w:r w:rsidRPr="00A70709">
              <w:t>C</w:t>
            </w:r>
            <w:r>
              <w:t>ustomerFirst</w:t>
            </w:r>
          </w:p>
        </w:tc>
        <w:tc>
          <w:tcPr>
            <w:tcW w:w="3117" w:type="dxa"/>
          </w:tcPr>
          <w:p w14:paraId="2A3B6CDC" w14:textId="51595CAD" w:rsidR="003D5E02" w:rsidRDefault="003D5E02" w:rsidP="003D5E02">
            <w:r>
              <w:t xml:space="preserve">Project management, </w:t>
            </w:r>
            <w:r w:rsidR="00D96605">
              <w:t xml:space="preserve">coordinator, administration activities, </w:t>
            </w:r>
            <w:r>
              <w:t>funder</w:t>
            </w:r>
          </w:p>
        </w:tc>
        <w:tc>
          <w:tcPr>
            <w:tcW w:w="3117" w:type="dxa"/>
          </w:tcPr>
          <w:p w14:paraId="44CBF4A9" w14:textId="77777777" w:rsidR="003D5E02" w:rsidRDefault="003D5E02" w:rsidP="003D5E02">
            <w:r>
              <w:t>Financial and in-kind</w:t>
            </w:r>
          </w:p>
        </w:tc>
      </w:tr>
      <w:tr w:rsidR="003D5E02" w14:paraId="081858E1" w14:textId="77777777" w:rsidTr="00D406B9">
        <w:tc>
          <w:tcPr>
            <w:tcW w:w="3116" w:type="dxa"/>
          </w:tcPr>
          <w:p w14:paraId="458CC09B" w14:textId="0CEFEC29" w:rsidR="003D5E02" w:rsidRPr="00A70709" w:rsidRDefault="00773801">
            <w:r w:rsidRPr="00A70709">
              <w:t>Newmarket-Tay Power Di</w:t>
            </w:r>
            <w:r>
              <w:t>stribution Ltd.</w:t>
            </w:r>
          </w:p>
        </w:tc>
        <w:tc>
          <w:tcPr>
            <w:tcW w:w="3117" w:type="dxa"/>
          </w:tcPr>
          <w:p w14:paraId="43C5E47B" w14:textId="77777777" w:rsidR="003D5E02" w:rsidRDefault="00C37906" w:rsidP="003D5E02">
            <w:r>
              <w:t>Distributor</w:t>
            </w:r>
            <w:r w:rsidR="003D5E02">
              <w:t>, funder</w:t>
            </w:r>
          </w:p>
        </w:tc>
        <w:tc>
          <w:tcPr>
            <w:tcW w:w="3117" w:type="dxa"/>
          </w:tcPr>
          <w:p w14:paraId="19DB2B49" w14:textId="77777777" w:rsidR="003D5E02" w:rsidRDefault="003D5E02" w:rsidP="003D5E02">
            <w:r w:rsidRPr="00C120D5">
              <w:t>Financial and in-kind</w:t>
            </w:r>
          </w:p>
        </w:tc>
      </w:tr>
      <w:tr w:rsidR="003D5E02" w14:paraId="55ED41A1" w14:textId="77777777" w:rsidTr="00D406B9">
        <w:tc>
          <w:tcPr>
            <w:tcW w:w="3116" w:type="dxa"/>
          </w:tcPr>
          <w:p w14:paraId="29165C8C" w14:textId="1D6B91FC" w:rsidR="003D5E02" w:rsidRPr="00A70709" w:rsidRDefault="00773801" w:rsidP="003D5E02">
            <w:r w:rsidRPr="00A70709">
              <w:t>Greater Sud</w:t>
            </w:r>
            <w:r>
              <w:t>bury Hydro Inc.</w:t>
            </w:r>
          </w:p>
        </w:tc>
        <w:tc>
          <w:tcPr>
            <w:tcW w:w="3117" w:type="dxa"/>
          </w:tcPr>
          <w:p w14:paraId="59E93229" w14:textId="77777777" w:rsidR="003D5E02" w:rsidRDefault="00C37906" w:rsidP="003D5E02">
            <w:r>
              <w:t>Distributor, funder</w:t>
            </w:r>
          </w:p>
        </w:tc>
        <w:tc>
          <w:tcPr>
            <w:tcW w:w="3117" w:type="dxa"/>
          </w:tcPr>
          <w:p w14:paraId="62363DC9" w14:textId="77777777" w:rsidR="003D5E02" w:rsidRDefault="003D5E02" w:rsidP="003D5E02">
            <w:r w:rsidRPr="00C120D5">
              <w:t>Financial and in-kind</w:t>
            </w:r>
          </w:p>
        </w:tc>
      </w:tr>
      <w:tr w:rsidR="003D5E02" w14:paraId="73712BC2" w14:textId="77777777" w:rsidTr="00D406B9">
        <w:tc>
          <w:tcPr>
            <w:tcW w:w="3116" w:type="dxa"/>
          </w:tcPr>
          <w:p w14:paraId="09FB8FC3" w14:textId="77777777" w:rsidR="003D5E02" w:rsidRPr="00A70709" w:rsidRDefault="003D5E02" w:rsidP="003D5E02">
            <w:r w:rsidRPr="00A70709">
              <w:t>North Bay Hydro Di</w:t>
            </w:r>
            <w:r>
              <w:t>stribution Ltd.</w:t>
            </w:r>
          </w:p>
        </w:tc>
        <w:tc>
          <w:tcPr>
            <w:tcW w:w="3117" w:type="dxa"/>
          </w:tcPr>
          <w:p w14:paraId="12C6F041" w14:textId="77777777" w:rsidR="003D5E02" w:rsidRDefault="00C37906" w:rsidP="003D5E02">
            <w:r>
              <w:t>Distributor, funder</w:t>
            </w:r>
          </w:p>
        </w:tc>
        <w:tc>
          <w:tcPr>
            <w:tcW w:w="3117" w:type="dxa"/>
          </w:tcPr>
          <w:p w14:paraId="74FB9ADE" w14:textId="77777777" w:rsidR="003D5E02" w:rsidRDefault="003D5E02" w:rsidP="003D5E02">
            <w:r w:rsidRPr="00C120D5">
              <w:t>Financial and in-kind</w:t>
            </w:r>
          </w:p>
        </w:tc>
      </w:tr>
      <w:tr w:rsidR="003D5E02" w14:paraId="41AA044E" w14:textId="77777777" w:rsidTr="00D406B9">
        <w:tc>
          <w:tcPr>
            <w:tcW w:w="3116" w:type="dxa"/>
          </w:tcPr>
          <w:p w14:paraId="57A8AE15" w14:textId="77777777" w:rsidR="003D5E02" w:rsidRPr="00A70709" w:rsidRDefault="003D5E02" w:rsidP="003D5E02">
            <w:r w:rsidRPr="00A70709">
              <w:t>Northern Ont</w:t>
            </w:r>
            <w:r>
              <w:t>ario Wires Inc.</w:t>
            </w:r>
          </w:p>
        </w:tc>
        <w:tc>
          <w:tcPr>
            <w:tcW w:w="3117" w:type="dxa"/>
          </w:tcPr>
          <w:p w14:paraId="7D2B3829" w14:textId="77777777" w:rsidR="003D5E02" w:rsidRDefault="00C37906" w:rsidP="003D5E02">
            <w:r>
              <w:t>Distributor, funder</w:t>
            </w:r>
          </w:p>
        </w:tc>
        <w:tc>
          <w:tcPr>
            <w:tcW w:w="3117" w:type="dxa"/>
          </w:tcPr>
          <w:p w14:paraId="7E16899B" w14:textId="77777777" w:rsidR="003D5E02" w:rsidRDefault="003D5E02" w:rsidP="003D5E02">
            <w:r w:rsidRPr="00C120D5">
              <w:t>Financial and in-kind</w:t>
            </w:r>
          </w:p>
        </w:tc>
      </w:tr>
      <w:tr w:rsidR="003D5E02" w14:paraId="474DC577" w14:textId="77777777" w:rsidTr="00D406B9">
        <w:tc>
          <w:tcPr>
            <w:tcW w:w="3116" w:type="dxa"/>
          </w:tcPr>
          <w:p w14:paraId="32740E10" w14:textId="77777777" w:rsidR="003D5E02" w:rsidRPr="00A70709" w:rsidRDefault="003D5E02" w:rsidP="003D5E02">
            <w:r>
              <w:t>PUC Distribution Inc.</w:t>
            </w:r>
          </w:p>
        </w:tc>
        <w:tc>
          <w:tcPr>
            <w:tcW w:w="3117" w:type="dxa"/>
          </w:tcPr>
          <w:p w14:paraId="294C3A9B" w14:textId="77777777" w:rsidR="003D5E02" w:rsidRDefault="00C37906" w:rsidP="003D5E02">
            <w:r>
              <w:t>Distributor, funder</w:t>
            </w:r>
          </w:p>
        </w:tc>
        <w:tc>
          <w:tcPr>
            <w:tcW w:w="3117" w:type="dxa"/>
          </w:tcPr>
          <w:p w14:paraId="6C710806" w14:textId="77777777" w:rsidR="003D5E02" w:rsidRDefault="003D5E02" w:rsidP="003D5E02">
            <w:r w:rsidRPr="00C120D5">
              <w:t>Financial and in-kind</w:t>
            </w:r>
          </w:p>
        </w:tc>
      </w:tr>
      <w:tr w:rsidR="003D5E02" w14:paraId="3D5F1DCC" w14:textId="77777777" w:rsidTr="00D406B9">
        <w:tc>
          <w:tcPr>
            <w:tcW w:w="3116" w:type="dxa"/>
          </w:tcPr>
          <w:p w14:paraId="0D9D46AB" w14:textId="77777777" w:rsidR="003D5E02" w:rsidRDefault="003D5E02" w:rsidP="003D5E02">
            <w:r w:rsidRPr="00A70709">
              <w:t>St. Thomas E</w:t>
            </w:r>
            <w:r>
              <w:t>nergy Inc.</w:t>
            </w:r>
          </w:p>
        </w:tc>
        <w:tc>
          <w:tcPr>
            <w:tcW w:w="3117" w:type="dxa"/>
          </w:tcPr>
          <w:p w14:paraId="65ACB8D4" w14:textId="77777777" w:rsidR="003D5E02" w:rsidRDefault="00C37906" w:rsidP="003D5E02">
            <w:r>
              <w:t>Distributor, funder</w:t>
            </w:r>
          </w:p>
        </w:tc>
        <w:tc>
          <w:tcPr>
            <w:tcW w:w="3117" w:type="dxa"/>
          </w:tcPr>
          <w:p w14:paraId="2E3B8B63" w14:textId="77777777" w:rsidR="003D5E02" w:rsidRDefault="003D5E02" w:rsidP="003D5E02">
            <w:r w:rsidRPr="00C120D5">
              <w:t>Financial and in-kind</w:t>
            </w:r>
          </w:p>
        </w:tc>
      </w:tr>
      <w:tr w:rsidR="003D5E02" w14:paraId="36FF6E31" w14:textId="77777777" w:rsidTr="00D406B9">
        <w:tc>
          <w:tcPr>
            <w:tcW w:w="3116" w:type="dxa"/>
          </w:tcPr>
          <w:p w14:paraId="0506E3DE" w14:textId="77777777" w:rsidR="003D5E02" w:rsidRDefault="003D5E02" w:rsidP="003D5E02">
            <w:r w:rsidRPr="00141940">
              <w:t>Espanola Regional Hydro Distribution Corporation</w:t>
            </w:r>
          </w:p>
        </w:tc>
        <w:tc>
          <w:tcPr>
            <w:tcW w:w="3117" w:type="dxa"/>
          </w:tcPr>
          <w:p w14:paraId="74607D6F" w14:textId="77777777" w:rsidR="003D5E02" w:rsidRDefault="00C37906" w:rsidP="003D5E02">
            <w:r>
              <w:t>Distributor, funder</w:t>
            </w:r>
          </w:p>
        </w:tc>
        <w:tc>
          <w:tcPr>
            <w:tcW w:w="3117" w:type="dxa"/>
          </w:tcPr>
          <w:p w14:paraId="34B8F799" w14:textId="77777777" w:rsidR="003D5E02" w:rsidRDefault="003D5E02" w:rsidP="003D5E02">
            <w:r w:rsidRPr="00C120D5">
              <w:t>Financial and in-kind</w:t>
            </w:r>
          </w:p>
        </w:tc>
      </w:tr>
      <w:tr w:rsidR="003D5E02" w14:paraId="7A4425A0" w14:textId="77777777" w:rsidTr="00D406B9">
        <w:tc>
          <w:tcPr>
            <w:tcW w:w="3116" w:type="dxa"/>
          </w:tcPr>
          <w:p w14:paraId="00331DD4" w14:textId="77777777" w:rsidR="003D5E02" w:rsidRDefault="003D5E02" w:rsidP="00FE61DD">
            <w:r>
              <w:t>TBD</w:t>
            </w:r>
          </w:p>
        </w:tc>
        <w:tc>
          <w:tcPr>
            <w:tcW w:w="3117" w:type="dxa"/>
          </w:tcPr>
          <w:p w14:paraId="440C0131" w14:textId="77777777" w:rsidR="003D5E02" w:rsidRDefault="003D5E02" w:rsidP="00FE61DD">
            <w:r>
              <w:t>TBD</w:t>
            </w:r>
          </w:p>
        </w:tc>
        <w:tc>
          <w:tcPr>
            <w:tcW w:w="3117" w:type="dxa"/>
          </w:tcPr>
          <w:p w14:paraId="1B9690F7" w14:textId="77777777" w:rsidR="003D5E02" w:rsidRDefault="003D5E02" w:rsidP="00FE61DD">
            <w:r>
              <w:t>EM&amp;V</w:t>
            </w:r>
          </w:p>
        </w:tc>
      </w:tr>
    </w:tbl>
    <w:p w14:paraId="6B48CE12" w14:textId="77777777" w:rsidR="008A4F6F" w:rsidRDefault="008A4F6F" w:rsidP="00FE61DD"/>
    <w:sectPr w:rsidR="008A4F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38BC5" w14:textId="77777777" w:rsidR="001A5261" w:rsidRDefault="001A5261" w:rsidP="00D406B9">
      <w:pPr>
        <w:spacing w:after="0" w:line="240" w:lineRule="auto"/>
      </w:pPr>
      <w:r>
        <w:separator/>
      </w:r>
    </w:p>
  </w:endnote>
  <w:endnote w:type="continuationSeparator" w:id="0">
    <w:p w14:paraId="11B232E4" w14:textId="77777777" w:rsidR="001A5261" w:rsidRDefault="001A5261" w:rsidP="00D4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9E5E" w14:textId="77777777" w:rsidR="00344461" w:rsidRDefault="00344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17613"/>
      <w:docPartObj>
        <w:docPartGallery w:val="Page Numbers (Bottom of Page)"/>
        <w:docPartUnique/>
      </w:docPartObj>
    </w:sdtPr>
    <w:sdtEndPr>
      <w:rPr>
        <w:noProof/>
      </w:rPr>
    </w:sdtEndPr>
    <w:sdtContent>
      <w:p w14:paraId="400EA2BC" w14:textId="77777777" w:rsidR="00344461" w:rsidRDefault="00344461">
        <w:pPr>
          <w:pStyle w:val="Footer"/>
          <w:jc w:val="right"/>
        </w:pPr>
        <w:r>
          <w:fldChar w:fldCharType="begin"/>
        </w:r>
        <w:r>
          <w:instrText xml:space="preserve"> PAGE   \* MERGEFORMAT </w:instrText>
        </w:r>
        <w:r>
          <w:fldChar w:fldCharType="separate"/>
        </w:r>
        <w:r w:rsidR="001321A9">
          <w:rPr>
            <w:noProof/>
          </w:rPr>
          <w:t>2</w:t>
        </w:r>
        <w:r>
          <w:rPr>
            <w:noProof/>
          </w:rPr>
          <w:fldChar w:fldCharType="end"/>
        </w:r>
      </w:p>
    </w:sdtContent>
  </w:sdt>
  <w:p w14:paraId="0C85D3C7" w14:textId="77777777" w:rsidR="00344461" w:rsidRDefault="003444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9063" w14:textId="77777777" w:rsidR="00344461" w:rsidRDefault="00344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5DD7D" w14:textId="77777777" w:rsidR="001A5261" w:rsidRDefault="001A5261" w:rsidP="00D406B9">
      <w:pPr>
        <w:spacing w:after="0" w:line="240" w:lineRule="auto"/>
      </w:pPr>
      <w:r>
        <w:separator/>
      </w:r>
    </w:p>
  </w:footnote>
  <w:footnote w:type="continuationSeparator" w:id="0">
    <w:p w14:paraId="163611F9" w14:textId="77777777" w:rsidR="001A5261" w:rsidRDefault="001A5261" w:rsidP="00D40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8A448" w14:textId="77777777" w:rsidR="00344461" w:rsidRDefault="003444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60FE6" w14:textId="2C2C54C9" w:rsidR="00344461" w:rsidRDefault="003444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61F65" w14:textId="77777777" w:rsidR="00344461" w:rsidRDefault="003444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777F"/>
    <w:multiLevelType w:val="multilevel"/>
    <w:tmpl w:val="9EE8AFE8"/>
    <w:lvl w:ilvl="0">
      <w:start w:val="1"/>
      <w:numFmt w:val="decimal"/>
      <w:lvlText w:val="%1."/>
      <w:lvlJc w:val="left"/>
      <w:pPr>
        <w:tabs>
          <w:tab w:val="left" w:pos="288"/>
        </w:tabs>
        <w:ind w:left="720"/>
      </w:pPr>
      <w:rPr>
        <w:rFonts w:asciiTheme="minorHAnsi" w:eastAsia="Tahoma" w:hAnsiTheme="minorHAnsi" w:hint="default"/>
        <w:b w:val="0"/>
        <w:strike w:val="0"/>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344D1"/>
    <w:multiLevelType w:val="hybridMultilevel"/>
    <w:tmpl w:val="740C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84BF3"/>
    <w:multiLevelType w:val="hybridMultilevel"/>
    <w:tmpl w:val="F488BD7C"/>
    <w:lvl w:ilvl="0" w:tplc="B810E33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B665B0"/>
    <w:multiLevelType w:val="hybridMultilevel"/>
    <w:tmpl w:val="D2F234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F2405B"/>
    <w:multiLevelType w:val="hybridMultilevel"/>
    <w:tmpl w:val="2AE016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6C5D53"/>
    <w:multiLevelType w:val="hybridMultilevel"/>
    <w:tmpl w:val="19F67C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B3B76"/>
    <w:multiLevelType w:val="hybridMultilevel"/>
    <w:tmpl w:val="9F060F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B7086F"/>
    <w:multiLevelType w:val="hybridMultilevel"/>
    <w:tmpl w:val="411AFE9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5C64E8D"/>
    <w:multiLevelType w:val="hybridMultilevel"/>
    <w:tmpl w:val="673024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2B5CD5"/>
    <w:multiLevelType w:val="hybridMultilevel"/>
    <w:tmpl w:val="284435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4A22DB"/>
    <w:multiLevelType w:val="hybridMultilevel"/>
    <w:tmpl w:val="BC9E9CE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1A835B6"/>
    <w:multiLevelType w:val="hybridMultilevel"/>
    <w:tmpl w:val="704A6A4E"/>
    <w:lvl w:ilvl="0" w:tplc="1CECD07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111314"/>
    <w:multiLevelType w:val="hybridMultilevel"/>
    <w:tmpl w:val="0F046B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B863353"/>
    <w:multiLevelType w:val="hybridMultilevel"/>
    <w:tmpl w:val="5400FA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7D3938"/>
    <w:multiLevelType w:val="hybridMultilevel"/>
    <w:tmpl w:val="8CB6BA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4D621F"/>
    <w:multiLevelType w:val="hybridMultilevel"/>
    <w:tmpl w:val="3732F64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163394F"/>
    <w:multiLevelType w:val="hybridMultilevel"/>
    <w:tmpl w:val="A456E3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E26A96"/>
    <w:multiLevelType w:val="hybridMultilevel"/>
    <w:tmpl w:val="895AC5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F606565"/>
    <w:multiLevelType w:val="hybridMultilevel"/>
    <w:tmpl w:val="39C0E7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20122A"/>
    <w:multiLevelType w:val="hybridMultilevel"/>
    <w:tmpl w:val="FBB60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952D1"/>
    <w:multiLevelType w:val="hybridMultilevel"/>
    <w:tmpl w:val="C35C26BA"/>
    <w:lvl w:ilvl="0" w:tplc="EDF8F80E">
      <w:start w:val="1"/>
      <w:numFmt w:val="bullet"/>
      <w:lvlText w:val=""/>
      <w:lvlJc w:val="left"/>
      <w:pPr>
        <w:ind w:left="76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597448"/>
    <w:multiLevelType w:val="hybridMultilevel"/>
    <w:tmpl w:val="85BAC6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20"/>
  </w:num>
  <w:num w:numId="4">
    <w:abstractNumId w:val="10"/>
  </w:num>
  <w:num w:numId="5">
    <w:abstractNumId w:val="5"/>
  </w:num>
  <w:num w:numId="6">
    <w:abstractNumId w:val="12"/>
  </w:num>
  <w:num w:numId="7">
    <w:abstractNumId w:val="11"/>
  </w:num>
  <w:num w:numId="8">
    <w:abstractNumId w:val="19"/>
  </w:num>
  <w:num w:numId="9">
    <w:abstractNumId w:val="1"/>
  </w:num>
  <w:num w:numId="10">
    <w:abstractNumId w:val="13"/>
  </w:num>
  <w:num w:numId="11">
    <w:abstractNumId w:val="21"/>
  </w:num>
  <w:num w:numId="12">
    <w:abstractNumId w:val="0"/>
  </w:num>
  <w:num w:numId="13">
    <w:abstractNumId w:val="2"/>
  </w:num>
  <w:num w:numId="14">
    <w:abstractNumId w:val="14"/>
  </w:num>
  <w:num w:numId="15">
    <w:abstractNumId w:val="6"/>
  </w:num>
  <w:num w:numId="16">
    <w:abstractNumId w:val="17"/>
  </w:num>
  <w:num w:numId="17">
    <w:abstractNumId w:val="9"/>
  </w:num>
  <w:num w:numId="18">
    <w:abstractNumId w:val="4"/>
  </w:num>
  <w:num w:numId="19">
    <w:abstractNumId w:val="18"/>
  </w:num>
  <w:num w:numId="20">
    <w:abstractNumId w:val="3"/>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82"/>
    <w:rsid w:val="00000ECC"/>
    <w:rsid w:val="0002391E"/>
    <w:rsid w:val="00035731"/>
    <w:rsid w:val="00040000"/>
    <w:rsid w:val="000446DA"/>
    <w:rsid w:val="000D7631"/>
    <w:rsid w:val="00120D12"/>
    <w:rsid w:val="00121C62"/>
    <w:rsid w:val="001321A9"/>
    <w:rsid w:val="00157437"/>
    <w:rsid w:val="00162BC8"/>
    <w:rsid w:val="00162D96"/>
    <w:rsid w:val="0017555F"/>
    <w:rsid w:val="00191565"/>
    <w:rsid w:val="001A5261"/>
    <w:rsid w:val="002375FE"/>
    <w:rsid w:val="002432E8"/>
    <w:rsid w:val="002576B1"/>
    <w:rsid w:val="002933D0"/>
    <w:rsid w:val="002E5982"/>
    <w:rsid w:val="0031646E"/>
    <w:rsid w:val="00344461"/>
    <w:rsid w:val="0035486D"/>
    <w:rsid w:val="00363136"/>
    <w:rsid w:val="00387434"/>
    <w:rsid w:val="003A7B6D"/>
    <w:rsid w:val="003B5DE6"/>
    <w:rsid w:val="003B7A50"/>
    <w:rsid w:val="003D5353"/>
    <w:rsid w:val="003D5E02"/>
    <w:rsid w:val="003E3867"/>
    <w:rsid w:val="003E62AE"/>
    <w:rsid w:val="003F2AFC"/>
    <w:rsid w:val="003F2F6F"/>
    <w:rsid w:val="004063E2"/>
    <w:rsid w:val="0040783F"/>
    <w:rsid w:val="004737EA"/>
    <w:rsid w:val="00491631"/>
    <w:rsid w:val="004E23D4"/>
    <w:rsid w:val="0052004D"/>
    <w:rsid w:val="00537139"/>
    <w:rsid w:val="005639A5"/>
    <w:rsid w:val="00566080"/>
    <w:rsid w:val="005706DF"/>
    <w:rsid w:val="00570BB1"/>
    <w:rsid w:val="0059567A"/>
    <w:rsid w:val="006303B0"/>
    <w:rsid w:val="006963B0"/>
    <w:rsid w:val="006C78E7"/>
    <w:rsid w:val="006D4454"/>
    <w:rsid w:val="00721948"/>
    <w:rsid w:val="00723BFA"/>
    <w:rsid w:val="00733010"/>
    <w:rsid w:val="0076156E"/>
    <w:rsid w:val="00773801"/>
    <w:rsid w:val="007B3943"/>
    <w:rsid w:val="007C4272"/>
    <w:rsid w:val="007D0D0A"/>
    <w:rsid w:val="007D69A6"/>
    <w:rsid w:val="00805647"/>
    <w:rsid w:val="00806F22"/>
    <w:rsid w:val="00827511"/>
    <w:rsid w:val="00833242"/>
    <w:rsid w:val="008A4F6F"/>
    <w:rsid w:val="008F143E"/>
    <w:rsid w:val="00915DD3"/>
    <w:rsid w:val="00935055"/>
    <w:rsid w:val="00956E0D"/>
    <w:rsid w:val="00957A75"/>
    <w:rsid w:val="009E2624"/>
    <w:rsid w:val="009E79D3"/>
    <w:rsid w:val="00A662C5"/>
    <w:rsid w:val="00A746E4"/>
    <w:rsid w:val="00A86A5D"/>
    <w:rsid w:val="00AA2219"/>
    <w:rsid w:val="00AA5355"/>
    <w:rsid w:val="00AA629D"/>
    <w:rsid w:val="00AB37BE"/>
    <w:rsid w:val="00AE48BB"/>
    <w:rsid w:val="00B01465"/>
    <w:rsid w:val="00B778D7"/>
    <w:rsid w:val="00B876EF"/>
    <w:rsid w:val="00BE0EC9"/>
    <w:rsid w:val="00C06A6C"/>
    <w:rsid w:val="00C07EF7"/>
    <w:rsid w:val="00C10DEC"/>
    <w:rsid w:val="00C37906"/>
    <w:rsid w:val="00C52326"/>
    <w:rsid w:val="00CB3BA8"/>
    <w:rsid w:val="00CD06D4"/>
    <w:rsid w:val="00CE13DC"/>
    <w:rsid w:val="00D12F10"/>
    <w:rsid w:val="00D406B9"/>
    <w:rsid w:val="00D55DED"/>
    <w:rsid w:val="00D96605"/>
    <w:rsid w:val="00DA48BC"/>
    <w:rsid w:val="00DB3E7F"/>
    <w:rsid w:val="00DB6D24"/>
    <w:rsid w:val="00DC3D9B"/>
    <w:rsid w:val="00DC7CBD"/>
    <w:rsid w:val="00DF5680"/>
    <w:rsid w:val="00E170EA"/>
    <w:rsid w:val="00E20CF4"/>
    <w:rsid w:val="00E56D38"/>
    <w:rsid w:val="00E65F20"/>
    <w:rsid w:val="00F002A5"/>
    <w:rsid w:val="00F10127"/>
    <w:rsid w:val="00F12CE5"/>
    <w:rsid w:val="00F24BA5"/>
    <w:rsid w:val="00F34FED"/>
    <w:rsid w:val="00F42016"/>
    <w:rsid w:val="00F46235"/>
    <w:rsid w:val="00F5303B"/>
    <w:rsid w:val="00F71615"/>
    <w:rsid w:val="00F87C11"/>
    <w:rsid w:val="00FB28C1"/>
    <w:rsid w:val="00FD5794"/>
    <w:rsid w:val="00FE4555"/>
    <w:rsid w:val="00FE61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97210"/>
  <w15:docId w15:val="{2CD370B1-09BE-4D33-AC2C-6604C759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5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06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3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F2A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F2A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982"/>
    <w:pPr>
      <w:ind w:left="720"/>
      <w:contextualSpacing/>
    </w:pPr>
  </w:style>
  <w:style w:type="character" w:styleId="Hyperlink">
    <w:name w:val="Hyperlink"/>
    <w:basedOn w:val="DefaultParagraphFont"/>
    <w:uiPriority w:val="99"/>
    <w:unhideWhenUsed/>
    <w:rsid w:val="002E5982"/>
    <w:rPr>
      <w:color w:val="0563C1" w:themeColor="hyperlink"/>
      <w:u w:val="single"/>
    </w:rPr>
  </w:style>
  <w:style w:type="character" w:customStyle="1" w:styleId="Heading1Char">
    <w:name w:val="Heading 1 Char"/>
    <w:basedOn w:val="DefaultParagraphFont"/>
    <w:link w:val="Heading1"/>
    <w:uiPriority w:val="9"/>
    <w:rsid w:val="002E59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706D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40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6B9"/>
  </w:style>
  <w:style w:type="paragraph" w:styleId="Footer">
    <w:name w:val="footer"/>
    <w:basedOn w:val="Normal"/>
    <w:link w:val="FooterChar"/>
    <w:uiPriority w:val="99"/>
    <w:unhideWhenUsed/>
    <w:rsid w:val="00D40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6B9"/>
  </w:style>
  <w:style w:type="paragraph" w:styleId="FootnoteText">
    <w:name w:val="footnote text"/>
    <w:basedOn w:val="Normal"/>
    <w:link w:val="FootnoteTextChar"/>
    <w:uiPriority w:val="99"/>
    <w:semiHidden/>
    <w:unhideWhenUsed/>
    <w:rsid w:val="00035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731"/>
    <w:rPr>
      <w:sz w:val="20"/>
      <w:szCs w:val="20"/>
    </w:rPr>
  </w:style>
  <w:style w:type="character" w:styleId="FootnoteReference">
    <w:name w:val="footnote reference"/>
    <w:basedOn w:val="DefaultParagraphFont"/>
    <w:uiPriority w:val="99"/>
    <w:semiHidden/>
    <w:unhideWhenUsed/>
    <w:rsid w:val="00035731"/>
    <w:rPr>
      <w:vertAlign w:val="superscript"/>
    </w:rPr>
  </w:style>
  <w:style w:type="character" w:customStyle="1" w:styleId="Heading3Char">
    <w:name w:val="Heading 3 Char"/>
    <w:basedOn w:val="DefaultParagraphFont"/>
    <w:link w:val="Heading3"/>
    <w:uiPriority w:val="9"/>
    <w:rsid w:val="004737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F2AF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F2A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157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37"/>
    <w:rPr>
      <w:rFonts w:ascii="Tahoma" w:hAnsi="Tahoma" w:cs="Tahoma"/>
      <w:sz w:val="16"/>
      <w:szCs w:val="16"/>
    </w:rPr>
  </w:style>
  <w:style w:type="character" w:styleId="CommentReference">
    <w:name w:val="annotation reference"/>
    <w:basedOn w:val="DefaultParagraphFont"/>
    <w:uiPriority w:val="99"/>
    <w:semiHidden/>
    <w:unhideWhenUsed/>
    <w:rsid w:val="00157437"/>
    <w:rPr>
      <w:sz w:val="16"/>
      <w:szCs w:val="16"/>
    </w:rPr>
  </w:style>
  <w:style w:type="paragraph" w:styleId="CommentText">
    <w:name w:val="annotation text"/>
    <w:basedOn w:val="Normal"/>
    <w:link w:val="CommentTextChar"/>
    <w:uiPriority w:val="99"/>
    <w:semiHidden/>
    <w:unhideWhenUsed/>
    <w:rsid w:val="00157437"/>
    <w:pPr>
      <w:spacing w:line="240" w:lineRule="auto"/>
    </w:pPr>
    <w:rPr>
      <w:sz w:val="20"/>
      <w:szCs w:val="20"/>
    </w:rPr>
  </w:style>
  <w:style w:type="character" w:customStyle="1" w:styleId="CommentTextChar">
    <w:name w:val="Comment Text Char"/>
    <w:basedOn w:val="DefaultParagraphFont"/>
    <w:link w:val="CommentText"/>
    <w:uiPriority w:val="99"/>
    <w:semiHidden/>
    <w:rsid w:val="00157437"/>
    <w:rPr>
      <w:sz w:val="20"/>
      <w:szCs w:val="20"/>
    </w:rPr>
  </w:style>
  <w:style w:type="paragraph" w:styleId="CommentSubject">
    <w:name w:val="annotation subject"/>
    <w:basedOn w:val="CommentText"/>
    <w:next w:val="CommentText"/>
    <w:link w:val="CommentSubjectChar"/>
    <w:uiPriority w:val="99"/>
    <w:semiHidden/>
    <w:unhideWhenUsed/>
    <w:rsid w:val="00157437"/>
    <w:rPr>
      <w:b/>
      <w:bCs/>
    </w:rPr>
  </w:style>
  <w:style w:type="character" w:customStyle="1" w:styleId="CommentSubjectChar">
    <w:name w:val="Comment Subject Char"/>
    <w:basedOn w:val="CommentTextChar"/>
    <w:link w:val="CommentSubject"/>
    <w:uiPriority w:val="99"/>
    <w:semiHidden/>
    <w:rsid w:val="00157437"/>
    <w:rPr>
      <w:b/>
      <w:bCs/>
      <w:sz w:val="20"/>
      <w:szCs w:val="20"/>
    </w:rPr>
  </w:style>
  <w:style w:type="paragraph" w:styleId="Revision">
    <w:name w:val="Revision"/>
    <w:hidden/>
    <w:uiPriority w:val="99"/>
    <w:semiHidden/>
    <w:rsid w:val="00040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rker@customerfirstin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1FED-FF6C-4570-961F-C87F34A8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Barker</dc:creator>
  <cp:keywords/>
  <dc:description/>
  <cp:lastModifiedBy>Chris Barker</cp:lastModifiedBy>
  <cp:revision>6</cp:revision>
  <cp:lastPrinted>2016-08-19T17:18:00Z</cp:lastPrinted>
  <dcterms:created xsi:type="dcterms:W3CDTF">2016-08-19T17:17:00Z</dcterms:created>
  <dcterms:modified xsi:type="dcterms:W3CDTF">2016-08-19T17:32:00Z</dcterms:modified>
</cp:coreProperties>
</file>