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DCE" w:rsidRPr="009243B8" w:rsidRDefault="00CC2DCE" w:rsidP="007D30CB">
      <w:pPr>
        <w:tabs>
          <w:tab w:val="left" w:pos="6543"/>
          <w:tab w:val="left" w:pos="7765"/>
        </w:tabs>
        <w:rPr>
          <w:rFonts w:ascii="Arial" w:hAnsi="Arial"/>
          <w:color w:val="000000"/>
          <w:sz w:val="28"/>
          <w:szCs w:val="28"/>
        </w:rPr>
      </w:pPr>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14090C" w:rsidRDefault="0014090C"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bCs/>
          <w:sz w:val="18"/>
          <w:szCs w:val="18"/>
        </w:rPr>
        <w:t xml:space="preserve">This classification refers to an account taking electricity at 750 volts or less where the electricity is used exclusively in a separately metered living accommodation.  Customers shall be residing in single-dwelling units that consist of a detached house or one unit of a semi-detached, duplex, triplex or </w:t>
      </w:r>
      <w:proofErr w:type="spellStart"/>
      <w:r w:rsidRPr="00B326DB">
        <w:rPr>
          <w:rFonts w:ascii="Arial" w:hAnsi="Arial" w:cs="Arial"/>
          <w:bCs/>
          <w:sz w:val="18"/>
          <w:szCs w:val="18"/>
        </w:rPr>
        <w:t>quadruplex</w:t>
      </w:r>
      <w:proofErr w:type="spellEnd"/>
      <w:r w:rsidRPr="00B326DB">
        <w:rPr>
          <w:rFonts w:ascii="Arial" w:hAnsi="Arial" w:cs="Arial"/>
          <w:bCs/>
          <w:sz w:val="18"/>
          <w:szCs w:val="18"/>
        </w:rPr>
        <w:t xml:space="preserve"> house, with a residential zoning. Separately metered dwellings within a town house complex or apartment building also qualify as residential customers.</w:t>
      </w:r>
      <w:r>
        <w:rPr>
          <w:rFonts w:ascii="Arial" w:hAnsi="Arial" w:cs="Arial"/>
          <w:bCs/>
          <w:sz w:val="18"/>
          <w:szCs w:val="18"/>
        </w:rPr>
        <w:t xml:space="preserve"> </w:t>
      </w:r>
      <w:r w:rsidRPr="00B326DB">
        <w:rPr>
          <w:rFonts w:ascii="Arial" w:hAnsi="Arial" w:cs="Arial"/>
          <w:bCs/>
          <w:sz w:val="18"/>
          <w:szCs w:val="18"/>
        </w:rPr>
        <w:t xml:space="preserve">Multi-unit residential establishments such as apartment buildings supplied through one service (bulk metered) shall be classified as general service. </w:t>
      </w:r>
      <w:r w:rsidRPr="00157CE1">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AF3B61" w:rsidRDefault="00AF3B61" w:rsidP="00AF3B61">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b/>
          <w:color w:val="000000"/>
          <w:sz w:val="18"/>
          <w:szCs w:val="18"/>
        </w:rPr>
      </w:pPr>
    </w:p>
    <w:p w:rsidR="00CC2DCE" w:rsidRDefault="00CC2DCE" w:rsidP="00157CE1">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A91514" w:rsidRDefault="00A91514" w:rsidP="00157CE1">
      <w:pPr>
        <w:jc w:val="both"/>
        <w:rPr>
          <w:rFonts w:ascii="Arial" w:hAnsi="Arial"/>
          <w:b/>
          <w:color w:val="000000"/>
          <w:sz w:val="20"/>
          <w:szCs w:val="20"/>
        </w:rPr>
      </w:pPr>
    </w:p>
    <w:tbl>
      <w:tblPr>
        <w:tblW w:w="9736" w:type="dxa"/>
        <w:tblLayout w:type="fixed"/>
        <w:tblLook w:val="04A0" w:firstRow="1" w:lastRow="0" w:firstColumn="1" w:lastColumn="0" w:noHBand="0" w:noVBand="1"/>
      </w:tblPr>
      <w:tblGrid>
        <w:gridCol w:w="7488"/>
        <w:gridCol w:w="90"/>
        <w:gridCol w:w="180"/>
        <w:gridCol w:w="56"/>
        <w:gridCol w:w="754"/>
        <w:gridCol w:w="90"/>
        <w:gridCol w:w="270"/>
        <w:gridCol w:w="630"/>
        <w:gridCol w:w="90"/>
        <w:gridCol w:w="88"/>
      </w:tblGrid>
      <w:tr w:rsidR="00A91514" w:rsidRPr="00A91514" w:rsidTr="00085C80">
        <w:trPr>
          <w:gridAfter w:val="2"/>
          <w:wAfter w:w="178" w:type="dxa"/>
          <w:trHeight w:val="180"/>
        </w:trPr>
        <w:tc>
          <w:tcPr>
            <w:tcW w:w="7488" w:type="dxa"/>
            <w:tcBorders>
              <w:top w:val="nil"/>
              <w:left w:val="nil"/>
              <w:bottom w:val="nil"/>
              <w:right w:val="nil"/>
            </w:tcBorders>
            <w:shd w:val="clear" w:color="000000" w:fill="FFFFFF"/>
            <w:hideMark/>
          </w:tcPr>
          <w:p w:rsidR="00A91514" w:rsidRPr="00A91514" w:rsidRDefault="00A91514" w:rsidP="00A91514">
            <w:pPr>
              <w:tabs>
                <w:tab w:val="left" w:pos="6543"/>
                <w:tab w:val="left" w:pos="7765"/>
              </w:tabs>
              <w:rPr>
                <w:rFonts w:ascii="Arial" w:hAnsi="Arial"/>
                <w:color w:val="000000"/>
                <w:sz w:val="16"/>
                <w:szCs w:val="16"/>
              </w:rPr>
            </w:pPr>
            <w:r w:rsidRPr="00A91514">
              <w:rPr>
                <w:rFonts w:ascii="Arial" w:hAnsi="Arial"/>
                <w:color w:val="000000"/>
                <w:sz w:val="16"/>
                <w:szCs w:val="16"/>
              </w:rPr>
              <w:t>Service Charge</w:t>
            </w:r>
          </w:p>
        </w:tc>
        <w:tc>
          <w:tcPr>
            <w:tcW w:w="270" w:type="dxa"/>
            <w:gridSpan w:val="2"/>
            <w:tcBorders>
              <w:top w:val="nil"/>
              <w:left w:val="nil"/>
              <w:bottom w:val="nil"/>
              <w:right w:val="nil"/>
            </w:tcBorders>
            <w:shd w:val="clear" w:color="000000" w:fill="FFFFFF"/>
            <w:hideMark/>
          </w:tcPr>
          <w:p w:rsidR="00A91514" w:rsidRPr="00A91514" w:rsidRDefault="00A91514" w:rsidP="00A91514">
            <w:pPr>
              <w:tabs>
                <w:tab w:val="left" w:pos="6543"/>
                <w:tab w:val="left" w:pos="7765"/>
              </w:tabs>
              <w:rPr>
                <w:rFonts w:ascii="Arial" w:hAnsi="Arial"/>
                <w:color w:val="000000"/>
                <w:sz w:val="16"/>
                <w:szCs w:val="16"/>
              </w:rPr>
            </w:pPr>
            <w:r w:rsidRPr="00A91514">
              <w:rPr>
                <w:rFonts w:ascii="Arial" w:hAnsi="Arial"/>
                <w:color w:val="000000"/>
                <w:sz w:val="16"/>
                <w:szCs w:val="16"/>
              </w:rPr>
              <w:t> </w:t>
            </w:r>
          </w:p>
        </w:tc>
        <w:tc>
          <w:tcPr>
            <w:tcW w:w="900" w:type="dxa"/>
            <w:gridSpan w:val="3"/>
            <w:tcBorders>
              <w:top w:val="nil"/>
              <w:left w:val="nil"/>
              <w:bottom w:val="nil"/>
              <w:right w:val="nil"/>
            </w:tcBorders>
            <w:shd w:val="clear" w:color="000000" w:fill="FFFFFF"/>
            <w:noWrap/>
            <w:hideMark/>
          </w:tcPr>
          <w:p w:rsidR="00A91514" w:rsidRPr="00A91514" w:rsidRDefault="00085C80" w:rsidP="00A91514">
            <w:pPr>
              <w:tabs>
                <w:tab w:val="left" w:pos="6543"/>
                <w:tab w:val="left" w:pos="7765"/>
              </w:tabs>
              <w:rPr>
                <w:rFonts w:ascii="Arial" w:hAnsi="Arial"/>
                <w:color w:val="000000"/>
                <w:sz w:val="16"/>
                <w:szCs w:val="16"/>
              </w:rPr>
            </w:pPr>
            <w:r>
              <w:rPr>
                <w:rFonts w:ascii="Arial" w:hAnsi="Arial"/>
                <w:color w:val="000000"/>
                <w:sz w:val="16"/>
                <w:szCs w:val="16"/>
              </w:rPr>
              <w:t xml:space="preserve">  </w:t>
            </w:r>
            <w:r w:rsidR="00A91514" w:rsidRPr="00A91514">
              <w:rPr>
                <w:rFonts w:ascii="Arial" w:hAnsi="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tabs>
                <w:tab w:val="left" w:pos="6543"/>
                <w:tab w:val="left" w:pos="7765"/>
              </w:tabs>
              <w:jc w:val="right"/>
              <w:rPr>
                <w:rFonts w:ascii="Arial" w:hAnsi="Arial"/>
                <w:color w:val="000000"/>
                <w:sz w:val="16"/>
                <w:szCs w:val="16"/>
              </w:rPr>
            </w:pPr>
            <w:r w:rsidRPr="00A91514">
              <w:rPr>
                <w:rFonts w:ascii="Arial" w:hAnsi="Arial"/>
                <w:color w:val="000000"/>
                <w:sz w:val="16"/>
                <w:szCs w:val="16"/>
              </w:rPr>
              <w:t>13.92</w:t>
            </w:r>
          </w:p>
        </w:tc>
      </w:tr>
      <w:tr w:rsidR="00A91514" w:rsidRPr="00A91514" w:rsidTr="00085C80">
        <w:trPr>
          <w:gridAfter w:val="2"/>
          <w:wAfter w:w="178" w:type="dxa"/>
          <w:trHeight w:val="180"/>
        </w:trPr>
        <w:tc>
          <w:tcPr>
            <w:tcW w:w="7758" w:type="dxa"/>
            <w:gridSpan w:val="3"/>
            <w:tcBorders>
              <w:top w:val="nil"/>
              <w:left w:val="nil"/>
              <w:bottom w:val="nil"/>
              <w:right w:val="nil"/>
            </w:tcBorders>
            <w:shd w:val="clear" w:color="000000" w:fill="FFFFFF"/>
            <w:hideMark/>
          </w:tcPr>
          <w:p w:rsidR="00A91514" w:rsidRPr="00A91514" w:rsidRDefault="00A91514" w:rsidP="00A91514">
            <w:pPr>
              <w:tabs>
                <w:tab w:val="left" w:pos="6543"/>
                <w:tab w:val="left" w:pos="7765"/>
              </w:tabs>
              <w:rPr>
                <w:rFonts w:ascii="Arial" w:hAnsi="Arial"/>
                <w:color w:val="000000"/>
                <w:sz w:val="16"/>
                <w:szCs w:val="16"/>
              </w:rPr>
            </w:pPr>
            <w:r w:rsidRPr="00A91514">
              <w:rPr>
                <w:rFonts w:ascii="Arial" w:hAnsi="Arial"/>
                <w:color w:val="000000"/>
                <w:sz w:val="16"/>
                <w:szCs w:val="16"/>
              </w:rPr>
              <w:t>Rate Rider for Recovery of CGAAP/CWIP Differential - effective until December 31, 2016</w:t>
            </w:r>
          </w:p>
        </w:tc>
        <w:tc>
          <w:tcPr>
            <w:tcW w:w="900" w:type="dxa"/>
            <w:gridSpan w:val="3"/>
            <w:tcBorders>
              <w:top w:val="nil"/>
              <w:left w:val="nil"/>
              <w:bottom w:val="nil"/>
              <w:right w:val="nil"/>
            </w:tcBorders>
            <w:shd w:val="clear" w:color="000000" w:fill="FFFFFF"/>
            <w:noWrap/>
            <w:hideMark/>
          </w:tcPr>
          <w:p w:rsidR="00A91514" w:rsidRPr="00A91514" w:rsidRDefault="00085C80" w:rsidP="00A91514">
            <w:pPr>
              <w:tabs>
                <w:tab w:val="left" w:pos="6543"/>
                <w:tab w:val="left" w:pos="7765"/>
              </w:tabs>
              <w:rPr>
                <w:rFonts w:ascii="Arial" w:hAnsi="Arial"/>
                <w:color w:val="000000"/>
                <w:sz w:val="16"/>
                <w:szCs w:val="16"/>
              </w:rPr>
            </w:pPr>
            <w:r>
              <w:rPr>
                <w:rFonts w:ascii="Arial" w:hAnsi="Arial"/>
                <w:color w:val="000000"/>
                <w:sz w:val="16"/>
                <w:szCs w:val="16"/>
              </w:rPr>
              <w:t xml:space="preserve">  </w:t>
            </w:r>
            <w:r w:rsidR="00A91514" w:rsidRPr="00A91514">
              <w:rPr>
                <w:rFonts w:ascii="Arial" w:hAnsi="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tabs>
                <w:tab w:val="left" w:pos="6543"/>
                <w:tab w:val="left" w:pos="7765"/>
              </w:tabs>
              <w:jc w:val="right"/>
              <w:rPr>
                <w:rFonts w:ascii="Arial" w:hAnsi="Arial"/>
                <w:color w:val="000000"/>
                <w:sz w:val="16"/>
                <w:szCs w:val="16"/>
              </w:rPr>
            </w:pPr>
            <w:r w:rsidRPr="00A91514">
              <w:rPr>
                <w:rFonts w:ascii="Arial" w:hAnsi="Arial"/>
                <w:color w:val="000000"/>
                <w:sz w:val="16"/>
                <w:szCs w:val="16"/>
              </w:rPr>
              <w:t>0.20</w:t>
            </w:r>
          </w:p>
        </w:tc>
      </w:tr>
      <w:tr w:rsidR="00A91514" w:rsidRPr="00A91514" w:rsidTr="00085C80">
        <w:trPr>
          <w:gridAfter w:val="2"/>
          <w:wAfter w:w="178" w:type="dxa"/>
          <w:trHeight w:val="180"/>
        </w:trPr>
        <w:tc>
          <w:tcPr>
            <w:tcW w:w="7488" w:type="dxa"/>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Rate Rider for Recovery of </w:t>
            </w:r>
            <w:r w:rsidRPr="00A91514">
              <w:rPr>
                <w:rFonts w:ascii="Arial" w:hAnsi="Arial" w:cs="Arial"/>
                <w:color w:val="000000"/>
                <w:sz w:val="16"/>
                <w:szCs w:val="16"/>
              </w:rPr>
              <w:t>Foregone Revenue (2016) - effective until December 31, 2016</w:t>
            </w:r>
          </w:p>
        </w:tc>
        <w:tc>
          <w:tcPr>
            <w:tcW w:w="270"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900" w:type="dxa"/>
            <w:gridSpan w:val="3"/>
            <w:tcBorders>
              <w:top w:val="nil"/>
              <w:left w:val="nil"/>
              <w:bottom w:val="nil"/>
              <w:right w:val="nil"/>
            </w:tcBorders>
            <w:shd w:val="clear" w:color="000000" w:fill="FFFFFF"/>
            <w:hideMark/>
          </w:tcPr>
          <w:p w:rsidR="00A91514" w:rsidRPr="00A91514" w:rsidRDefault="00A91514" w:rsidP="00A91514">
            <w:pPr>
              <w:widowControl/>
              <w:autoSpaceDE/>
              <w:autoSpaceDN/>
              <w:adjustRightInd/>
              <w:ind w:left="-1460"/>
              <w:rPr>
                <w:rFonts w:ascii="Arial" w:hAnsi="Arial" w:cs="Arial"/>
                <w:color w:val="000000"/>
                <w:sz w:val="16"/>
                <w:szCs w:val="16"/>
              </w:rPr>
            </w:pPr>
            <w:r w:rsidRPr="00A91514">
              <w:rPr>
                <w:rFonts w:ascii="Arial" w:hAnsi="Arial" w:cs="Arial"/>
                <w:color w:val="000000"/>
                <w:sz w:val="16"/>
                <w:szCs w:val="16"/>
              </w:rPr>
              <w:t>$</w:t>
            </w:r>
          </w:p>
        </w:tc>
        <w:tc>
          <w:tcPr>
            <w:tcW w:w="900"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6.32</w:t>
            </w:r>
          </w:p>
        </w:tc>
      </w:tr>
      <w:tr w:rsidR="00A91514" w:rsidRPr="00A91514" w:rsidTr="00085C80">
        <w:trPr>
          <w:gridAfter w:val="2"/>
          <w:wAfter w:w="178" w:type="dxa"/>
          <w:trHeight w:val="171"/>
        </w:trPr>
        <w:tc>
          <w:tcPr>
            <w:tcW w:w="7758" w:type="dxa"/>
            <w:gridSpan w:val="3"/>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Rate Rider for Disposition of Smart  Grid True-up Variance Account (2014 balance)</w:t>
            </w:r>
          </w:p>
        </w:tc>
        <w:tc>
          <w:tcPr>
            <w:tcW w:w="900" w:type="dxa"/>
            <w:gridSpan w:val="3"/>
            <w:tcBorders>
              <w:top w:val="nil"/>
              <w:left w:val="nil"/>
              <w:bottom w:val="nil"/>
              <w:right w:val="nil"/>
            </w:tcBorders>
            <w:shd w:val="clear" w:color="000000" w:fill="FFFFFF"/>
            <w:noWrap/>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 </w:t>
            </w:r>
          </w:p>
        </w:tc>
      </w:tr>
      <w:tr w:rsidR="00A91514" w:rsidRPr="00A91514" w:rsidTr="00085C80">
        <w:trPr>
          <w:gridAfter w:val="2"/>
          <w:wAfter w:w="178" w:type="dxa"/>
          <w:trHeight w:val="171"/>
        </w:trPr>
        <w:tc>
          <w:tcPr>
            <w:tcW w:w="7758" w:type="dxa"/>
            <w:gridSpan w:val="3"/>
            <w:tcBorders>
              <w:top w:val="nil"/>
              <w:left w:val="nil"/>
              <w:bottom w:val="nil"/>
              <w:right w:val="nil"/>
            </w:tcBorders>
            <w:shd w:val="clear" w:color="000000" w:fill="FFFFFF"/>
            <w:hideMark/>
          </w:tcPr>
          <w:p w:rsidR="00A91514" w:rsidRPr="00A91514" w:rsidRDefault="00A91514" w:rsidP="00A91514">
            <w:pPr>
              <w:widowControl/>
              <w:autoSpaceDE/>
              <w:autoSpaceDN/>
              <w:adjustRightInd/>
              <w:ind w:firstLineChars="100" w:firstLine="160"/>
              <w:rPr>
                <w:rFonts w:ascii="Arial" w:hAnsi="Arial" w:cs="Arial"/>
                <w:color w:val="000000"/>
                <w:sz w:val="16"/>
                <w:szCs w:val="16"/>
              </w:rPr>
            </w:pPr>
            <w:r w:rsidRPr="00A91514">
              <w:rPr>
                <w:rFonts w:ascii="Arial" w:hAnsi="Arial" w:cs="Arial"/>
                <w:color w:val="000000"/>
                <w:sz w:val="16"/>
                <w:szCs w:val="16"/>
              </w:rPr>
              <w:t xml:space="preserve"> - effective until December 31, 2016</w:t>
            </w:r>
          </w:p>
        </w:tc>
        <w:tc>
          <w:tcPr>
            <w:tcW w:w="900" w:type="dxa"/>
            <w:gridSpan w:val="3"/>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(0.17)</w:t>
            </w:r>
          </w:p>
        </w:tc>
      </w:tr>
      <w:tr w:rsidR="00A91514" w:rsidRPr="00A91514" w:rsidTr="00085C80">
        <w:trPr>
          <w:gridAfter w:val="2"/>
          <w:wAfter w:w="178" w:type="dxa"/>
          <w:trHeight w:val="162"/>
        </w:trPr>
        <w:tc>
          <w:tcPr>
            <w:tcW w:w="7488" w:type="dxa"/>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xml:space="preserve">Rate Rider for Disposition of Lost Revenue Adjustment Mechanism Variance </w:t>
            </w:r>
            <w:r>
              <w:rPr>
                <w:rFonts w:ascii="Arial" w:hAnsi="Arial" w:cs="Arial"/>
                <w:color w:val="000000"/>
                <w:sz w:val="16"/>
                <w:szCs w:val="16"/>
              </w:rPr>
              <w:t xml:space="preserve"> </w:t>
            </w:r>
            <w:r w:rsidRPr="00A91514">
              <w:rPr>
                <w:rFonts w:ascii="Arial" w:hAnsi="Arial" w:cs="Arial"/>
                <w:color w:val="000000"/>
                <w:sz w:val="16"/>
                <w:szCs w:val="16"/>
              </w:rPr>
              <w:t>Account (2013 balance)</w:t>
            </w:r>
            <w:r>
              <w:rPr>
                <w:rFonts w:ascii="Arial" w:hAnsi="Arial" w:cs="Arial"/>
                <w:color w:val="000000"/>
                <w:sz w:val="16"/>
                <w:szCs w:val="16"/>
              </w:rPr>
              <w:t xml:space="preserve"> </w:t>
            </w:r>
          </w:p>
        </w:tc>
        <w:tc>
          <w:tcPr>
            <w:tcW w:w="270"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900" w:type="dxa"/>
            <w:gridSpan w:val="3"/>
            <w:tcBorders>
              <w:top w:val="nil"/>
              <w:left w:val="nil"/>
              <w:bottom w:val="nil"/>
              <w:right w:val="nil"/>
            </w:tcBorders>
            <w:shd w:val="clear" w:color="000000" w:fill="FFFFFF"/>
            <w:noWrap/>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 </w:t>
            </w:r>
          </w:p>
        </w:tc>
      </w:tr>
      <w:tr w:rsidR="00A91514" w:rsidRPr="00A91514" w:rsidTr="00085C80">
        <w:trPr>
          <w:gridAfter w:val="2"/>
          <w:wAfter w:w="178" w:type="dxa"/>
          <w:trHeight w:val="162"/>
        </w:trPr>
        <w:tc>
          <w:tcPr>
            <w:tcW w:w="7488" w:type="dxa"/>
            <w:tcBorders>
              <w:top w:val="nil"/>
              <w:left w:val="nil"/>
              <w:bottom w:val="nil"/>
              <w:right w:val="nil"/>
            </w:tcBorders>
            <w:shd w:val="clear" w:color="000000" w:fill="FFFFFF"/>
            <w:hideMark/>
          </w:tcPr>
          <w:p w:rsidR="00A91514" w:rsidRPr="00A91514" w:rsidRDefault="00A91514" w:rsidP="00A91514">
            <w:pPr>
              <w:widowControl/>
              <w:autoSpaceDE/>
              <w:autoSpaceDN/>
              <w:adjustRightInd/>
              <w:ind w:firstLineChars="100" w:firstLine="160"/>
              <w:rPr>
                <w:rFonts w:ascii="Arial" w:hAnsi="Arial" w:cs="Arial"/>
                <w:color w:val="000000"/>
                <w:sz w:val="16"/>
                <w:szCs w:val="16"/>
              </w:rPr>
            </w:pPr>
            <w:r w:rsidRPr="00A91514">
              <w:rPr>
                <w:rFonts w:ascii="Arial" w:hAnsi="Arial" w:cs="Arial"/>
                <w:color w:val="000000"/>
                <w:sz w:val="16"/>
                <w:szCs w:val="16"/>
              </w:rPr>
              <w:t xml:space="preserve"> - effective until December 31, 2016</w:t>
            </w:r>
          </w:p>
        </w:tc>
        <w:tc>
          <w:tcPr>
            <w:tcW w:w="270"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900" w:type="dxa"/>
            <w:gridSpan w:val="3"/>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(0.39)</w:t>
            </w:r>
          </w:p>
        </w:tc>
      </w:tr>
      <w:tr w:rsidR="00A91514" w:rsidRPr="00A91514" w:rsidTr="00085C80">
        <w:trPr>
          <w:gridAfter w:val="2"/>
          <w:wAfter w:w="178" w:type="dxa"/>
          <w:trHeight w:val="162"/>
        </w:trPr>
        <w:tc>
          <w:tcPr>
            <w:tcW w:w="7758" w:type="dxa"/>
            <w:gridSpan w:val="3"/>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Rate Rider for Recovery of Account 1575 - effective until December 31, 2016</w:t>
            </w:r>
          </w:p>
        </w:tc>
        <w:tc>
          <w:tcPr>
            <w:tcW w:w="900" w:type="dxa"/>
            <w:gridSpan w:val="3"/>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(0.82)</w:t>
            </w:r>
          </w:p>
        </w:tc>
      </w:tr>
      <w:tr w:rsidR="00A91514" w:rsidRPr="00A91514" w:rsidTr="00085C80">
        <w:trPr>
          <w:gridAfter w:val="2"/>
          <w:wAfter w:w="178" w:type="dxa"/>
          <w:trHeight w:val="153"/>
        </w:trPr>
        <w:tc>
          <w:tcPr>
            <w:tcW w:w="7578"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Rate Rider for Smart Metering Entity Charge - effective until October 31, 2018</w:t>
            </w:r>
          </w:p>
        </w:tc>
        <w:tc>
          <w:tcPr>
            <w:tcW w:w="236"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844" w:type="dxa"/>
            <w:gridSpan w:val="2"/>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0.79</w:t>
            </w:r>
          </w:p>
        </w:tc>
      </w:tr>
      <w:tr w:rsidR="00A91514" w:rsidRPr="00A91514" w:rsidTr="00085C80">
        <w:trPr>
          <w:gridAfter w:val="2"/>
          <w:wAfter w:w="178" w:type="dxa"/>
          <w:trHeight w:val="153"/>
        </w:trPr>
        <w:tc>
          <w:tcPr>
            <w:tcW w:w="7578"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Distribution Volumetric Rate</w:t>
            </w:r>
          </w:p>
        </w:tc>
        <w:tc>
          <w:tcPr>
            <w:tcW w:w="236"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844" w:type="dxa"/>
            <w:gridSpan w:val="2"/>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$/kWh</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0.0154</w:t>
            </w:r>
          </w:p>
        </w:tc>
      </w:tr>
      <w:tr w:rsidR="00A91514" w:rsidRPr="00A91514" w:rsidTr="00085C80">
        <w:trPr>
          <w:gridAfter w:val="2"/>
          <w:wAfter w:w="178" w:type="dxa"/>
          <w:trHeight w:val="144"/>
        </w:trPr>
        <w:tc>
          <w:tcPr>
            <w:tcW w:w="7578"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Low Voltage Service Rate</w:t>
            </w:r>
          </w:p>
        </w:tc>
        <w:tc>
          <w:tcPr>
            <w:tcW w:w="236" w:type="dxa"/>
            <w:gridSpan w:val="2"/>
            <w:tcBorders>
              <w:top w:val="nil"/>
              <w:left w:val="nil"/>
              <w:bottom w:val="nil"/>
              <w:right w:val="nil"/>
            </w:tcBorders>
            <w:shd w:val="clear" w:color="000000" w:fill="FFFFFF"/>
            <w:hideMark/>
          </w:tcPr>
          <w:p w:rsidR="00A91514" w:rsidRPr="00A91514" w:rsidRDefault="00A91514" w:rsidP="00A91514">
            <w:pPr>
              <w:widowControl/>
              <w:autoSpaceDE/>
              <w:autoSpaceDN/>
              <w:adjustRightInd/>
              <w:rPr>
                <w:rFonts w:ascii="Arial" w:hAnsi="Arial" w:cs="Arial"/>
                <w:color w:val="000000"/>
                <w:sz w:val="16"/>
                <w:szCs w:val="16"/>
              </w:rPr>
            </w:pPr>
            <w:r w:rsidRPr="00A91514">
              <w:rPr>
                <w:rFonts w:ascii="Arial" w:hAnsi="Arial" w:cs="Arial"/>
                <w:color w:val="000000"/>
                <w:sz w:val="16"/>
                <w:szCs w:val="16"/>
              </w:rPr>
              <w:t> </w:t>
            </w:r>
          </w:p>
        </w:tc>
        <w:tc>
          <w:tcPr>
            <w:tcW w:w="844" w:type="dxa"/>
            <w:gridSpan w:val="2"/>
            <w:tcBorders>
              <w:top w:val="nil"/>
              <w:left w:val="nil"/>
              <w:bottom w:val="nil"/>
              <w:right w:val="nil"/>
            </w:tcBorders>
            <w:shd w:val="clear" w:color="000000" w:fill="FFFFFF"/>
            <w:noWrap/>
            <w:hideMark/>
          </w:tcPr>
          <w:p w:rsidR="00A91514" w:rsidRPr="00A91514" w:rsidRDefault="00085C80" w:rsidP="00A91514">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A91514" w:rsidRPr="00A91514">
              <w:rPr>
                <w:rFonts w:ascii="Arial" w:hAnsi="Arial" w:cs="Arial"/>
                <w:color w:val="000000"/>
                <w:sz w:val="16"/>
                <w:szCs w:val="16"/>
              </w:rPr>
              <w:t>$/kWh</w:t>
            </w:r>
          </w:p>
        </w:tc>
        <w:tc>
          <w:tcPr>
            <w:tcW w:w="900" w:type="dxa"/>
            <w:gridSpan w:val="2"/>
            <w:tcBorders>
              <w:top w:val="nil"/>
              <w:left w:val="nil"/>
              <w:bottom w:val="nil"/>
              <w:right w:val="nil"/>
            </w:tcBorders>
            <w:shd w:val="clear" w:color="000000" w:fill="FFFFFF"/>
            <w:noWrap/>
            <w:hideMark/>
          </w:tcPr>
          <w:p w:rsidR="00A91514" w:rsidRPr="00A91514" w:rsidRDefault="00A91514" w:rsidP="00A91514">
            <w:pPr>
              <w:widowControl/>
              <w:autoSpaceDE/>
              <w:autoSpaceDN/>
              <w:adjustRightInd/>
              <w:jc w:val="right"/>
              <w:rPr>
                <w:rFonts w:ascii="Arial" w:hAnsi="Arial" w:cs="Arial"/>
                <w:color w:val="000000"/>
                <w:sz w:val="16"/>
                <w:szCs w:val="16"/>
              </w:rPr>
            </w:pPr>
            <w:r w:rsidRPr="00A91514">
              <w:rPr>
                <w:rFonts w:ascii="Arial" w:hAnsi="Arial" w:cs="Arial"/>
                <w:color w:val="000000"/>
                <w:sz w:val="16"/>
                <w:szCs w:val="16"/>
              </w:rPr>
              <w:t>0.0003</w:t>
            </w:r>
          </w:p>
        </w:tc>
      </w:tr>
      <w:tr w:rsidR="000C26D5" w:rsidRPr="00A91514" w:rsidTr="00085C80">
        <w:trPr>
          <w:gridAfter w:val="1"/>
          <w:wAfter w:w="88" w:type="dxa"/>
          <w:trHeight w:val="297"/>
        </w:trPr>
        <w:tc>
          <w:tcPr>
            <w:tcW w:w="7758" w:type="dxa"/>
            <w:gridSpan w:val="3"/>
            <w:tcBorders>
              <w:top w:val="nil"/>
              <w:left w:val="nil"/>
              <w:bottom w:val="nil"/>
              <w:right w:val="nil"/>
            </w:tcBorders>
            <w:shd w:val="clear" w:color="000000" w:fill="FFFFFF"/>
            <w:hideMark/>
          </w:tcPr>
          <w:p w:rsidR="000C26D5" w:rsidRPr="00085C80" w:rsidRDefault="000C26D5" w:rsidP="00085C80">
            <w:pPr>
              <w:widowControl/>
              <w:autoSpaceDE/>
              <w:autoSpaceDN/>
              <w:adjustRightInd/>
              <w:rPr>
                <w:rFonts w:ascii="Arial" w:hAnsi="Arial" w:cs="Arial"/>
                <w:color w:val="000000"/>
                <w:sz w:val="16"/>
                <w:szCs w:val="16"/>
              </w:rPr>
            </w:pPr>
            <w:r w:rsidRPr="00A91514">
              <w:rPr>
                <w:rFonts w:ascii="Arial" w:hAnsi="Arial" w:cs="Arial"/>
                <w:color w:val="000000"/>
                <w:sz w:val="16"/>
                <w:szCs w:val="16"/>
              </w:rPr>
              <w:t>Rate Rider for Disposition of Deferral/Variance Account - Power (2016)</w:t>
            </w:r>
            <w:r w:rsidR="00085C80">
              <w:rPr>
                <w:rFonts w:ascii="Arial" w:hAnsi="Arial" w:cs="Arial"/>
                <w:color w:val="000000"/>
                <w:sz w:val="16"/>
                <w:szCs w:val="16"/>
              </w:rPr>
              <w:t xml:space="preserve"> - </w:t>
            </w:r>
            <w:r w:rsidRPr="00085C80">
              <w:rPr>
                <w:rFonts w:ascii="Arial" w:hAnsi="Arial" w:cs="Arial"/>
                <w:color w:val="000000"/>
                <w:sz w:val="16"/>
                <w:szCs w:val="16"/>
              </w:rPr>
              <w:t>effective until December 31, 2016</w:t>
            </w:r>
          </w:p>
        </w:tc>
        <w:tc>
          <w:tcPr>
            <w:tcW w:w="810" w:type="dxa"/>
            <w:gridSpan w:val="2"/>
            <w:tcBorders>
              <w:top w:val="nil"/>
              <w:left w:val="nil"/>
              <w:bottom w:val="nil"/>
              <w:right w:val="nil"/>
            </w:tcBorders>
            <w:shd w:val="clear" w:color="000000" w:fill="FFFFFF"/>
            <w:noWrap/>
            <w:hideMark/>
          </w:tcPr>
          <w:p w:rsidR="000C26D5" w:rsidRPr="00A91514" w:rsidRDefault="000C26D5" w:rsidP="009E7263">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Pr="00A91514">
              <w:rPr>
                <w:rFonts w:ascii="Arial" w:hAnsi="Arial" w:cs="Arial"/>
                <w:color w:val="000000"/>
                <w:sz w:val="16"/>
                <w:szCs w:val="16"/>
              </w:rPr>
              <w:t>$/kWh</w:t>
            </w:r>
          </w:p>
        </w:tc>
        <w:tc>
          <w:tcPr>
            <w:tcW w:w="1080" w:type="dxa"/>
            <w:gridSpan w:val="4"/>
            <w:tcBorders>
              <w:top w:val="nil"/>
              <w:left w:val="nil"/>
              <w:bottom w:val="nil"/>
              <w:right w:val="nil"/>
            </w:tcBorders>
            <w:shd w:val="clear" w:color="000000" w:fill="FFFFFF"/>
            <w:noWrap/>
            <w:hideMark/>
          </w:tcPr>
          <w:p w:rsidR="000C26D5" w:rsidRPr="00A91514" w:rsidRDefault="00905930" w:rsidP="00905930">
            <w:pPr>
              <w:widowControl/>
              <w:autoSpaceDE/>
              <w:autoSpaceDN/>
              <w:adjustRightInd/>
              <w:ind w:hanging="18"/>
              <w:jc w:val="center"/>
              <w:rPr>
                <w:rFonts w:ascii="Arial" w:hAnsi="Arial" w:cs="Arial"/>
                <w:color w:val="000000"/>
                <w:sz w:val="16"/>
                <w:szCs w:val="16"/>
              </w:rPr>
            </w:pPr>
            <w:r>
              <w:rPr>
                <w:rFonts w:ascii="Arial" w:hAnsi="Arial" w:cs="Arial"/>
                <w:color w:val="000000"/>
                <w:sz w:val="16"/>
                <w:szCs w:val="16"/>
              </w:rPr>
              <w:t xml:space="preserve">     </w:t>
            </w:r>
            <w:r w:rsidR="000C26D5" w:rsidRPr="00A91514">
              <w:rPr>
                <w:rFonts w:ascii="Arial" w:hAnsi="Arial" w:cs="Arial"/>
                <w:color w:val="000000"/>
                <w:sz w:val="16"/>
                <w:szCs w:val="16"/>
              </w:rPr>
              <w:t>(0.0026)</w:t>
            </w:r>
          </w:p>
        </w:tc>
      </w:tr>
      <w:tr w:rsidR="00A91514" w:rsidRPr="00A91514" w:rsidTr="00085C80">
        <w:trPr>
          <w:trHeight w:val="255"/>
        </w:trPr>
        <w:tc>
          <w:tcPr>
            <w:tcW w:w="7758" w:type="dxa"/>
            <w:gridSpan w:val="3"/>
            <w:tcBorders>
              <w:top w:val="nil"/>
              <w:left w:val="nil"/>
              <w:bottom w:val="nil"/>
              <w:right w:val="nil"/>
            </w:tcBorders>
            <w:shd w:val="clear" w:color="000000" w:fill="FFFFFF"/>
          </w:tcPr>
          <w:p w:rsidR="00A91514" w:rsidRPr="00A91514" w:rsidRDefault="00A91514" w:rsidP="000740C7">
            <w:pPr>
              <w:pStyle w:val="ListParagraph"/>
              <w:widowControl/>
              <w:autoSpaceDE/>
              <w:autoSpaceDN/>
              <w:adjustRightInd/>
              <w:ind w:left="540"/>
              <w:rPr>
                <w:rFonts w:ascii="Arial" w:hAnsi="Arial" w:cs="Arial"/>
                <w:color w:val="000000"/>
                <w:sz w:val="16"/>
                <w:szCs w:val="16"/>
              </w:rPr>
            </w:pPr>
          </w:p>
        </w:tc>
        <w:tc>
          <w:tcPr>
            <w:tcW w:w="1170" w:type="dxa"/>
            <w:gridSpan w:val="4"/>
            <w:tcBorders>
              <w:top w:val="nil"/>
              <w:left w:val="nil"/>
              <w:bottom w:val="nil"/>
              <w:right w:val="nil"/>
            </w:tcBorders>
            <w:shd w:val="clear" w:color="000000" w:fill="FFFFFF"/>
            <w:noWrap/>
          </w:tcPr>
          <w:p w:rsidR="00A91514" w:rsidRPr="00A91514" w:rsidRDefault="00A91514" w:rsidP="00A91514">
            <w:pPr>
              <w:widowControl/>
              <w:autoSpaceDE/>
              <w:autoSpaceDN/>
              <w:adjustRightInd/>
              <w:rPr>
                <w:rFonts w:ascii="Arial" w:hAnsi="Arial" w:cs="Arial"/>
                <w:color w:val="000000"/>
                <w:sz w:val="16"/>
                <w:szCs w:val="16"/>
              </w:rPr>
            </w:pPr>
          </w:p>
        </w:tc>
        <w:tc>
          <w:tcPr>
            <w:tcW w:w="808" w:type="dxa"/>
            <w:gridSpan w:val="3"/>
            <w:tcBorders>
              <w:top w:val="nil"/>
              <w:left w:val="nil"/>
              <w:bottom w:val="nil"/>
              <w:right w:val="nil"/>
            </w:tcBorders>
            <w:shd w:val="clear" w:color="000000" w:fill="FFFFFF"/>
            <w:noWrap/>
          </w:tcPr>
          <w:p w:rsidR="00A91514" w:rsidRPr="00A91514" w:rsidRDefault="00A91514" w:rsidP="00A91514">
            <w:pPr>
              <w:widowControl/>
              <w:autoSpaceDE/>
              <w:autoSpaceDN/>
              <w:adjustRightInd/>
              <w:jc w:val="right"/>
              <w:rPr>
                <w:rFonts w:ascii="Arial" w:hAnsi="Arial" w:cs="Arial"/>
                <w:color w:val="000000"/>
                <w:sz w:val="16"/>
                <w:szCs w:val="16"/>
              </w:rPr>
            </w:pPr>
          </w:p>
        </w:tc>
      </w:tr>
    </w:tbl>
    <w:p w:rsidR="000C26D5" w:rsidRDefault="000C26D5" w:rsidP="001E1FDD">
      <w:pPr>
        <w:tabs>
          <w:tab w:val="left" w:pos="6543"/>
          <w:tab w:val="left" w:pos="7765"/>
        </w:tabs>
        <w:rPr>
          <w:rFonts w:ascii="Arial" w:hAnsi="Arial"/>
          <w:b/>
          <w:color w:val="000000"/>
          <w:sz w:val="28"/>
          <w:szCs w:val="28"/>
        </w:rPr>
      </w:pPr>
    </w:p>
    <w:p w:rsidR="000C26D5" w:rsidRDefault="000C26D5" w:rsidP="001E1FDD">
      <w:pPr>
        <w:tabs>
          <w:tab w:val="left" w:pos="6543"/>
          <w:tab w:val="left" w:pos="7765"/>
        </w:tabs>
        <w:rPr>
          <w:rFonts w:ascii="Arial" w:hAnsi="Arial"/>
          <w:b/>
          <w:color w:val="000000"/>
          <w:sz w:val="28"/>
          <w:szCs w:val="28"/>
        </w:rPr>
      </w:pPr>
    </w:p>
    <w:p w:rsidR="00085C80" w:rsidRDefault="00085C80" w:rsidP="001E1FDD">
      <w:pPr>
        <w:tabs>
          <w:tab w:val="left" w:pos="6543"/>
          <w:tab w:val="left" w:pos="7765"/>
        </w:tabs>
        <w:rPr>
          <w:rFonts w:ascii="Arial" w:hAnsi="Arial"/>
          <w:b/>
          <w:color w:val="000000"/>
          <w:sz w:val="28"/>
          <w:szCs w:val="28"/>
        </w:rPr>
      </w:pPr>
    </w:p>
    <w:p w:rsidR="00CC2DCE" w:rsidRPr="009243B8" w:rsidRDefault="00CC2DCE" w:rsidP="001E1FDD">
      <w:pPr>
        <w:tabs>
          <w:tab w:val="left" w:pos="6543"/>
          <w:tab w:val="left" w:pos="7765"/>
        </w:tabs>
        <w:rPr>
          <w:rFonts w:ascii="Arial" w:hAnsi="Arial"/>
          <w:color w:val="000000"/>
          <w:sz w:val="28"/>
          <w:szCs w:val="28"/>
        </w:rPr>
      </w:pPr>
      <w:r w:rsidRPr="009243B8">
        <w:rPr>
          <w:rFonts w:ascii="Arial" w:hAnsi="Arial"/>
          <w:b/>
          <w:color w:val="000000"/>
          <w:sz w:val="28"/>
          <w:szCs w:val="28"/>
        </w:rPr>
        <w:lastRenderedPageBreak/>
        <w:t xml:space="preserve">RESIDENTIAL </w:t>
      </w:r>
      <w:r w:rsidRPr="009243B8">
        <w:rPr>
          <w:rFonts w:ascii="Arial" w:hAnsi="Arial" w:cs="Arial"/>
          <w:b/>
          <w:bCs/>
          <w:sz w:val="28"/>
          <w:szCs w:val="28"/>
        </w:rPr>
        <w:t>SERVICE CLASSIFICATION</w:t>
      </w:r>
    </w:p>
    <w:p w:rsidR="00CC2DCE" w:rsidRDefault="00CC2DCE" w:rsidP="0027285D">
      <w:pPr>
        <w:tabs>
          <w:tab w:val="left" w:pos="6543"/>
          <w:tab w:val="left" w:pos="7765"/>
        </w:tabs>
        <w:rPr>
          <w:rFonts w:ascii="Arial" w:hAnsi="Arial"/>
          <w:color w:val="000000"/>
          <w:sz w:val="16"/>
          <w:szCs w:val="16"/>
        </w:rPr>
      </w:pPr>
    </w:p>
    <w:p w:rsidR="00CC2DCE" w:rsidRPr="00157CE1" w:rsidRDefault="00CC2DCE" w:rsidP="001E1F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27285D">
      <w:pPr>
        <w:tabs>
          <w:tab w:val="left" w:pos="6543"/>
          <w:tab w:val="left" w:pos="7765"/>
        </w:tabs>
        <w:rPr>
          <w:rFonts w:ascii="Arial" w:hAnsi="Arial"/>
          <w:color w:val="000000"/>
          <w:sz w:val="16"/>
          <w:szCs w:val="16"/>
        </w:rPr>
      </w:pP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14090C">
        <w:rPr>
          <w:rFonts w:ascii="Arial" w:hAnsi="Arial"/>
          <w:color w:val="000000"/>
          <w:sz w:val="16"/>
          <w:szCs w:val="16"/>
        </w:rPr>
        <w:t>80</w:t>
      </w:r>
    </w:p>
    <w:p w:rsidR="00CC2DCE"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5D18F9">
        <w:rPr>
          <w:rFonts w:ascii="Arial" w:hAnsi="Arial"/>
          <w:color w:val="000000"/>
          <w:sz w:val="16"/>
          <w:szCs w:val="16"/>
        </w:rPr>
        <w:t>5</w:t>
      </w:r>
    </w:p>
    <w:p w:rsidR="00CC2DCE" w:rsidRDefault="00CC2DCE" w:rsidP="004B03DD">
      <w:pPr>
        <w:jc w:val="both"/>
        <w:rPr>
          <w:rFonts w:ascii="Arial" w:hAnsi="Arial" w:cs="Arial"/>
          <w:b/>
          <w:bCs/>
          <w:sz w:val="20"/>
          <w:szCs w:val="20"/>
        </w:rPr>
      </w:pPr>
    </w:p>
    <w:p w:rsidR="00CC2DCE" w:rsidRPr="00157CE1" w:rsidRDefault="00CC2DCE" w:rsidP="004B03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CC2DCE" w:rsidRDefault="00CC2DCE" w:rsidP="004B03DD">
      <w:pPr>
        <w:tabs>
          <w:tab w:val="left" w:pos="360"/>
          <w:tab w:val="left" w:pos="6543"/>
          <w:tab w:val="left" w:pos="7765"/>
        </w:tabs>
        <w:rPr>
          <w:rFonts w:ascii="Arial" w:hAnsi="Arial"/>
          <w:color w:val="000000"/>
          <w:sz w:val="16"/>
          <w:szCs w:val="16"/>
        </w:rPr>
      </w:pP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5D18F9"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5D18F9" w:rsidRPr="00E24308"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Default="007C279B" w:rsidP="007C279B">
      <w:pPr>
        <w:widowControl/>
        <w:autoSpaceDE/>
        <w:autoSpaceDN/>
        <w:adjustRightInd/>
        <w:rPr>
          <w:rFonts w:ascii="Arial" w:eastAsiaTheme="minorHAnsi" w:hAnsi="Arial" w:cs="Arial"/>
          <w:b/>
          <w:sz w:val="28"/>
          <w:szCs w:val="28"/>
          <w:lang w:val="en-CA"/>
        </w:rPr>
      </w:pP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In addition to the charges specified </w:t>
      </w:r>
      <w:r w:rsidR="006332E7">
        <w:rPr>
          <w:rFonts w:ascii="Arial" w:eastAsiaTheme="minorHAnsi" w:hAnsi="Arial" w:cs="Arial"/>
          <w:sz w:val="18"/>
          <w:szCs w:val="18"/>
          <w:lang w:val="en-CA"/>
        </w:rPr>
        <w:t>i</w:t>
      </w:r>
      <w:r w:rsidRPr="001E4D6A">
        <w:rPr>
          <w:rFonts w:ascii="Arial" w:eastAsiaTheme="minorHAnsi" w:hAnsi="Arial" w:cs="Arial"/>
          <w:sz w:val="18"/>
          <w:szCs w:val="18"/>
          <w:lang w:val="en-CA"/>
        </w:rPr>
        <w:t xml:space="preserve">n </w:t>
      </w:r>
      <w:r w:rsidR="006332E7">
        <w:rPr>
          <w:rFonts w:ascii="Arial" w:eastAsiaTheme="minorHAnsi" w:hAnsi="Arial" w:cs="Arial"/>
          <w:sz w:val="18"/>
          <w:szCs w:val="18"/>
          <w:lang w:val="en-CA"/>
        </w:rPr>
        <w:t xml:space="preserve">the Residential Service Classification </w:t>
      </w:r>
      <w:r w:rsidRPr="001E4D6A">
        <w:rPr>
          <w:rFonts w:ascii="Arial" w:eastAsiaTheme="minorHAnsi" w:hAnsi="Arial" w:cs="Arial"/>
          <w:sz w:val="18"/>
          <w:szCs w:val="18"/>
          <w:lang w:val="en-CA"/>
        </w:rPr>
        <w:t>page</w:t>
      </w:r>
      <w:r>
        <w:rPr>
          <w:rFonts w:ascii="Arial" w:eastAsiaTheme="minorHAnsi" w:hAnsi="Arial" w:cs="Arial"/>
          <w:sz w:val="18"/>
          <w:szCs w:val="18"/>
          <w:lang w:val="en-CA"/>
        </w:rPr>
        <w:t>s</w:t>
      </w:r>
      <w:r w:rsidRPr="001E4D6A">
        <w:rPr>
          <w:rFonts w:ascii="Arial" w:eastAsiaTheme="minorHAnsi" w:hAnsi="Arial" w:cs="Arial"/>
          <w:sz w:val="18"/>
          <w:szCs w:val="18"/>
          <w:lang w:val="en-CA"/>
        </w:rPr>
        <w:t xml:space="preserve"> of this tariff of rates and charges, the following credits are to be applied to eligible residential customers.</w:t>
      </w:r>
      <w:r w:rsidRPr="001E4D6A">
        <w:rPr>
          <w:rFonts w:ascii="Arial" w:eastAsiaTheme="minorHAnsi" w:hAnsi="Arial" w:cs="Arial"/>
          <w:sz w:val="18"/>
          <w:szCs w:val="18"/>
          <w:lang w:val="en-CA"/>
        </w:rPr>
        <w:br/>
      </w: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APPLICATION</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 credits is</w:t>
      </w:r>
      <w:r w:rsidRPr="001E4D6A">
        <w:rPr>
          <w:rFonts w:ascii="Arial" w:eastAsiaTheme="minorHAnsi" w:hAnsi="Arial" w:cs="Arial"/>
          <w:sz w:val="18"/>
          <w:szCs w:val="18"/>
          <w:lang w:val="en-CA"/>
        </w:rPr>
        <w:t xml:space="preserve"> in accordance with the Distribution System Code (S</w:t>
      </w:r>
      <w:r>
        <w:rPr>
          <w:rFonts w:ascii="Arial" w:eastAsiaTheme="minorHAnsi" w:hAnsi="Arial" w:cs="Arial"/>
          <w:sz w:val="18"/>
          <w:szCs w:val="18"/>
          <w:lang w:val="en-CA"/>
        </w:rPr>
        <w:t>ection 9) and subsection 79.2</w:t>
      </w:r>
      <w:r w:rsidRPr="001E4D6A">
        <w:rPr>
          <w:rFonts w:ascii="Arial" w:eastAsiaTheme="minorHAnsi" w:hAnsi="Arial" w:cs="Arial"/>
          <w:sz w:val="18"/>
          <w:szCs w:val="18"/>
          <w:lang w:val="en-CA"/>
        </w:rPr>
        <w:t xml:space="preserve"> of the Ontario Energy Board Act, 1998.</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these credits</w:t>
      </w:r>
      <w:r w:rsidRPr="001E4D6A">
        <w:rPr>
          <w:rFonts w:ascii="Arial" w:eastAsiaTheme="minorHAnsi" w:hAnsi="Arial" w:cs="Arial"/>
          <w:sz w:val="18"/>
          <w:szCs w:val="18"/>
          <w:lang w:val="en-CA"/>
        </w:rPr>
        <w:t xml:space="preserve"> shall be in accordance with the Licence of the Distributor an</w:t>
      </w:r>
      <w:r>
        <w:rPr>
          <w:rFonts w:ascii="Arial" w:eastAsiaTheme="minorHAnsi" w:hAnsi="Arial" w:cs="Arial"/>
          <w:sz w:val="18"/>
          <w:szCs w:val="18"/>
          <w:lang w:val="en-CA"/>
        </w:rPr>
        <w:t xml:space="preserve">d any Code or Order of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xml:space="preserve">, and amendments </w:t>
      </w:r>
      <w:r>
        <w:rPr>
          <w:rFonts w:ascii="Arial" w:eastAsiaTheme="minorHAnsi" w:hAnsi="Arial" w:cs="Arial"/>
          <w:sz w:val="18"/>
          <w:szCs w:val="18"/>
          <w:lang w:val="en-CA"/>
        </w:rPr>
        <w:t xml:space="preserve">thereto as approved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which may be applicable to the administration of this schedule.</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In this class: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“Aboriginal person” includes a person who is a First Nations person, a Métis person or an Inuit person;</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“account-holder” means a consumer who has an account with a distributor that falls within a residential-rate classification as specified in a rate order made by the </w:t>
      </w:r>
      <w:r>
        <w:rPr>
          <w:rFonts w:ascii="Arial" w:hAnsi="Arial" w:cs="Arial"/>
          <w:sz w:val="18"/>
          <w:szCs w:val="18"/>
        </w:rPr>
        <w:t xml:space="preserve">Ontario Energy </w:t>
      </w:r>
      <w:r>
        <w:rPr>
          <w:rFonts w:ascii="Arial" w:eastAsiaTheme="minorHAnsi" w:hAnsi="Arial" w:cs="Arial"/>
          <w:sz w:val="18"/>
          <w:szCs w:val="18"/>
          <w:lang w:val="en-CA"/>
        </w:rPr>
        <w:t xml:space="preserve">Board </w:t>
      </w:r>
      <w:r w:rsidRPr="001E4D6A">
        <w:rPr>
          <w:rFonts w:ascii="Arial" w:eastAsiaTheme="minorHAnsi" w:hAnsi="Arial" w:cs="Arial"/>
          <w:sz w:val="18"/>
          <w:szCs w:val="18"/>
          <w:lang w:val="en-CA"/>
        </w:rPr>
        <w:t>under section 78 of the Act, and who lives at the service address to which the account relates for at least six months in a year;</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“electricity-intensive medical device” means an oxygen concentrator, a mechanical ventilator, or such other device </w:t>
      </w:r>
      <w:r>
        <w:rPr>
          <w:rFonts w:ascii="Arial" w:eastAsiaTheme="minorHAnsi" w:hAnsi="Arial" w:cs="Arial"/>
          <w:sz w:val="18"/>
          <w:szCs w:val="18"/>
          <w:lang w:val="en-CA"/>
        </w:rPr>
        <w:t xml:space="preserve">as may be specified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“household” means the account-holder and any other people living at the accountholder’s service address for at least six months in a year, including people other than the account-holder’s spouse, children or other relatives;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w:t>
      </w:r>
      <w:proofErr w:type="gramStart"/>
      <w:r w:rsidRPr="001E4D6A">
        <w:rPr>
          <w:rFonts w:ascii="Arial" w:eastAsiaTheme="minorHAnsi" w:hAnsi="Arial" w:cs="Arial"/>
          <w:sz w:val="18"/>
          <w:szCs w:val="18"/>
          <w:lang w:val="en-CA"/>
        </w:rPr>
        <w:t>household</w:t>
      </w:r>
      <w:proofErr w:type="gramEnd"/>
      <w:r w:rsidRPr="001E4D6A">
        <w:rPr>
          <w:rFonts w:ascii="Arial" w:eastAsiaTheme="minorHAnsi" w:hAnsi="Arial" w:cs="Arial"/>
          <w:sz w:val="18"/>
          <w:szCs w:val="18"/>
          <w:lang w:val="en-CA"/>
        </w:rPr>
        <w:t xml:space="preserve"> income” means the combined annual after-tax income of all members of a household aged 16 or over;</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MONTHLY RATES AND CHARGES</w:t>
      </w:r>
    </w:p>
    <w:p w:rsidR="007C279B" w:rsidRDefault="007C279B" w:rsidP="007C279B">
      <w:pPr>
        <w:widowControl/>
        <w:autoSpaceDE/>
        <w:autoSpaceDN/>
        <w:adjustRightInd/>
        <w:rPr>
          <w:rFonts w:ascii="Arial" w:eastAsiaTheme="minorHAnsi" w:hAnsi="Arial" w:cs="Arial"/>
          <w:b/>
          <w:sz w:val="18"/>
          <w:szCs w:val="18"/>
          <w:lang w:val="en-CA"/>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A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(a) account-holders with a household income of $28,000 or less living in a household of one or two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(b) account-holders with a household income of between $28,001 and $39,000 living in a household of three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five persons;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(d) account-holders with a household income of between $48,001 and $52,000 living in a household of seven or more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E.</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(30.00)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B</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three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F</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(34.00)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C</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seven or more</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G</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(38.00)</w:t>
      </w:r>
    </w:p>
    <w:p w:rsidR="007C279B" w:rsidRDefault="007C279B" w:rsidP="007C279B">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Pr="001E4D6A" w:rsidRDefault="007C279B" w:rsidP="007C279B">
      <w:pPr>
        <w:widowControl/>
        <w:autoSpaceDE/>
        <w:autoSpaceDN/>
        <w:adjustRightInd/>
        <w:rPr>
          <w:rFonts w:ascii="Arial" w:eastAsiaTheme="minorHAnsi" w:hAnsi="Arial" w:cs="Arial"/>
          <w:b/>
          <w:sz w:val="28"/>
          <w:szCs w:val="28"/>
          <w:lang w:val="en-CA"/>
        </w:rPr>
      </w:pPr>
      <w:bookmarkStart w:id="0" w:name="_GoBack"/>
      <w:bookmarkEnd w:id="0"/>
      <w:r w:rsidRPr="001E4D6A">
        <w:rPr>
          <w:rFonts w:ascii="Arial" w:eastAsiaTheme="minorHAnsi" w:hAnsi="Arial" w:cs="Arial"/>
          <w:b/>
          <w:sz w:val="28"/>
          <w:szCs w:val="28"/>
          <w:lang w:val="en-CA"/>
        </w:rPr>
        <w:t>ONTARIO ELECTRICITY SUPPORT PROGRAM RECIPIENTS</w:t>
      </w: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D</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H</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(42.00)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E comprises account-holders with a household income and household size described under Class A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F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(a) account-holders with a household income of $28,000 or less living in a household of six or more persons;</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account-holders with a household income of between $28,001 and $39,000 living in a household of seven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or</w:t>
      </w:r>
      <w:proofErr w:type="gramEnd"/>
      <w:r w:rsidRPr="004D069D">
        <w:rPr>
          <w:rFonts w:ascii="Arial" w:eastAsiaTheme="minorHAnsi" w:hAnsi="Arial" w:cs="Arial"/>
          <w:sz w:val="16"/>
          <w:szCs w:val="16"/>
          <w:lang w:val="en-CA"/>
        </w:rPr>
        <w:t xml:space="preserve"> more persons; or</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account-holders with a household income and household size described under Class B who also meet any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of</w:t>
      </w:r>
      <w:proofErr w:type="gramEnd"/>
      <w:r w:rsidRPr="004D069D">
        <w:rPr>
          <w:rFonts w:ascii="Arial" w:eastAsiaTheme="minorHAnsi" w:hAnsi="Arial" w:cs="Arial"/>
          <w:sz w:val="16"/>
          <w:szCs w:val="16"/>
          <w:lang w:val="en-CA"/>
        </w:rPr>
        <w:t xml:space="preserve"> the following conditions:</w:t>
      </w:r>
    </w:p>
    <w:p w:rsidR="007C279B" w:rsidRPr="004D069D" w:rsidRDefault="007C279B" w:rsidP="007C279B">
      <w:pPr>
        <w:widowControl/>
        <w:autoSpaceDE/>
        <w:autoSpaceDN/>
        <w:adjustRightInd/>
        <w:ind w:left="284"/>
        <w:rPr>
          <w:rFonts w:ascii="Arial" w:eastAsiaTheme="minorHAnsi" w:hAnsi="Arial" w:cs="Arial"/>
          <w:sz w:val="16"/>
          <w:szCs w:val="16"/>
          <w:lang w:val="en-CA"/>
        </w:rPr>
      </w:pPr>
      <w:proofErr w:type="spellStart"/>
      <w:proofErr w:type="gramStart"/>
      <w:r w:rsidRPr="004D069D">
        <w:rPr>
          <w:rFonts w:ascii="Arial" w:eastAsiaTheme="minorHAnsi" w:hAnsi="Arial" w:cs="Arial"/>
          <w:sz w:val="16"/>
          <w:szCs w:val="16"/>
          <w:lang w:val="en-CA"/>
        </w:rPr>
        <w:t>i</w:t>
      </w:r>
      <w:proofErr w:type="spellEnd"/>
      <w:proofErr w:type="gramEnd"/>
      <w:r w:rsidRPr="004D069D">
        <w:rPr>
          <w:rFonts w:ascii="Arial" w:eastAsiaTheme="minorHAnsi" w:hAnsi="Arial" w:cs="Arial"/>
          <w:sz w:val="16"/>
          <w:szCs w:val="16"/>
          <w:lang w:val="en-CA"/>
        </w:rPr>
        <w:t>. the dwelling to which the account relates is heated primarily by electricity;</w:t>
      </w:r>
    </w:p>
    <w:p w:rsidR="007C279B" w:rsidRPr="004D069D" w:rsidRDefault="007C279B" w:rsidP="007C279B">
      <w:pPr>
        <w:widowControl/>
        <w:autoSpaceDE/>
        <w:autoSpaceDN/>
        <w:adjustRightInd/>
        <w:ind w:left="720" w:hanging="436"/>
        <w:rPr>
          <w:rFonts w:ascii="Arial" w:eastAsiaTheme="minorHAnsi" w:hAnsi="Arial" w:cs="Arial"/>
          <w:sz w:val="16"/>
          <w:szCs w:val="16"/>
          <w:lang w:val="en-CA"/>
        </w:rPr>
      </w:pPr>
      <w:r w:rsidRPr="004D069D">
        <w:rPr>
          <w:rFonts w:ascii="Arial" w:eastAsiaTheme="minorHAnsi" w:hAnsi="Arial" w:cs="Arial"/>
          <w:sz w:val="16"/>
          <w:szCs w:val="16"/>
          <w:lang w:val="en-CA"/>
        </w:rPr>
        <w:t xml:space="preserve">ii.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 xml:space="preserve">iii.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Default="007C279B" w:rsidP="007C279B">
      <w:pPr>
        <w:widowControl/>
        <w:autoSpaceDE/>
        <w:autoSpaceDN/>
        <w:adjustRightInd/>
        <w:ind w:left="284" w:hanging="11"/>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G</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G</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C</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H</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H</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D</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sidRPr="004D069D">
        <w:rPr>
          <w:rFonts w:ascii="Arial" w:eastAsiaTheme="minorHAnsi" w:hAnsi="Arial" w:cs="Arial"/>
          <w:sz w:val="16"/>
          <w:szCs w:val="16"/>
          <w:lang w:val="en-CA"/>
        </w:rPr>
        <w:t>who</w:t>
      </w:r>
      <w:proofErr w:type="gramEnd"/>
      <w:r w:rsidRPr="004D069D">
        <w:rPr>
          <w:rFonts w:ascii="Arial" w:eastAsiaTheme="minorHAnsi" w:hAnsi="Arial" w:cs="Arial"/>
          <w:sz w:val="16"/>
          <w:szCs w:val="16"/>
          <w:lang w:val="en-CA"/>
        </w:rPr>
        <w:t xml:space="preserve">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(60.00)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I</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I</w:t>
      </w:r>
      <w:r w:rsidRPr="004D069D">
        <w:rPr>
          <w:rFonts w:ascii="Arial" w:eastAsiaTheme="minorHAnsi" w:hAnsi="Arial" w:cs="Arial"/>
          <w:sz w:val="16"/>
          <w:szCs w:val="16"/>
          <w:lang w:val="en-CA"/>
        </w:rPr>
        <w:t xml:space="preserve"> comprises account-holders with a household income and household size described under </w:t>
      </w:r>
    </w:p>
    <w:p w:rsidR="007C279B" w:rsidRPr="004D069D" w:rsidRDefault="007C279B" w:rsidP="007C279B">
      <w:pPr>
        <w:widowControl/>
        <w:autoSpaceDE/>
        <w:autoSpaceDN/>
        <w:adjustRightInd/>
        <w:rPr>
          <w:rFonts w:ascii="Arial" w:eastAsiaTheme="minorHAnsi" w:hAnsi="Arial" w:cs="Arial"/>
          <w:sz w:val="16"/>
          <w:szCs w:val="16"/>
          <w:lang w:val="en-CA"/>
        </w:rPr>
      </w:pPr>
      <w:proofErr w:type="gramStart"/>
      <w:r>
        <w:rPr>
          <w:rFonts w:ascii="Arial" w:eastAsiaTheme="minorHAnsi" w:hAnsi="Arial" w:cs="Arial"/>
          <w:sz w:val="16"/>
          <w:szCs w:val="16"/>
          <w:lang w:val="en-CA"/>
        </w:rPr>
        <w:t>paragraphs</w:t>
      </w:r>
      <w:proofErr w:type="gramEnd"/>
      <w:r>
        <w:rPr>
          <w:rFonts w:ascii="Arial" w:eastAsiaTheme="minorHAnsi" w:hAnsi="Arial" w:cs="Arial"/>
          <w:sz w:val="16"/>
          <w:szCs w:val="16"/>
          <w:lang w:val="en-CA"/>
        </w:rPr>
        <w:t xml:space="preserve"> (a) or (b) of </w:t>
      </w:r>
      <w:r w:rsidRPr="00A615EF">
        <w:rPr>
          <w:rFonts w:ascii="Arial" w:eastAsiaTheme="minorHAnsi" w:hAnsi="Arial" w:cs="Arial"/>
          <w:sz w:val="16"/>
          <w:szCs w:val="16"/>
          <w:lang w:val="en-CA"/>
        </w:rPr>
        <w:t xml:space="preserve">Class </w:t>
      </w:r>
      <w:r>
        <w:rPr>
          <w:rFonts w:ascii="Arial" w:eastAsiaTheme="minorHAnsi" w:hAnsi="Arial" w:cs="Arial"/>
          <w:sz w:val="16"/>
          <w:szCs w:val="16"/>
          <w:lang w:val="en-CA"/>
        </w:rPr>
        <w:t>F</w:t>
      </w:r>
      <w:r w:rsidRPr="00A615EF">
        <w:rPr>
          <w:rFonts w:ascii="Arial" w:eastAsiaTheme="minorHAnsi" w:hAnsi="Arial" w:cs="Arial"/>
          <w:sz w:val="16"/>
          <w:szCs w:val="16"/>
          <w:lang w:val="en-CA"/>
        </w:rPr>
        <w:t xml:space="preserve"> </w:t>
      </w: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w:t>
      </w:r>
      <w:proofErr w:type="gramStart"/>
      <w:r w:rsidRPr="004D069D">
        <w:rPr>
          <w:rFonts w:ascii="Arial" w:eastAsiaTheme="minorHAnsi" w:hAnsi="Arial" w:cs="Arial"/>
          <w:sz w:val="16"/>
          <w:szCs w:val="16"/>
          <w:lang w:val="en-CA"/>
        </w:rPr>
        <w:t>the</w:t>
      </w:r>
      <w:proofErr w:type="gramEnd"/>
      <w:r w:rsidRPr="004D069D">
        <w:rPr>
          <w:rFonts w:ascii="Arial" w:eastAsiaTheme="minorHAnsi" w:hAnsi="Arial" w:cs="Arial"/>
          <w:sz w:val="16"/>
          <w:szCs w:val="16"/>
          <w:lang w:val="en-CA"/>
        </w:rPr>
        <w:t xml:space="preserv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proofErr w:type="gramStart"/>
      <w:r w:rsidRPr="004D069D">
        <w:rPr>
          <w:rFonts w:ascii="Arial" w:eastAsiaTheme="minorHAnsi" w:hAnsi="Arial" w:cs="Arial"/>
          <w:sz w:val="16"/>
          <w:szCs w:val="16"/>
          <w:lang w:val="en-CA"/>
        </w:rPr>
        <w:t>an</w:t>
      </w:r>
      <w:proofErr w:type="gramEnd"/>
      <w:r w:rsidRPr="004D069D">
        <w:rPr>
          <w:rFonts w:ascii="Arial" w:eastAsiaTheme="minorHAnsi" w:hAnsi="Arial" w:cs="Arial"/>
          <w:sz w:val="16"/>
          <w:szCs w:val="16"/>
          <w:lang w:val="en-CA"/>
        </w:rPr>
        <w:t xml:space="preserve">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(75.00)</w:t>
      </w: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
          <w:bCs/>
          <w:sz w:val="28"/>
          <w:szCs w:val="28"/>
        </w:rPr>
      </w:pPr>
      <w:r w:rsidRPr="009243B8">
        <w:rPr>
          <w:rFonts w:ascii="Arial" w:hAnsi="Arial"/>
          <w:b/>
          <w:color w:val="000000"/>
          <w:sz w:val="28"/>
          <w:szCs w:val="28"/>
        </w:rPr>
        <w:t xml:space="preserve">GENERAL SERVICE LESS THAN 50 kW </w:t>
      </w:r>
      <w:r w:rsidRPr="009243B8">
        <w:rPr>
          <w:rFonts w:ascii="Arial" w:hAnsi="Arial" w:cs="Arial"/>
          <w:b/>
          <w:bCs/>
          <w:sz w:val="28"/>
          <w:szCs w:val="28"/>
        </w:rPr>
        <w:t>SERVICE CLASSIFICATION</w:t>
      </w:r>
    </w:p>
    <w:p w:rsidR="00CC2DCE" w:rsidRPr="00B326DB" w:rsidRDefault="00CC2DCE" w:rsidP="007D30CB">
      <w:pPr>
        <w:tabs>
          <w:tab w:val="left" w:pos="6543"/>
          <w:tab w:val="left" w:pos="7765"/>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sz w:val="18"/>
          <w:szCs w:val="18"/>
        </w:rPr>
        <w:t>This</w:t>
      </w:r>
      <w:r w:rsidR="00AB0A7A">
        <w:rPr>
          <w:rFonts w:ascii="Arial" w:hAnsi="Arial" w:cs="Arial"/>
          <w:sz w:val="18"/>
          <w:szCs w:val="18"/>
        </w:rPr>
        <w:t xml:space="preserve"> classification refers to a non-</w:t>
      </w:r>
      <w:r w:rsidRPr="00B326DB">
        <w:rPr>
          <w:rFonts w:ascii="Arial" w:hAnsi="Arial" w:cs="Arial"/>
          <w:sz w:val="18"/>
          <w:szCs w:val="18"/>
        </w:rPr>
        <w:t xml:space="preserve">residential account taking electricity at 750 volts or less whose monthly average peak demand is less than, or is forecast to be less than, 50 kW. </w:t>
      </w:r>
      <w:r>
        <w:rPr>
          <w:rFonts w:ascii="Arial" w:hAnsi="Arial" w:cs="Arial"/>
          <w:sz w:val="18"/>
          <w:szCs w:val="18"/>
        </w:rPr>
        <w:t xml:space="preserve"> </w:t>
      </w:r>
      <w:r w:rsidRPr="00B326DB">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A67C9E" w:rsidRDefault="00CC2DCE" w:rsidP="00A77920">
      <w:pPr>
        <w:rPr>
          <w:rFonts w:ascii="Arial" w:hAnsi="Arial"/>
          <w:color w:val="000000"/>
          <w:sz w:val="18"/>
          <w:szCs w:val="18"/>
        </w:rPr>
      </w:pPr>
    </w:p>
    <w:p w:rsidR="00CC2DCE" w:rsidRPr="00113C96" w:rsidRDefault="00CC2DCE" w:rsidP="00A454CE">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F65C65">
      <w:pPr>
        <w:tabs>
          <w:tab w:val="left" w:pos="6543"/>
          <w:tab w:val="left" w:pos="7765"/>
        </w:tabs>
        <w:rPr>
          <w:rFonts w:ascii="Arial" w:hAnsi="Arial"/>
          <w:color w:val="000000"/>
          <w:sz w:val="16"/>
          <w:szCs w:val="16"/>
        </w:rPr>
      </w:pPr>
    </w:p>
    <w:tbl>
      <w:tblPr>
        <w:tblW w:w="9288" w:type="dxa"/>
        <w:tblLook w:val="04A0" w:firstRow="1" w:lastRow="0" w:firstColumn="1" w:lastColumn="0" w:noHBand="0" w:noVBand="1"/>
      </w:tblPr>
      <w:tblGrid>
        <w:gridCol w:w="5932"/>
        <w:gridCol w:w="1892"/>
        <w:gridCol w:w="670"/>
        <w:gridCol w:w="794"/>
      </w:tblGrid>
      <w:tr w:rsidR="00791661" w:rsidRPr="00791661" w:rsidTr="00791661">
        <w:trPr>
          <w:trHeight w:val="162"/>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Service Charge</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28.75</w:t>
            </w:r>
          </w:p>
        </w:tc>
      </w:tr>
      <w:tr w:rsidR="00791661" w:rsidRPr="00791661" w:rsidTr="00791661">
        <w:trPr>
          <w:trHeight w:val="153"/>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CGAAP/CWIP Differential - in effect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0.55</w:t>
            </w:r>
          </w:p>
        </w:tc>
      </w:tr>
      <w:tr w:rsidR="00791661" w:rsidRPr="00791661" w:rsidTr="00791661">
        <w:trPr>
          <w:trHeight w:val="153"/>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 xml:space="preserve">Rate Rider for </w:t>
            </w:r>
            <w:r>
              <w:rPr>
                <w:rFonts w:ascii="Arial" w:hAnsi="Arial" w:cs="Arial"/>
                <w:color w:val="000000"/>
                <w:sz w:val="16"/>
                <w:szCs w:val="16"/>
              </w:rPr>
              <w:t xml:space="preserve">Recovery of </w:t>
            </w:r>
            <w:r w:rsidRPr="00791661">
              <w:rPr>
                <w:rFonts w:ascii="Arial" w:hAnsi="Arial" w:cs="Arial"/>
                <w:color w:val="000000"/>
                <w:sz w:val="16"/>
                <w:szCs w:val="16"/>
              </w:rPr>
              <w:t>Foregone Revenue (2016) - effective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7.55</w:t>
            </w:r>
          </w:p>
        </w:tc>
      </w:tr>
      <w:tr w:rsidR="00791661" w:rsidRPr="00791661" w:rsidTr="00791661">
        <w:trPr>
          <w:trHeight w:val="153"/>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Smart  Grid True-up Variance Account (2014 balance)</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 </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 </w:t>
            </w:r>
          </w:p>
        </w:tc>
      </w:tr>
      <w:tr w:rsidR="00791661" w:rsidRPr="00791661" w:rsidTr="00791661">
        <w:trPr>
          <w:trHeight w:val="144"/>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xml:space="preserve"> - effective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(0.67)</w:t>
            </w:r>
          </w:p>
        </w:tc>
      </w:tr>
      <w:tr w:rsidR="00791661" w:rsidRPr="00791661" w:rsidTr="00791661">
        <w:trPr>
          <w:trHeight w:val="144"/>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Smart Metering Entity Charge - effective until October 31, 2018</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0.79</w:t>
            </w:r>
          </w:p>
        </w:tc>
      </w:tr>
      <w:tr w:rsidR="00791661" w:rsidRPr="00791661" w:rsidTr="00791661">
        <w:trPr>
          <w:trHeight w:val="126"/>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Distribution Volumetric Rate</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0.0153</w:t>
            </w:r>
          </w:p>
        </w:tc>
      </w:tr>
      <w:tr w:rsidR="00791661" w:rsidRPr="00791661" w:rsidTr="00791661">
        <w:trPr>
          <w:trHeight w:val="126"/>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Low Voltage Service Rate</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0.0003</w:t>
            </w:r>
          </w:p>
        </w:tc>
      </w:tr>
      <w:tr w:rsidR="00791661" w:rsidRPr="00791661" w:rsidTr="00791661">
        <w:trPr>
          <w:trHeight w:val="126"/>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 xml:space="preserve">Rate Rider for </w:t>
            </w:r>
            <w:r>
              <w:rPr>
                <w:rFonts w:ascii="Arial" w:hAnsi="Arial" w:cs="Arial"/>
                <w:color w:val="000000"/>
                <w:sz w:val="16"/>
                <w:szCs w:val="16"/>
              </w:rPr>
              <w:t xml:space="preserve">Recovery of </w:t>
            </w:r>
            <w:r w:rsidRPr="00791661">
              <w:rPr>
                <w:rFonts w:ascii="Arial" w:hAnsi="Arial" w:cs="Arial"/>
                <w:color w:val="000000"/>
                <w:sz w:val="16"/>
                <w:szCs w:val="16"/>
              </w:rPr>
              <w:t>Foregone Revenue (2016) - effective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left="-330" w:right="-2" w:firstLine="330"/>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0.0040</w:t>
            </w:r>
          </w:p>
        </w:tc>
      </w:tr>
      <w:tr w:rsidR="00791661" w:rsidRPr="00791661" w:rsidTr="00791661">
        <w:trPr>
          <w:trHeight w:val="117"/>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Deferral/Variance Account - Power (2016) - effective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(0.0026)</w:t>
            </w:r>
          </w:p>
        </w:tc>
      </w:tr>
      <w:tr w:rsidR="00791661" w:rsidRPr="00791661" w:rsidTr="00791661">
        <w:trPr>
          <w:trHeight w:val="117"/>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Lost Revenue Adjustment Mechanism Variance Account (2013 balance)</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 </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 </w:t>
            </w:r>
          </w:p>
        </w:tc>
      </w:tr>
      <w:tr w:rsidR="00791661" w:rsidRPr="00791661" w:rsidTr="00791661">
        <w:trPr>
          <w:trHeight w:val="108"/>
        </w:trPr>
        <w:tc>
          <w:tcPr>
            <w:tcW w:w="5932"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xml:space="preserve"> - effective until December 31, 2016</w:t>
            </w:r>
          </w:p>
        </w:tc>
        <w:tc>
          <w:tcPr>
            <w:tcW w:w="1892"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Calibri" w:hAnsi="Calibri" w:cs="Calibri"/>
                <w:color w:val="000000"/>
                <w:sz w:val="22"/>
                <w:szCs w:val="22"/>
              </w:rPr>
            </w:pPr>
            <w:r w:rsidRPr="00791661">
              <w:rPr>
                <w:rFonts w:ascii="Calibri" w:hAnsi="Calibri" w:cs="Calibri"/>
                <w:color w:val="000000"/>
                <w:sz w:val="22"/>
                <w:szCs w:val="22"/>
              </w:rPr>
              <w:t> </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0.0002</w:t>
            </w:r>
          </w:p>
        </w:tc>
      </w:tr>
      <w:tr w:rsidR="00791661" w:rsidRPr="00791661" w:rsidTr="00791661">
        <w:trPr>
          <w:trHeight w:val="171"/>
        </w:trPr>
        <w:tc>
          <w:tcPr>
            <w:tcW w:w="7824"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Account 1575 - effective until December 31, 2016</w:t>
            </w:r>
          </w:p>
        </w:tc>
        <w:tc>
          <w:tcPr>
            <w:tcW w:w="670"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2"/>
              <w:rPr>
                <w:rFonts w:ascii="Arial" w:hAnsi="Arial" w:cs="Arial"/>
                <w:color w:val="000000"/>
                <w:sz w:val="16"/>
                <w:szCs w:val="16"/>
              </w:rPr>
            </w:pPr>
            <w:r w:rsidRPr="00791661">
              <w:rPr>
                <w:rFonts w:ascii="Arial" w:hAnsi="Arial" w:cs="Arial"/>
                <w:color w:val="000000"/>
                <w:sz w:val="16"/>
                <w:szCs w:val="16"/>
              </w:rPr>
              <w:t>$/kWh</w:t>
            </w:r>
          </w:p>
        </w:tc>
        <w:tc>
          <w:tcPr>
            <w:tcW w:w="794" w:type="dxa"/>
            <w:tcBorders>
              <w:top w:val="nil"/>
              <w:left w:val="nil"/>
              <w:bottom w:val="nil"/>
              <w:right w:val="nil"/>
            </w:tcBorders>
            <w:shd w:val="clear" w:color="000000" w:fill="FFFFFF"/>
            <w:noWrap/>
            <w:hideMark/>
          </w:tcPr>
          <w:p w:rsidR="00791661" w:rsidRPr="00791661" w:rsidRDefault="00791661" w:rsidP="00791661">
            <w:pPr>
              <w:widowControl/>
              <w:autoSpaceDE/>
              <w:autoSpaceDN/>
              <w:adjustRightInd/>
              <w:ind w:right="-108"/>
              <w:jc w:val="right"/>
              <w:rPr>
                <w:rFonts w:ascii="Arial" w:hAnsi="Arial" w:cs="Arial"/>
                <w:color w:val="000000"/>
                <w:sz w:val="16"/>
                <w:szCs w:val="16"/>
              </w:rPr>
            </w:pPr>
            <w:r w:rsidRPr="00791661">
              <w:rPr>
                <w:rFonts w:ascii="Arial" w:hAnsi="Arial" w:cs="Arial"/>
                <w:color w:val="000000"/>
                <w:sz w:val="16"/>
                <w:szCs w:val="16"/>
              </w:rPr>
              <w:t>(0.0012)</w:t>
            </w:r>
          </w:p>
        </w:tc>
      </w:tr>
    </w:tbl>
    <w:p w:rsidR="00E37494" w:rsidRPr="00E24308"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0.00</w:t>
      </w:r>
      <w:r w:rsidR="00642429">
        <w:rPr>
          <w:rFonts w:ascii="Arial" w:hAnsi="Arial"/>
          <w:color w:val="000000"/>
          <w:sz w:val="16"/>
          <w:szCs w:val="16"/>
        </w:rPr>
        <w:t>72</w:t>
      </w:r>
    </w:p>
    <w:p w:rsidR="00E37494"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0.003</w:t>
      </w:r>
      <w:r w:rsidR="00642429">
        <w:rPr>
          <w:rFonts w:ascii="Arial" w:hAnsi="Arial"/>
          <w:color w:val="000000"/>
          <w:sz w:val="16"/>
          <w:szCs w:val="16"/>
        </w:rPr>
        <w:t>0</w:t>
      </w:r>
    </w:p>
    <w:p w:rsidR="00CC2DCE" w:rsidRDefault="00CC2DCE" w:rsidP="00A9631A">
      <w:pPr>
        <w:tabs>
          <w:tab w:val="left" w:pos="6543"/>
          <w:tab w:val="left" w:pos="7765"/>
        </w:tabs>
        <w:rPr>
          <w:rFonts w:ascii="Arial" w:hAnsi="Arial"/>
          <w:color w:val="000000"/>
          <w:sz w:val="16"/>
          <w:szCs w:val="16"/>
        </w:rPr>
      </w:pPr>
    </w:p>
    <w:p w:rsidR="000740C7" w:rsidRDefault="000740C7" w:rsidP="000740C7">
      <w:pPr>
        <w:tabs>
          <w:tab w:val="left" w:pos="6543"/>
          <w:tab w:val="left" w:pos="7765"/>
        </w:tabs>
        <w:rPr>
          <w:rFonts w:ascii="Arial" w:hAnsi="Arial"/>
          <w:b/>
          <w:color w:val="000000"/>
          <w:sz w:val="28"/>
          <w:szCs w:val="28"/>
        </w:rPr>
      </w:pPr>
    </w:p>
    <w:p w:rsidR="00A30DE3" w:rsidRDefault="00A30DE3" w:rsidP="000740C7">
      <w:pPr>
        <w:tabs>
          <w:tab w:val="left" w:pos="6543"/>
          <w:tab w:val="left" w:pos="7765"/>
        </w:tabs>
        <w:rPr>
          <w:rFonts w:ascii="Arial" w:hAnsi="Arial"/>
          <w:b/>
          <w:color w:val="000000"/>
          <w:sz w:val="28"/>
          <w:szCs w:val="28"/>
        </w:rPr>
      </w:pPr>
    </w:p>
    <w:p w:rsidR="00A30DE3" w:rsidRDefault="00A30DE3" w:rsidP="000740C7">
      <w:pPr>
        <w:tabs>
          <w:tab w:val="left" w:pos="6543"/>
          <w:tab w:val="left" w:pos="7765"/>
        </w:tabs>
        <w:rPr>
          <w:rFonts w:ascii="Arial" w:hAnsi="Arial"/>
          <w:b/>
          <w:color w:val="000000"/>
          <w:sz w:val="28"/>
          <w:szCs w:val="28"/>
        </w:rPr>
      </w:pPr>
    </w:p>
    <w:p w:rsidR="00A30DE3" w:rsidRDefault="00A30DE3" w:rsidP="000740C7">
      <w:pPr>
        <w:tabs>
          <w:tab w:val="left" w:pos="6543"/>
          <w:tab w:val="left" w:pos="7765"/>
        </w:tabs>
        <w:rPr>
          <w:rFonts w:ascii="Arial" w:hAnsi="Arial"/>
          <w:b/>
          <w:color w:val="000000"/>
          <w:sz w:val="28"/>
          <w:szCs w:val="28"/>
        </w:rPr>
      </w:pPr>
    </w:p>
    <w:p w:rsidR="000740C7" w:rsidRPr="009243B8" w:rsidRDefault="000740C7" w:rsidP="000740C7">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w:t>
      </w:r>
      <w:r>
        <w:rPr>
          <w:rFonts w:ascii="Arial" w:hAnsi="Arial"/>
          <w:b/>
          <w:color w:val="000000"/>
          <w:sz w:val="28"/>
          <w:szCs w:val="28"/>
        </w:rPr>
        <w:t xml:space="preserve">LESS THAN </w:t>
      </w:r>
      <w:r w:rsidRPr="009243B8">
        <w:rPr>
          <w:rFonts w:ascii="Arial" w:hAnsi="Arial"/>
          <w:b/>
          <w:color w:val="000000"/>
          <w:sz w:val="28"/>
          <w:szCs w:val="28"/>
        </w:rPr>
        <w:t xml:space="preserve">50 kW </w:t>
      </w:r>
      <w:r w:rsidRPr="009243B8">
        <w:rPr>
          <w:rFonts w:ascii="Arial" w:hAnsi="Arial" w:cs="Arial"/>
          <w:b/>
          <w:bCs/>
          <w:sz w:val="28"/>
          <w:szCs w:val="28"/>
        </w:rPr>
        <w:t>SERVICE CLASSIFICATION</w:t>
      </w:r>
    </w:p>
    <w:p w:rsidR="000740C7" w:rsidRDefault="000740C7" w:rsidP="000740C7">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791661">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w:t>
      </w:r>
      <w:r w:rsidR="00AB0A7A">
        <w:rPr>
          <w:rFonts w:ascii="Arial" w:hAnsi="Arial" w:cs="Arial"/>
          <w:sz w:val="18"/>
          <w:szCs w:val="18"/>
        </w:rPr>
        <w:t>ssification refers to a non-</w:t>
      </w:r>
      <w:r w:rsidRPr="00A61F9C">
        <w:rPr>
          <w:rFonts w:ascii="Arial" w:hAnsi="Arial" w:cs="Arial"/>
          <w:sz w:val="18"/>
          <w:szCs w:val="18"/>
        </w:rPr>
        <w:t>residential account whose monthly average peak demand is equal to or greater than, or is forecast to be equal to or greater than, 50 kW but less than 5,000 kW</w:t>
      </w:r>
      <w:r>
        <w:rPr>
          <w:rFonts w:ascii="Arial" w:hAnsi="Arial" w:cs="Arial"/>
          <w:sz w:val="18"/>
          <w:szCs w:val="18"/>
        </w:rPr>
        <w:t>, both regular and interval metered</w:t>
      </w:r>
      <w:r w:rsidRPr="00A61F9C">
        <w:rPr>
          <w:rFonts w:ascii="Arial" w:hAnsi="Arial" w:cs="Arial"/>
          <w:sz w:val="18"/>
          <w:szCs w:val="18"/>
        </w:rPr>
        <w:t xml:space="preserve">. </w:t>
      </w:r>
      <w:r>
        <w:rPr>
          <w:rFonts w:ascii="Arial" w:hAnsi="Arial" w:cs="Arial"/>
          <w:sz w:val="18"/>
          <w:szCs w:val="18"/>
        </w:rPr>
        <w:t xml:space="preserve"> </w:t>
      </w:r>
      <w:r w:rsidRPr="00A61F9C">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417055">
        <w:rPr>
          <w:rFonts w:ascii="Arial" w:hAnsi="Arial" w:cs="Arial"/>
          <w:b/>
          <w:bCs/>
          <w:sz w:val="20"/>
          <w:szCs w:val="20"/>
        </w:rPr>
        <w:t>MONTHLY R</w:t>
      </w:r>
      <w:r w:rsidRPr="00113C96">
        <w:rPr>
          <w:rFonts w:ascii="Arial" w:hAnsi="Arial" w:cs="Arial"/>
          <w:b/>
          <w:bCs/>
          <w:sz w:val="20"/>
          <w:szCs w:val="20"/>
        </w:rPr>
        <w:t>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D80AF4">
      <w:pPr>
        <w:tabs>
          <w:tab w:val="left" w:pos="6543"/>
          <w:tab w:val="left" w:pos="7765"/>
        </w:tabs>
        <w:rPr>
          <w:rFonts w:ascii="Arial" w:hAnsi="Arial"/>
          <w:color w:val="000000"/>
          <w:sz w:val="16"/>
          <w:szCs w:val="16"/>
        </w:rPr>
      </w:pPr>
    </w:p>
    <w:tbl>
      <w:tblPr>
        <w:tblW w:w="9738" w:type="dxa"/>
        <w:tblLook w:val="04A0" w:firstRow="1" w:lastRow="0" w:firstColumn="1" w:lastColumn="0" w:noHBand="0" w:noVBand="1"/>
      </w:tblPr>
      <w:tblGrid>
        <w:gridCol w:w="6140"/>
        <w:gridCol w:w="1708"/>
        <w:gridCol w:w="640"/>
        <w:gridCol w:w="1250"/>
      </w:tblGrid>
      <w:tr w:rsidR="00791661" w:rsidRPr="00791661" w:rsidTr="00AB0A7A">
        <w:trPr>
          <w:trHeight w:val="162"/>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Service Charge</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138.48</w:t>
            </w:r>
          </w:p>
        </w:tc>
      </w:tr>
      <w:tr w:rsidR="00791661" w:rsidRPr="00791661" w:rsidTr="00AB0A7A">
        <w:trPr>
          <w:trHeight w:val="153"/>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CGAAP/CWIP Differential - in effect until December 31, 2016</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6.99</w:t>
            </w:r>
          </w:p>
        </w:tc>
      </w:tr>
      <w:tr w:rsidR="00791661" w:rsidRPr="00791661" w:rsidTr="00AB0A7A">
        <w:trPr>
          <w:trHeight w:val="153"/>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Foregone Revenue (2016) - effective until December 31, 2016</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(2.13)</w:t>
            </w:r>
          </w:p>
        </w:tc>
      </w:tr>
      <w:tr w:rsidR="00791661" w:rsidRPr="00791661" w:rsidTr="00AB0A7A">
        <w:trPr>
          <w:trHeight w:val="153"/>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Smart  Grid True-up Variance Account (2014 balance)</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 </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 </w:t>
            </w:r>
          </w:p>
        </w:tc>
      </w:tr>
      <w:tr w:rsidR="00791661" w:rsidRPr="00791661" w:rsidTr="00AB0A7A">
        <w:trPr>
          <w:trHeight w:val="144"/>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xml:space="preserve"> - effective until September 30, 2017</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(4.81)</w:t>
            </w:r>
          </w:p>
        </w:tc>
      </w:tr>
      <w:tr w:rsidR="00791661" w:rsidRPr="00791661" w:rsidTr="00AB0A7A">
        <w:trPr>
          <w:trHeight w:val="144"/>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Distribution Volumetric Rate</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3.7199</w:t>
            </w:r>
          </w:p>
        </w:tc>
      </w:tr>
      <w:tr w:rsidR="00791661" w:rsidRPr="00791661" w:rsidTr="00AB0A7A">
        <w:trPr>
          <w:trHeight w:val="60"/>
        </w:trPr>
        <w:tc>
          <w:tcPr>
            <w:tcW w:w="6140"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Low Voltage Service Rate</w:t>
            </w:r>
          </w:p>
        </w:tc>
        <w:tc>
          <w:tcPr>
            <w:tcW w:w="1708"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Calibri" w:hAnsi="Calibri" w:cs="Calibri"/>
                <w:color w:val="000000"/>
                <w:sz w:val="22"/>
                <w:szCs w:val="22"/>
              </w:rPr>
            </w:pPr>
            <w:r w:rsidRPr="00791661">
              <w:rPr>
                <w:rFonts w:ascii="Calibri" w:hAnsi="Calibri" w:cs="Calibri"/>
                <w:color w:val="000000"/>
                <w:sz w:val="22"/>
                <w:szCs w:val="22"/>
              </w:rPr>
              <w:t> </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0.1189</w:t>
            </w:r>
          </w:p>
        </w:tc>
      </w:tr>
      <w:tr w:rsidR="00791661" w:rsidRPr="00791661" w:rsidTr="00AB0A7A">
        <w:trPr>
          <w:trHeight w:val="144"/>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Foregone Revenue (2016) - effective until December 31, 2016</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1.1617</w:t>
            </w:r>
          </w:p>
        </w:tc>
      </w:tr>
      <w:tr w:rsidR="00791661" w:rsidRPr="00791661" w:rsidTr="00AB0A7A">
        <w:trPr>
          <w:trHeight w:val="126"/>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Lost Revenue Adjustment Mechanism Variance Account (2013 balance)</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 </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 </w:t>
            </w:r>
          </w:p>
        </w:tc>
      </w:tr>
      <w:tr w:rsidR="00791661" w:rsidRPr="00791661" w:rsidTr="00AB0A7A">
        <w:trPr>
          <w:trHeight w:val="126"/>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xml:space="preserve"> - effective until September 30, 2017</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(0.0196)</w:t>
            </w:r>
          </w:p>
        </w:tc>
      </w:tr>
      <w:tr w:rsidR="00791661" w:rsidRPr="00791661" w:rsidTr="00AB0A7A">
        <w:trPr>
          <w:trHeight w:val="117"/>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Global Adjustment Sub-Account (2016) - effective until September 30, 2017</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 </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 </w:t>
            </w:r>
          </w:p>
        </w:tc>
      </w:tr>
      <w:tr w:rsidR="00791661" w:rsidRPr="00791661" w:rsidTr="00AB0A7A">
        <w:trPr>
          <w:trHeight w:val="117"/>
        </w:trPr>
        <w:tc>
          <w:tcPr>
            <w:tcW w:w="6140"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Applicable only for Non-RPP Customers</w:t>
            </w:r>
          </w:p>
        </w:tc>
        <w:tc>
          <w:tcPr>
            <w:tcW w:w="1708" w:type="dxa"/>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Calibri" w:hAnsi="Calibri" w:cs="Calibri"/>
                <w:color w:val="000000"/>
                <w:sz w:val="22"/>
                <w:szCs w:val="22"/>
              </w:rPr>
            </w:pPr>
            <w:r w:rsidRPr="00791661">
              <w:rPr>
                <w:rFonts w:ascii="Calibri" w:hAnsi="Calibri" w:cs="Calibri"/>
                <w:color w:val="000000"/>
                <w:sz w:val="22"/>
                <w:szCs w:val="22"/>
              </w:rPr>
              <w:t> </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0.8637</w:t>
            </w:r>
          </w:p>
        </w:tc>
      </w:tr>
      <w:tr w:rsidR="00791661" w:rsidRPr="00791661" w:rsidTr="00AB0A7A">
        <w:trPr>
          <w:trHeight w:val="117"/>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Deferral/Variance Account (2016) - effective until September 30, 2017</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0.2338</w:t>
            </w:r>
          </w:p>
        </w:tc>
      </w:tr>
      <w:tr w:rsidR="00791661" w:rsidRPr="00791661" w:rsidTr="00AB0A7A">
        <w:trPr>
          <w:trHeight w:val="117"/>
        </w:trPr>
        <w:tc>
          <w:tcPr>
            <w:tcW w:w="7848" w:type="dxa"/>
            <w:gridSpan w:val="2"/>
            <w:tcBorders>
              <w:top w:val="nil"/>
              <w:left w:val="nil"/>
              <w:bottom w:val="nil"/>
              <w:right w:val="nil"/>
            </w:tcBorders>
            <w:shd w:val="clear" w:color="000000" w:fill="FFFFFF"/>
            <w:hideMark/>
          </w:tcPr>
          <w:p w:rsidR="00791661" w:rsidRPr="00791661" w:rsidRDefault="00791661" w:rsidP="00791661">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Deferral/Variance Account - Power (2016) - effective until September 30, 2017</w:t>
            </w:r>
          </w:p>
        </w:tc>
        <w:tc>
          <w:tcPr>
            <w:tcW w:w="640" w:type="dxa"/>
            <w:tcBorders>
              <w:top w:val="nil"/>
              <w:left w:val="nil"/>
              <w:bottom w:val="nil"/>
              <w:right w:val="nil"/>
            </w:tcBorders>
            <w:shd w:val="clear" w:color="000000" w:fill="FFFFFF"/>
            <w:noWrap/>
            <w:hideMark/>
          </w:tcPr>
          <w:p w:rsidR="00791661" w:rsidRPr="00791661" w:rsidRDefault="00791661" w:rsidP="00AB0A7A">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791661" w:rsidRPr="00791661" w:rsidRDefault="00791661" w:rsidP="00AB0A7A">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(0.2449)</w:t>
            </w:r>
          </w:p>
        </w:tc>
      </w:tr>
      <w:tr w:rsidR="000740C7" w:rsidRPr="00791661" w:rsidTr="000740C7">
        <w:trPr>
          <w:trHeight w:val="108"/>
        </w:trPr>
        <w:tc>
          <w:tcPr>
            <w:tcW w:w="6140" w:type="dxa"/>
            <w:tcBorders>
              <w:top w:val="nil"/>
              <w:left w:val="nil"/>
              <w:bottom w:val="nil"/>
              <w:right w:val="nil"/>
            </w:tcBorders>
            <w:shd w:val="clear" w:color="000000" w:fill="FFFFFF"/>
            <w:hideMark/>
          </w:tcPr>
          <w:p w:rsidR="000740C7" w:rsidRPr="00791661" w:rsidRDefault="000740C7" w:rsidP="000740C7">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Disposition of Deferral/Variance Accounts - Group 2 (2016)</w:t>
            </w:r>
          </w:p>
        </w:tc>
        <w:tc>
          <w:tcPr>
            <w:tcW w:w="1708" w:type="dxa"/>
            <w:tcBorders>
              <w:top w:val="nil"/>
              <w:left w:val="nil"/>
              <w:bottom w:val="nil"/>
              <w:right w:val="nil"/>
            </w:tcBorders>
            <w:shd w:val="clear" w:color="000000" w:fill="FFFFFF"/>
            <w:hideMark/>
          </w:tcPr>
          <w:p w:rsidR="000740C7" w:rsidRPr="00791661" w:rsidRDefault="000740C7" w:rsidP="000740C7">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w:t>
            </w:r>
          </w:p>
        </w:tc>
        <w:tc>
          <w:tcPr>
            <w:tcW w:w="640" w:type="dxa"/>
            <w:tcBorders>
              <w:top w:val="nil"/>
              <w:left w:val="nil"/>
              <w:bottom w:val="nil"/>
              <w:right w:val="nil"/>
            </w:tcBorders>
            <w:shd w:val="clear" w:color="000000" w:fill="FFFFFF"/>
            <w:noWrap/>
            <w:hideMark/>
          </w:tcPr>
          <w:p w:rsidR="000740C7" w:rsidRPr="00791661" w:rsidRDefault="000740C7" w:rsidP="000740C7">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 </w:t>
            </w:r>
          </w:p>
        </w:tc>
        <w:tc>
          <w:tcPr>
            <w:tcW w:w="1250" w:type="dxa"/>
            <w:tcBorders>
              <w:top w:val="nil"/>
              <w:left w:val="nil"/>
              <w:bottom w:val="nil"/>
              <w:right w:val="nil"/>
            </w:tcBorders>
            <w:shd w:val="clear" w:color="000000" w:fill="FFFFFF"/>
            <w:noWrap/>
            <w:hideMark/>
          </w:tcPr>
          <w:p w:rsidR="000740C7" w:rsidRPr="00791661" w:rsidRDefault="000740C7" w:rsidP="000740C7">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 </w:t>
            </w:r>
          </w:p>
        </w:tc>
      </w:tr>
      <w:tr w:rsidR="000740C7" w:rsidRPr="00791661" w:rsidTr="000740C7">
        <w:trPr>
          <w:trHeight w:val="108"/>
        </w:trPr>
        <w:tc>
          <w:tcPr>
            <w:tcW w:w="6140" w:type="dxa"/>
            <w:tcBorders>
              <w:top w:val="nil"/>
              <w:left w:val="nil"/>
              <w:bottom w:val="nil"/>
              <w:right w:val="nil"/>
            </w:tcBorders>
            <w:shd w:val="clear" w:color="000000" w:fill="FFFFFF"/>
            <w:hideMark/>
          </w:tcPr>
          <w:p w:rsidR="000740C7" w:rsidRPr="00791661" w:rsidRDefault="000740C7" w:rsidP="000740C7">
            <w:pPr>
              <w:widowControl/>
              <w:autoSpaceDE/>
              <w:autoSpaceDN/>
              <w:adjustRightInd/>
              <w:ind w:firstLineChars="100" w:firstLine="160"/>
              <w:rPr>
                <w:rFonts w:ascii="Arial" w:hAnsi="Arial" w:cs="Arial"/>
                <w:color w:val="000000"/>
                <w:sz w:val="16"/>
                <w:szCs w:val="16"/>
              </w:rPr>
            </w:pPr>
            <w:r w:rsidRPr="00791661">
              <w:rPr>
                <w:rFonts w:ascii="Arial" w:hAnsi="Arial" w:cs="Arial"/>
                <w:color w:val="000000"/>
                <w:sz w:val="16"/>
                <w:szCs w:val="16"/>
              </w:rPr>
              <w:t xml:space="preserve"> - effective until September 30, 2017</w:t>
            </w:r>
          </w:p>
        </w:tc>
        <w:tc>
          <w:tcPr>
            <w:tcW w:w="1708" w:type="dxa"/>
            <w:tcBorders>
              <w:top w:val="nil"/>
              <w:left w:val="nil"/>
              <w:bottom w:val="nil"/>
              <w:right w:val="nil"/>
            </w:tcBorders>
            <w:shd w:val="clear" w:color="000000" w:fill="FFFFFF"/>
            <w:hideMark/>
          </w:tcPr>
          <w:p w:rsidR="000740C7" w:rsidRPr="00791661" w:rsidRDefault="000740C7" w:rsidP="000740C7">
            <w:pPr>
              <w:widowControl/>
              <w:autoSpaceDE/>
              <w:autoSpaceDN/>
              <w:adjustRightInd/>
              <w:rPr>
                <w:rFonts w:ascii="Calibri" w:hAnsi="Calibri" w:cs="Calibri"/>
                <w:color w:val="000000"/>
                <w:sz w:val="22"/>
                <w:szCs w:val="22"/>
              </w:rPr>
            </w:pPr>
            <w:r w:rsidRPr="00791661">
              <w:rPr>
                <w:rFonts w:ascii="Calibri" w:hAnsi="Calibri" w:cs="Calibri"/>
                <w:color w:val="000000"/>
                <w:sz w:val="22"/>
                <w:szCs w:val="22"/>
              </w:rPr>
              <w:t> </w:t>
            </w:r>
          </w:p>
        </w:tc>
        <w:tc>
          <w:tcPr>
            <w:tcW w:w="640" w:type="dxa"/>
            <w:tcBorders>
              <w:top w:val="nil"/>
              <w:left w:val="nil"/>
              <w:bottom w:val="nil"/>
              <w:right w:val="nil"/>
            </w:tcBorders>
            <w:shd w:val="clear" w:color="000000" w:fill="FFFFFF"/>
            <w:noWrap/>
            <w:hideMark/>
          </w:tcPr>
          <w:p w:rsidR="000740C7" w:rsidRPr="00791661" w:rsidRDefault="000740C7" w:rsidP="000740C7">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0740C7" w:rsidRPr="00791661" w:rsidRDefault="000740C7" w:rsidP="000740C7">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0.1273</w:t>
            </w:r>
          </w:p>
        </w:tc>
      </w:tr>
      <w:tr w:rsidR="000740C7" w:rsidRPr="00791661" w:rsidTr="000740C7">
        <w:trPr>
          <w:trHeight w:val="171"/>
        </w:trPr>
        <w:tc>
          <w:tcPr>
            <w:tcW w:w="7848" w:type="dxa"/>
            <w:gridSpan w:val="2"/>
            <w:tcBorders>
              <w:top w:val="nil"/>
              <w:left w:val="nil"/>
              <w:bottom w:val="nil"/>
              <w:right w:val="nil"/>
            </w:tcBorders>
            <w:shd w:val="clear" w:color="000000" w:fill="FFFFFF"/>
            <w:hideMark/>
          </w:tcPr>
          <w:p w:rsidR="000740C7" w:rsidRPr="00791661" w:rsidRDefault="000740C7" w:rsidP="000740C7">
            <w:pPr>
              <w:widowControl/>
              <w:autoSpaceDE/>
              <w:autoSpaceDN/>
              <w:adjustRightInd/>
              <w:rPr>
                <w:rFonts w:ascii="Arial" w:hAnsi="Arial" w:cs="Arial"/>
                <w:color w:val="000000"/>
                <w:sz w:val="16"/>
                <w:szCs w:val="16"/>
              </w:rPr>
            </w:pPr>
            <w:r w:rsidRPr="00791661">
              <w:rPr>
                <w:rFonts w:ascii="Arial" w:hAnsi="Arial" w:cs="Arial"/>
                <w:color w:val="000000"/>
                <w:sz w:val="16"/>
                <w:szCs w:val="16"/>
              </w:rPr>
              <w:t>Rate Rider for Recovery of Account 1575 - effective until September 30, 2017</w:t>
            </w:r>
          </w:p>
        </w:tc>
        <w:tc>
          <w:tcPr>
            <w:tcW w:w="640" w:type="dxa"/>
            <w:tcBorders>
              <w:top w:val="nil"/>
              <w:left w:val="nil"/>
              <w:bottom w:val="nil"/>
              <w:right w:val="nil"/>
            </w:tcBorders>
            <w:shd w:val="clear" w:color="000000" w:fill="FFFFFF"/>
            <w:noWrap/>
            <w:hideMark/>
          </w:tcPr>
          <w:p w:rsidR="000740C7" w:rsidRPr="00791661" w:rsidRDefault="000740C7" w:rsidP="000740C7">
            <w:pPr>
              <w:widowControl/>
              <w:autoSpaceDE/>
              <w:autoSpaceDN/>
              <w:adjustRightInd/>
              <w:ind w:left="-360" w:firstLine="360"/>
              <w:rPr>
                <w:rFonts w:ascii="Arial" w:hAnsi="Arial" w:cs="Arial"/>
                <w:color w:val="000000"/>
                <w:sz w:val="16"/>
                <w:szCs w:val="16"/>
              </w:rPr>
            </w:pPr>
            <w:r w:rsidRPr="00791661">
              <w:rPr>
                <w:rFonts w:ascii="Arial" w:hAnsi="Arial" w:cs="Arial"/>
                <w:color w:val="000000"/>
                <w:sz w:val="16"/>
                <w:szCs w:val="16"/>
              </w:rPr>
              <w:t>$/kW</w:t>
            </w:r>
          </w:p>
        </w:tc>
        <w:tc>
          <w:tcPr>
            <w:tcW w:w="1250" w:type="dxa"/>
            <w:tcBorders>
              <w:top w:val="nil"/>
              <w:left w:val="nil"/>
              <w:bottom w:val="nil"/>
              <w:right w:val="nil"/>
            </w:tcBorders>
            <w:shd w:val="clear" w:color="000000" w:fill="FFFFFF"/>
            <w:noWrap/>
            <w:hideMark/>
          </w:tcPr>
          <w:p w:rsidR="000740C7" w:rsidRPr="00791661" w:rsidRDefault="000740C7" w:rsidP="000740C7">
            <w:pPr>
              <w:widowControl/>
              <w:tabs>
                <w:tab w:val="left" w:pos="512"/>
              </w:tabs>
              <w:autoSpaceDE/>
              <w:autoSpaceDN/>
              <w:adjustRightInd/>
              <w:ind w:left="-360" w:right="384" w:firstLine="360"/>
              <w:jc w:val="right"/>
              <w:rPr>
                <w:rFonts w:ascii="Arial" w:hAnsi="Arial" w:cs="Arial"/>
                <w:color w:val="000000"/>
                <w:sz w:val="16"/>
                <w:szCs w:val="16"/>
              </w:rPr>
            </w:pPr>
            <w:r w:rsidRPr="00791661">
              <w:rPr>
                <w:rFonts w:ascii="Arial" w:hAnsi="Arial" w:cs="Arial"/>
                <w:color w:val="000000"/>
                <w:sz w:val="16"/>
                <w:szCs w:val="16"/>
              </w:rPr>
              <w:t>(0.1105)</w:t>
            </w:r>
          </w:p>
        </w:tc>
      </w:tr>
    </w:tbl>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2.9192</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1.1726</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Pr>
          <w:rFonts w:ascii="Arial" w:hAnsi="Arial"/>
          <w:color w:val="000000"/>
          <w:sz w:val="16"/>
          <w:szCs w:val="16"/>
        </w:rPr>
        <w:t xml:space="preserve"> – Interval Metered</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3.0601</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Pr>
          <w:rFonts w:ascii="Arial" w:hAnsi="Arial"/>
          <w:color w:val="000000"/>
          <w:sz w:val="16"/>
          <w:szCs w:val="16"/>
        </w:rPr>
        <w:t xml:space="preserve"> – Interval Metered</w:t>
      </w:r>
      <w:r>
        <w:rPr>
          <w:rFonts w:ascii="Arial" w:hAnsi="Arial"/>
          <w:color w:val="000000"/>
          <w:sz w:val="16"/>
          <w:szCs w:val="16"/>
        </w:rPr>
        <w:tab/>
        <w:t xml:space="preserve">  </w:t>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1.2687</w:t>
      </w:r>
    </w:p>
    <w:p w:rsidR="000740C7" w:rsidRDefault="000740C7" w:rsidP="000740C7">
      <w:pPr>
        <w:widowControl/>
        <w:autoSpaceDE/>
        <w:autoSpaceDN/>
        <w:adjustRightInd/>
        <w:rPr>
          <w:rFonts w:ascii="Arial" w:hAnsi="Arial"/>
          <w:color w:val="000000"/>
          <w:sz w:val="16"/>
          <w:szCs w:val="16"/>
        </w:rPr>
      </w:pPr>
    </w:p>
    <w:p w:rsidR="000740C7" w:rsidRDefault="000740C7" w:rsidP="00642429">
      <w:pPr>
        <w:jc w:val="both"/>
        <w:rPr>
          <w:rFonts w:ascii="Arial" w:hAnsi="Arial" w:cs="Arial"/>
          <w:b/>
          <w:bCs/>
          <w:sz w:val="20"/>
          <w:szCs w:val="20"/>
        </w:rPr>
      </w:pPr>
    </w:p>
    <w:p w:rsidR="00A30DE3" w:rsidRPr="009243B8" w:rsidRDefault="00A30DE3" w:rsidP="00A30DE3">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A30DE3" w:rsidRDefault="00A30DE3"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7D30CB">
      <w:pPr>
        <w:tabs>
          <w:tab w:val="left" w:pos="6543"/>
          <w:tab w:val="left" w:pos="7765"/>
        </w:tabs>
        <w:rPr>
          <w:rFonts w:ascii="Arial" w:hAnsi="Arial"/>
          <w:b/>
          <w:color w:val="000000"/>
          <w:sz w:val="28"/>
          <w:szCs w:val="28"/>
        </w:rPr>
      </w:pP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whose monthly average peak demand is equal to or greater than, or is forecast to be equal to or greater than, 5,000 kW.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AC7577">
      <w:pPr>
        <w:widowControl/>
        <w:rPr>
          <w:rFonts w:ascii="Arial" w:hAnsi="Arial" w:cs="Arial"/>
          <w:sz w:val="16"/>
          <w:szCs w:val="16"/>
        </w:rPr>
      </w:pPr>
    </w:p>
    <w:tbl>
      <w:tblPr>
        <w:tblW w:w="9468" w:type="dxa"/>
        <w:tblLook w:val="04A0" w:firstRow="1" w:lastRow="0" w:firstColumn="1" w:lastColumn="0" w:noHBand="0" w:noVBand="1"/>
      </w:tblPr>
      <w:tblGrid>
        <w:gridCol w:w="91"/>
        <w:gridCol w:w="5779"/>
        <w:gridCol w:w="1630"/>
        <w:gridCol w:w="90"/>
        <w:gridCol w:w="195"/>
        <w:gridCol w:w="90"/>
        <w:gridCol w:w="581"/>
        <w:gridCol w:w="127"/>
        <w:gridCol w:w="801"/>
        <w:gridCol w:w="84"/>
      </w:tblGrid>
      <w:tr w:rsidR="009E7263" w:rsidRPr="009E7263" w:rsidTr="00B6412F">
        <w:trPr>
          <w:gridAfter w:val="1"/>
          <w:wAfter w:w="84" w:type="dxa"/>
          <w:trHeight w:val="108"/>
        </w:trPr>
        <w:tc>
          <w:tcPr>
            <w:tcW w:w="5870" w:type="dxa"/>
            <w:gridSpan w:val="2"/>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Service Charge</w:t>
            </w:r>
          </w:p>
        </w:tc>
        <w:tc>
          <w:tcPr>
            <w:tcW w:w="2005" w:type="dxa"/>
            <w:gridSpan w:val="4"/>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Calibri" w:hAnsi="Calibri" w:cs="Calibri"/>
                <w:color w:val="000000"/>
                <w:sz w:val="22"/>
                <w:szCs w:val="22"/>
              </w:rPr>
            </w:pPr>
            <w:r w:rsidRPr="009E7263">
              <w:rPr>
                <w:rFonts w:ascii="Calibri" w:hAnsi="Calibri" w:cs="Calibri"/>
                <w:color w:val="000000"/>
                <w:sz w:val="22"/>
                <w:szCs w:val="22"/>
              </w:rPr>
              <w:t> </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5,758.58</w:t>
            </w:r>
          </w:p>
        </w:tc>
      </w:tr>
      <w:tr w:rsidR="009E7263" w:rsidRPr="009E7263" w:rsidTr="00B6412F">
        <w:trPr>
          <w:gridAfter w:val="1"/>
          <w:wAfter w:w="84" w:type="dxa"/>
          <w:trHeight w:val="108"/>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Recovery of CGAAP/CWIP Differential - in effect until December 31, 2016</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104.59</w:t>
            </w:r>
          </w:p>
        </w:tc>
      </w:tr>
      <w:tr w:rsidR="009E7263" w:rsidRPr="009E7263" w:rsidTr="00B6412F">
        <w:trPr>
          <w:gridAfter w:val="1"/>
          <w:wAfter w:w="84" w:type="dxa"/>
          <w:trHeight w:val="189"/>
        </w:trPr>
        <w:tc>
          <w:tcPr>
            <w:tcW w:w="5870" w:type="dxa"/>
            <w:gridSpan w:val="2"/>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Foregone Revenue (2016) - effective until December 31, 2016</w:t>
            </w:r>
          </w:p>
        </w:tc>
        <w:tc>
          <w:tcPr>
            <w:tcW w:w="2005" w:type="dxa"/>
            <w:gridSpan w:val="4"/>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Calibri" w:hAnsi="Calibri" w:cs="Calibri"/>
                <w:color w:val="000000"/>
                <w:sz w:val="22"/>
                <w:szCs w:val="22"/>
              </w:rPr>
            </w:pPr>
            <w:r w:rsidRPr="009E7263">
              <w:rPr>
                <w:rFonts w:ascii="Calibri" w:hAnsi="Calibri" w:cs="Calibri"/>
                <w:color w:val="000000"/>
                <w:sz w:val="22"/>
                <w:szCs w:val="22"/>
              </w:rPr>
              <w:t> </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(715.92)</w:t>
            </w:r>
          </w:p>
        </w:tc>
      </w:tr>
      <w:tr w:rsidR="009E7263" w:rsidRPr="009E7263" w:rsidTr="00B6412F">
        <w:trPr>
          <w:gridAfter w:val="1"/>
          <w:wAfter w:w="84" w:type="dxa"/>
          <w:trHeight w:val="99"/>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Disposition of Smart  Grid True-up Variance Account (2014 balance)</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 </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 </w:t>
            </w:r>
          </w:p>
        </w:tc>
      </w:tr>
      <w:tr w:rsidR="009E7263" w:rsidRPr="009E7263" w:rsidTr="00B6412F">
        <w:trPr>
          <w:gridAfter w:val="1"/>
          <w:wAfter w:w="84" w:type="dxa"/>
          <w:trHeight w:val="99"/>
        </w:trPr>
        <w:tc>
          <w:tcPr>
            <w:tcW w:w="5870" w:type="dxa"/>
            <w:gridSpan w:val="2"/>
            <w:tcBorders>
              <w:top w:val="nil"/>
              <w:left w:val="nil"/>
              <w:bottom w:val="nil"/>
              <w:right w:val="nil"/>
            </w:tcBorders>
            <w:shd w:val="clear" w:color="000000" w:fill="FFFFFF"/>
            <w:hideMark/>
          </w:tcPr>
          <w:p w:rsidR="009E7263" w:rsidRPr="009E7263" w:rsidRDefault="009E7263" w:rsidP="009E7263">
            <w:pPr>
              <w:widowControl/>
              <w:autoSpaceDE/>
              <w:autoSpaceDN/>
              <w:adjustRightInd/>
              <w:ind w:firstLineChars="100" w:firstLine="160"/>
              <w:rPr>
                <w:rFonts w:ascii="Arial" w:hAnsi="Arial" w:cs="Arial"/>
                <w:color w:val="000000"/>
                <w:sz w:val="16"/>
                <w:szCs w:val="16"/>
              </w:rPr>
            </w:pPr>
            <w:r w:rsidRPr="009E7263">
              <w:rPr>
                <w:rFonts w:ascii="Arial" w:hAnsi="Arial" w:cs="Arial"/>
                <w:color w:val="000000"/>
                <w:sz w:val="16"/>
                <w:szCs w:val="16"/>
              </w:rPr>
              <w:t xml:space="preserve"> - effective until December 31, 2016</w:t>
            </w:r>
          </w:p>
        </w:tc>
        <w:tc>
          <w:tcPr>
            <w:tcW w:w="2005" w:type="dxa"/>
            <w:gridSpan w:val="4"/>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Calibri" w:hAnsi="Calibri" w:cs="Calibri"/>
                <w:color w:val="000000"/>
                <w:sz w:val="22"/>
                <w:szCs w:val="22"/>
              </w:rPr>
            </w:pPr>
            <w:r w:rsidRPr="009E7263">
              <w:rPr>
                <w:rFonts w:ascii="Calibri" w:hAnsi="Calibri" w:cs="Calibri"/>
                <w:color w:val="000000"/>
                <w:sz w:val="22"/>
                <w:szCs w:val="22"/>
              </w:rPr>
              <w:t> </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(798.45)</w:t>
            </w:r>
          </w:p>
        </w:tc>
      </w:tr>
      <w:tr w:rsidR="009E7263" w:rsidRPr="009E7263" w:rsidTr="00B6412F">
        <w:trPr>
          <w:gridAfter w:val="1"/>
          <w:wAfter w:w="84" w:type="dxa"/>
          <w:trHeight w:val="99"/>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Distribution Volumetric Rate</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$/kW</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1.9666</w:t>
            </w:r>
          </w:p>
        </w:tc>
      </w:tr>
      <w:tr w:rsidR="009E7263" w:rsidRPr="009E7263" w:rsidTr="00B6412F">
        <w:trPr>
          <w:gridAfter w:val="1"/>
          <w:wAfter w:w="84" w:type="dxa"/>
          <w:trHeight w:val="189"/>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Low Voltage Service Rate</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$/kW</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0.1437</w:t>
            </w:r>
          </w:p>
        </w:tc>
      </w:tr>
      <w:tr w:rsidR="009E7263" w:rsidRPr="009E7263" w:rsidTr="00B6412F">
        <w:trPr>
          <w:gridAfter w:val="1"/>
          <w:wAfter w:w="84" w:type="dxa"/>
          <w:trHeight w:val="180"/>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Foregone Revenue (2016) - effective until December 31, 2016</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$/kW</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1.6171</w:t>
            </w:r>
          </w:p>
        </w:tc>
      </w:tr>
      <w:tr w:rsidR="009E7263" w:rsidRPr="009E7263" w:rsidTr="00B6412F">
        <w:trPr>
          <w:gridAfter w:val="1"/>
          <w:wAfter w:w="84" w:type="dxa"/>
          <w:trHeight w:val="180"/>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Recovery of Lost Revenue Adjustment Mechanism Variance Account (2013 balance)</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 </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 </w:t>
            </w:r>
          </w:p>
        </w:tc>
      </w:tr>
      <w:tr w:rsidR="009E7263" w:rsidRPr="009E7263" w:rsidTr="00B6412F">
        <w:trPr>
          <w:gridAfter w:val="1"/>
          <w:wAfter w:w="84" w:type="dxa"/>
          <w:trHeight w:val="81"/>
        </w:trPr>
        <w:tc>
          <w:tcPr>
            <w:tcW w:w="7875" w:type="dxa"/>
            <w:gridSpan w:val="6"/>
            <w:tcBorders>
              <w:top w:val="nil"/>
              <w:left w:val="nil"/>
              <w:bottom w:val="nil"/>
              <w:right w:val="nil"/>
            </w:tcBorders>
            <w:shd w:val="clear" w:color="000000" w:fill="FFFFFF"/>
            <w:hideMark/>
          </w:tcPr>
          <w:p w:rsidR="009E7263" w:rsidRPr="009E7263" w:rsidRDefault="009E7263" w:rsidP="009E7263">
            <w:pPr>
              <w:widowControl/>
              <w:autoSpaceDE/>
              <w:autoSpaceDN/>
              <w:adjustRightInd/>
              <w:ind w:firstLineChars="100" w:firstLine="160"/>
              <w:rPr>
                <w:rFonts w:ascii="Arial" w:hAnsi="Arial" w:cs="Arial"/>
                <w:color w:val="000000"/>
                <w:sz w:val="16"/>
                <w:szCs w:val="16"/>
              </w:rPr>
            </w:pPr>
            <w:r w:rsidRPr="009E7263">
              <w:rPr>
                <w:rFonts w:ascii="Arial" w:hAnsi="Arial" w:cs="Arial"/>
                <w:color w:val="000000"/>
                <w:sz w:val="16"/>
                <w:szCs w:val="16"/>
              </w:rPr>
              <w:t xml:space="preserve"> - effective until December 31, 2016</w:t>
            </w:r>
          </w:p>
        </w:tc>
        <w:tc>
          <w:tcPr>
            <w:tcW w:w="581" w:type="dxa"/>
            <w:tcBorders>
              <w:top w:val="nil"/>
              <w:left w:val="nil"/>
              <w:bottom w:val="nil"/>
              <w:right w:val="nil"/>
            </w:tcBorders>
            <w:shd w:val="clear" w:color="000000" w:fill="FFFFFF"/>
            <w:noWrap/>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$/kW</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(0.1424)</w:t>
            </w:r>
          </w:p>
        </w:tc>
      </w:tr>
      <w:tr w:rsidR="009E7263" w:rsidRPr="009E7263" w:rsidTr="00B6412F">
        <w:trPr>
          <w:gridAfter w:val="1"/>
          <w:wAfter w:w="84" w:type="dxa"/>
          <w:trHeight w:val="171"/>
        </w:trPr>
        <w:tc>
          <w:tcPr>
            <w:tcW w:w="7875" w:type="dxa"/>
            <w:gridSpan w:val="6"/>
            <w:tcBorders>
              <w:top w:val="nil"/>
              <w:left w:val="nil"/>
              <w:bottom w:val="nil"/>
              <w:right w:val="nil"/>
            </w:tcBorders>
            <w:shd w:val="clear" w:color="000000" w:fill="FFFFFF"/>
            <w:hideMark/>
          </w:tcPr>
          <w:p w:rsidR="009E7263" w:rsidRPr="00342E16" w:rsidRDefault="009E7263" w:rsidP="009E7263">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Disposition of Deferral/Variance Account (2016) - effective until December 31, 2016</w:t>
            </w:r>
          </w:p>
        </w:tc>
        <w:tc>
          <w:tcPr>
            <w:tcW w:w="581" w:type="dxa"/>
            <w:tcBorders>
              <w:top w:val="nil"/>
              <w:left w:val="nil"/>
              <w:bottom w:val="nil"/>
              <w:right w:val="nil"/>
            </w:tcBorders>
            <w:shd w:val="clear" w:color="000000" w:fill="FFFFFF"/>
            <w:noWrap/>
            <w:hideMark/>
          </w:tcPr>
          <w:p w:rsidR="009E7263" w:rsidRPr="00342E16" w:rsidRDefault="009E7263" w:rsidP="009E7263">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$/kW</w:t>
            </w:r>
          </w:p>
        </w:tc>
        <w:tc>
          <w:tcPr>
            <w:tcW w:w="928" w:type="dxa"/>
            <w:gridSpan w:val="2"/>
            <w:tcBorders>
              <w:top w:val="nil"/>
              <w:left w:val="nil"/>
              <w:bottom w:val="nil"/>
              <w:right w:val="nil"/>
            </w:tcBorders>
            <w:shd w:val="clear" w:color="000000" w:fill="FFFFFF"/>
            <w:noWrap/>
            <w:hideMark/>
          </w:tcPr>
          <w:p w:rsidR="009E7263" w:rsidRPr="00342E16" w:rsidRDefault="009E7263" w:rsidP="009E7263">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1.2673</w:t>
            </w:r>
          </w:p>
        </w:tc>
      </w:tr>
      <w:tr w:rsidR="009E7263" w:rsidRPr="009E7263" w:rsidTr="00B6412F">
        <w:trPr>
          <w:gridAfter w:val="1"/>
          <w:wAfter w:w="84" w:type="dxa"/>
          <w:trHeight w:val="162"/>
        </w:trPr>
        <w:tc>
          <w:tcPr>
            <w:tcW w:w="7785" w:type="dxa"/>
            <w:gridSpan w:val="5"/>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Disposition of Deferral/Variance Account - Power (2016) - effective until December 31, 2016</w:t>
            </w:r>
          </w:p>
        </w:tc>
        <w:tc>
          <w:tcPr>
            <w:tcW w:w="671" w:type="dxa"/>
            <w:gridSpan w:val="2"/>
            <w:tcBorders>
              <w:top w:val="nil"/>
              <w:left w:val="nil"/>
              <w:bottom w:val="nil"/>
              <w:right w:val="nil"/>
            </w:tcBorders>
            <w:shd w:val="clear" w:color="000000" w:fill="FFFFFF"/>
            <w:noWrap/>
            <w:hideMark/>
          </w:tcPr>
          <w:p w:rsidR="009E7263" w:rsidRPr="009E7263" w:rsidRDefault="00B6412F" w:rsidP="009E7263">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9E7263" w:rsidRPr="009E7263">
              <w:rPr>
                <w:rFonts w:ascii="Arial" w:hAnsi="Arial" w:cs="Arial"/>
                <w:color w:val="000000"/>
                <w:sz w:val="16"/>
                <w:szCs w:val="16"/>
              </w:rPr>
              <w:t>$/kW</w:t>
            </w:r>
          </w:p>
        </w:tc>
        <w:tc>
          <w:tcPr>
            <w:tcW w:w="928" w:type="dxa"/>
            <w:gridSpan w:val="2"/>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(1.3273)</w:t>
            </w:r>
          </w:p>
        </w:tc>
      </w:tr>
      <w:tr w:rsidR="009E7263" w:rsidRPr="00342E16" w:rsidTr="00B6412F">
        <w:trPr>
          <w:gridAfter w:val="1"/>
          <w:wAfter w:w="84" w:type="dxa"/>
          <w:trHeight w:val="162"/>
        </w:trPr>
        <w:tc>
          <w:tcPr>
            <w:tcW w:w="7500" w:type="dxa"/>
            <w:gridSpan w:val="3"/>
            <w:tcBorders>
              <w:top w:val="nil"/>
              <w:left w:val="nil"/>
              <w:bottom w:val="nil"/>
              <w:right w:val="nil"/>
            </w:tcBorders>
            <w:shd w:val="clear" w:color="000000" w:fill="FFFFFF"/>
            <w:hideMark/>
          </w:tcPr>
          <w:p w:rsidR="009E7263" w:rsidRPr="00342E16" w:rsidRDefault="009E7263" w:rsidP="009E7263">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Disposition of Deferral/Variance Accounts - Group 2 (2016)</w:t>
            </w:r>
          </w:p>
        </w:tc>
        <w:tc>
          <w:tcPr>
            <w:tcW w:w="956" w:type="dxa"/>
            <w:gridSpan w:val="4"/>
            <w:tcBorders>
              <w:top w:val="nil"/>
              <w:left w:val="nil"/>
              <w:bottom w:val="nil"/>
              <w:right w:val="nil"/>
            </w:tcBorders>
            <w:shd w:val="clear" w:color="000000" w:fill="FFFFFF"/>
            <w:noWrap/>
            <w:hideMark/>
          </w:tcPr>
          <w:p w:rsidR="009E7263" w:rsidRPr="00342E16" w:rsidRDefault="009E7263" w:rsidP="009E7263">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w:t>
            </w:r>
          </w:p>
        </w:tc>
        <w:tc>
          <w:tcPr>
            <w:tcW w:w="928" w:type="dxa"/>
            <w:gridSpan w:val="2"/>
            <w:tcBorders>
              <w:top w:val="nil"/>
              <w:left w:val="nil"/>
              <w:bottom w:val="nil"/>
              <w:right w:val="nil"/>
            </w:tcBorders>
            <w:shd w:val="clear" w:color="000000" w:fill="FFFFFF"/>
            <w:noWrap/>
            <w:hideMark/>
          </w:tcPr>
          <w:p w:rsidR="009E7263" w:rsidRPr="00342E16" w:rsidRDefault="009E7263" w:rsidP="009E7263">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 </w:t>
            </w:r>
          </w:p>
        </w:tc>
      </w:tr>
      <w:tr w:rsidR="009E7263" w:rsidRPr="009E7263" w:rsidTr="00B6412F">
        <w:trPr>
          <w:gridBefore w:val="1"/>
          <w:wBefore w:w="91" w:type="dxa"/>
          <w:trHeight w:val="162"/>
        </w:trPr>
        <w:tc>
          <w:tcPr>
            <w:tcW w:w="7409" w:type="dxa"/>
            <w:gridSpan w:val="2"/>
            <w:tcBorders>
              <w:top w:val="nil"/>
              <w:left w:val="nil"/>
              <w:bottom w:val="nil"/>
              <w:right w:val="nil"/>
            </w:tcBorders>
            <w:shd w:val="clear" w:color="000000" w:fill="FFFFFF"/>
            <w:hideMark/>
          </w:tcPr>
          <w:p w:rsidR="009E7263" w:rsidRPr="00342E16" w:rsidRDefault="009E7263" w:rsidP="009E7263">
            <w:pPr>
              <w:widowControl/>
              <w:autoSpaceDE/>
              <w:autoSpaceDN/>
              <w:adjustRightInd/>
              <w:ind w:firstLineChars="100" w:firstLine="160"/>
              <w:rPr>
                <w:rFonts w:ascii="Arial" w:hAnsi="Arial" w:cs="Arial"/>
                <w:color w:val="000000"/>
                <w:sz w:val="16"/>
                <w:szCs w:val="16"/>
                <w:highlight w:val="yellow"/>
              </w:rPr>
            </w:pPr>
            <w:r w:rsidRPr="00342E16">
              <w:rPr>
                <w:rFonts w:ascii="Arial" w:hAnsi="Arial" w:cs="Arial"/>
                <w:color w:val="000000"/>
                <w:sz w:val="16"/>
                <w:szCs w:val="16"/>
                <w:highlight w:val="yellow"/>
              </w:rPr>
              <w:t xml:space="preserve"> - effective until December 31, 2016</w:t>
            </w:r>
          </w:p>
        </w:tc>
        <w:tc>
          <w:tcPr>
            <w:tcW w:w="1083" w:type="dxa"/>
            <w:gridSpan w:val="5"/>
            <w:tcBorders>
              <w:top w:val="nil"/>
              <w:left w:val="nil"/>
              <w:bottom w:val="nil"/>
              <w:right w:val="nil"/>
            </w:tcBorders>
            <w:shd w:val="clear" w:color="000000" w:fill="FFFFFF"/>
            <w:noWrap/>
            <w:hideMark/>
          </w:tcPr>
          <w:p w:rsidR="009E7263" w:rsidRPr="00342E16" w:rsidRDefault="00B6412F" w:rsidP="00B6412F">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xml:space="preserve">        </w:t>
            </w:r>
            <w:r w:rsidR="009E7263" w:rsidRPr="00342E16">
              <w:rPr>
                <w:rFonts w:ascii="Arial" w:hAnsi="Arial" w:cs="Arial"/>
                <w:color w:val="000000"/>
                <w:sz w:val="16"/>
                <w:szCs w:val="16"/>
                <w:highlight w:val="yellow"/>
              </w:rPr>
              <w:t>$/kW</w:t>
            </w:r>
          </w:p>
        </w:tc>
        <w:tc>
          <w:tcPr>
            <w:tcW w:w="885" w:type="dxa"/>
            <w:gridSpan w:val="2"/>
            <w:tcBorders>
              <w:top w:val="nil"/>
              <w:left w:val="nil"/>
              <w:bottom w:val="nil"/>
              <w:right w:val="nil"/>
            </w:tcBorders>
            <w:shd w:val="clear" w:color="000000" w:fill="FFFFFF"/>
            <w:noWrap/>
            <w:hideMark/>
          </w:tcPr>
          <w:p w:rsidR="009E7263" w:rsidRPr="00342E16" w:rsidRDefault="00905930" w:rsidP="00905930">
            <w:pPr>
              <w:widowControl/>
              <w:autoSpaceDE/>
              <w:autoSpaceDN/>
              <w:adjustRightInd/>
              <w:jc w:val="center"/>
              <w:rPr>
                <w:rFonts w:ascii="Arial" w:hAnsi="Arial" w:cs="Arial"/>
                <w:color w:val="000000"/>
                <w:sz w:val="16"/>
                <w:szCs w:val="16"/>
                <w:highlight w:val="yellow"/>
              </w:rPr>
            </w:pPr>
            <w:r w:rsidRPr="00342E16">
              <w:rPr>
                <w:rFonts w:ascii="Arial" w:hAnsi="Arial" w:cs="Arial"/>
                <w:color w:val="000000"/>
                <w:sz w:val="16"/>
                <w:szCs w:val="16"/>
                <w:highlight w:val="yellow"/>
              </w:rPr>
              <w:t xml:space="preserve">  </w:t>
            </w:r>
            <w:r w:rsidR="009E7263" w:rsidRPr="00342E16">
              <w:rPr>
                <w:rFonts w:ascii="Arial" w:hAnsi="Arial" w:cs="Arial"/>
                <w:color w:val="000000"/>
                <w:sz w:val="16"/>
                <w:szCs w:val="16"/>
                <w:highlight w:val="yellow"/>
              </w:rPr>
              <w:t>0.6900</w:t>
            </w:r>
          </w:p>
        </w:tc>
      </w:tr>
      <w:tr w:rsidR="009E7263" w:rsidRPr="009E7263" w:rsidTr="00B6412F">
        <w:trPr>
          <w:trHeight w:val="153"/>
        </w:trPr>
        <w:tc>
          <w:tcPr>
            <w:tcW w:w="7590" w:type="dxa"/>
            <w:gridSpan w:val="4"/>
            <w:tcBorders>
              <w:top w:val="nil"/>
              <w:left w:val="nil"/>
              <w:bottom w:val="nil"/>
              <w:right w:val="nil"/>
            </w:tcBorders>
            <w:shd w:val="clear" w:color="000000" w:fill="FFFFFF"/>
            <w:hideMark/>
          </w:tcPr>
          <w:p w:rsidR="009E7263" w:rsidRPr="009E7263" w:rsidRDefault="009E7263" w:rsidP="009E7263">
            <w:pPr>
              <w:widowControl/>
              <w:autoSpaceDE/>
              <w:autoSpaceDN/>
              <w:adjustRightInd/>
              <w:rPr>
                <w:rFonts w:ascii="Arial" w:hAnsi="Arial" w:cs="Arial"/>
                <w:color w:val="000000"/>
                <w:sz w:val="16"/>
                <w:szCs w:val="16"/>
              </w:rPr>
            </w:pPr>
            <w:r w:rsidRPr="009E7263">
              <w:rPr>
                <w:rFonts w:ascii="Arial" w:hAnsi="Arial" w:cs="Arial"/>
                <w:color w:val="000000"/>
                <w:sz w:val="16"/>
                <w:szCs w:val="16"/>
              </w:rPr>
              <w:t>Rate Rider for Recovery of Account 1575 - effective until December 31, 2016</w:t>
            </w:r>
          </w:p>
        </w:tc>
        <w:tc>
          <w:tcPr>
            <w:tcW w:w="866" w:type="dxa"/>
            <w:gridSpan w:val="3"/>
            <w:tcBorders>
              <w:top w:val="nil"/>
              <w:left w:val="nil"/>
              <w:bottom w:val="nil"/>
              <w:right w:val="nil"/>
            </w:tcBorders>
            <w:shd w:val="clear" w:color="000000" w:fill="FFFFFF"/>
            <w:noWrap/>
            <w:hideMark/>
          </w:tcPr>
          <w:p w:rsidR="009E7263" w:rsidRPr="009E7263" w:rsidRDefault="00B6412F" w:rsidP="009E7263">
            <w:pPr>
              <w:widowControl/>
              <w:autoSpaceDE/>
              <w:autoSpaceDN/>
              <w:adjustRightInd/>
              <w:rPr>
                <w:rFonts w:ascii="Arial" w:hAnsi="Arial" w:cs="Arial"/>
                <w:color w:val="000000"/>
                <w:sz w:val="16"/>
                <w:szCs w:val="16"/>
              </w:rPr>
            </w:pPr>
            <w:r>
              <w:rPr>
                <w:rFonts w:ascii="Arial" w:hAnsi="Arial" w:cs="Arial"/>
                <w:color w:val="000000"/>
                <w:sz w:val="16"/>
                <w:szCs w:val="16"/>
              </w:rPr>
              <w:t xml:space="preserve">      </w:t>
            </w:r>
            <w:r w:rsidR="009E7263" w:rsidRPr="009E7263">
              <w:rPr>
                <w:rFonts w:ascii="Arial" w:hAnsi="Arial" w:cs="Arial"/>
                <w:color w:val="000000"/>
                <w:sz w:val="16"/>
                <w:szCs w:val="16"/>
              </w:rPr>
              <w:t>$/kW</w:t>
            </w:r>
          </w:p>
        </w:tc>
        <w:tc>
          <w:tcPr>
            <w:tcW w:w="1012" w:type="dxa"/>
            <w:gridSpan w:val="3"/>
            <w:tcBorders>
              <w:top w:val="nil"/>
              <w:left w:val="nil"/>
              <w:bottom w:val="nil"/>
              <w:right w:val="nil"/>
            </w:tcBorders>
            <w:shd w:val="clear" w:color="000000" w:fill="FFFFFF"/>
            <w:noWrap/>
            <w:hideMark/>
          </w:tcPr>
          <w:p w:rsidR="009E7263" w:rsidRPr="009E7263" w:rsidRDefault="009E7263" w:rsidP="009E7263">
            <w:pPr>
              <w:widowControl/>
              <w:autoSpaceDE/>
              <w:autoSpaceDN/>
              <w:adjustRightInd/>
              <w:jc w:val="right"/>
              <w:rPr>
                <w:rFonts w:ascii="Arial" w:hAnsi="Arial" w:cs="Arial"/>
                <w:color w:val="000000"/>
                <w:sz w:val="16"/>
                <w:szCs w:val="16"/>
              </w:rPr>
            </w:pPr>
            <w:r w:rsidRPr="009E7263">
              <w:rPr>
                <w:rFonts w:ascii="Arial" w:hAnsi="Arial" w:cs="Arial"/>
                <w:color w:val="000000"/>
                <w:sz w:val="16"/>
                <w:szCs w:val="16"/>
              </w:rPr>
              <w:t>(0.5987)</w:t>
            </w:r>
          </w:p>
        </w:tc>
      </w:tr>
    </w:tbl>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Pr>
          <w:rFonts w:ascii="Arial" w:hAnsi="Arial"/>
          <w:color w:val="000000"/>
          <w:sz w:val="16"/>
          <w:szCs w:val="16"/>
        </w:rPr>
        <w:tab/>
        <w:t xml:space="preserve"> 3.4638</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w:t>
      </w:r>
      <w:r>
        <w:rPr>
          <w:rFonts w:ascii="Arial" w:hAnsi="Arial"/>
          <w:color w:val="000000"/>
          <w:sz w:val="16"/>
          <w:szCs w:val="16"/>
        </w:rPr>
        <w:tab/>
        <w:t xml:space="preserve"> 1.2027</w:t>
      </w:r>
    </w:p>
    <w:p w:rsidR="000740C7" w:rsidRDefault="000740C7" w:rsidP="00642429">
      <w:pPr>
        <w:jc w:val="both"/>
        <w:rPr>
          <w:rFonts w:ascii="Arial" w:hAnsi="Arial" w:cs="Arial"/>
          <w:b/>
          <w:bCs/>
          <w:sz w:val="20"/>
          <w:szCs w:val="20"/>
        </w:rPr>
      </w:pPr>
    </w:p>
    <w:p w:rsidR="00A30DE3" w:rsidRDefault="00A30DE3" w:rsidP="00642429">
      <w:pPr>
        <w:jc w:val="both"/>
        <w:rPr>
          <w:rFonts w:ascii="Arial" w:hAnsi="Arial" w:cs="Arial"/>
          <w:b/>
          <w:bCs/>
          <w:sz w:val="20"/>
          <w:szCs w:val="20"/>
        </w:rPr>
      </w:pPr>
    </w:p>
    <w:p w:rsidR="00A30DE3" w:rsidRDefault="00A30DE3" w:rsidP="00642429">
      <w:pPr>
        <w:jc w:val="both"/>
        <w:rPr>
          <w:rFonts w:ascii="Arial" w:hAnsi="Arial" w:cs="Arial"/>
          <w:b/>
          <w:bCs/>
          <w:sz w:val="20"/>
          <w:szCs w:val="20"/>
        </w:rPr>
      </w:pPr>
    </w:p>
    <w:p w:rsidR="00A30DE3" w:rsidRDefault="00A30DE3" w:rsidP="00642429">
      <w:pPr>
        <w:jc w:val="both"/>
        <w:rPr>
          <w:rFonts w:ascii="Arial" w:hAnsi="Arial" w:cs="Arial"/>
          <w:b/>
          <w:bCs/>
          <w:sz w:val="20"/>
          <w:szCs w:val="20"/>
        </w:rPr>
      </w:pPr>
    </w:p>
    <w:p w:rsidR="00A30DE3" w:rsidRDefault="00A30DE3" w:rsidP="00642429">
      <w:pPr>
        <w:jc w:val="both"/>
        <w:rPr>
          <w:rFonts w:ascii="Arial" w:hAnsi="Arial" w:cs="Arial"/>
          <w:b/>
          <w:bCs/>
          <w:sz w:val="20"/>
          <w:szCs w:val="20"/>
        </w:rPr>
      </w:pPr>
    </w:p>
    <w:p w:rsidR="00A30DE3" w:rsidRDefault="00A30DE3" w:rsidP="00642429">
      <w:pPr>
        <w:jc w:val="both"/>
        <w:rPr>
          <w:rFonts w:ascii="Arial" w:hAnsi="Arial" w:cs="Arial"/>
          <w:b/>
          <w:bCs/>
          <w:sz w:val="20"/>
          <w:szCs w:val="20"/>
        </w:rPr>
      </w:pPr>
    </w:p>
    <w:p w:rsidR="00A30DE3" w:rsidRPr="009243B8" w:rsidRDefault="00A30DE3" w:rsidP="00A30DE3">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A30DE3" w:rsidRPr="00A30DE3" w:rsidRDefault="00A30DE3" w:rsidP="00642429">
      <w:pPr>
        <w:jc w:val="both"/>
        <w:rPr>
          <w:rFonts w:ascii="Arial" w:hAnsi="Arial" w:cs="Arial"/>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E24308" w:rsidRDefault="00CC2DCE" w:rsidP="0021191F">
      <w:pPr>
        <w:tabs>
          <w:tab w:val="left" w:pos="360"/>
          <w:tab w:val="left" w:pos="720"/>
          <w:tab w:val="left" w:pos="6543"/>
          <w:tab w:val="left" w:pos="7765"/>
        </w:tabs>
        <w:rPr>
          <w:rFonts w:ascii="Arial" w:hAnsi="Arial"/>
          <w:color w:val="000000"/>
          <w:sz w:val="16"/>
          <w:szCs w:val="16"/>
        </w:rPr>
      </w:pPr>
    </w:p>
    <w:p w:rsidR="00CC2DCE" w:rsidRPr="0012377C" w:rsidRDefault="00CC2DCE" w:rsidP="0021191F">
      <w:pPr>
        <w:tabs>
          <w:tab w:val="left" w:pos="6543"/>
          <w:tab w:val="left" w:pos="7765"/>
        </w:tabs>
        <w:rPr>
          <w:rFonts w:ascii="Arial" w:hAnsi="Arial" w:cs="Arial"/>
          <w:bCs/>
        </w:rPr>
      </w:pPr>
      <w:r w:rsidRPr="009243B8">
        <w:rPr>
          <w:rFonts w:ascii="Arial" w:hAnsi="Arial"/>
          <w:b/>
          <w:color w:val="000000"/>
          <w:sz w:val="28"/>
          <w:szCs w:val="28"/>
        </w:rPr>
        <w:t>S</w:t>
      </w:r>
      <w:r>
        <w:rPr>
          <w:rFonts w:ascii="Arial" w:hAnsi="Arial"/>
          <w:b/>
          <w:color w:val="000000"/>
          <w:sz w:val="28"/>
          <w:szCs w:val="28"/>
        </w:rPr>
        <w:t>TANDBY POWER</w:t>
      </w:r>
      <w:r w:rsidRPr="009243B8">
        <w:rPr>
          <w:rFonts w:ascii="Arial" w:hAnsi="Arial"/>
          <w:b/>
          <w:color w:val="000000"/>
          <w:sz w:val="28"/>
          <w:szCs w:val="28"/>
        </w:rPr>
        <w:t xml:space="preserve"> </w:t>
      </w:r>
      <w:r w:rsidRPr="009243B8">
        <w:rPr>
          <w:rFonts w:ascii="Arial" w:hAnsi="Arial" w:cs="Arial"/>
          <w:b/>
          <w:bCs/>
          <w:sz w:val="28"/>
          <w:szCs w:val="28"/>
        </w:rPr>
        <w:t>SERVICE CLASSIFICATION</w:t>
      </w:r>
      <w:r>
        <w:rPr>
          <w:rFonts w:ascii="Arial" w:hAnsi="Arial" w:cs="Arial"/>
          <w:b/>
          <w:bCs/>
          <w:sz w:val="28"/>
          <w:szCs w:val="28"/>
        </w:rPr>
        <w:t xml:space="preserve"> </w:t>
      </w:r>
    </w:p>
    <w:p w:rsidR="00CC2DCE" w:rsidRPr="0012377C" w:rsidRDefault="00CC2DCE" w:rsidP="0021191F">
      <w:pPr>
        <w:rPr>
          <w:rFonts w:ascii="Arial" w:hAnsi="Arial" w:cs="Arial"/>
          <w:sz w:val="18"/>
          <w:szCs w:val="18"/>
        </w:rPr>
      </w:pPr>
    </w:p>
    <w:p w:rsidR="00CC2DCE" w:rsidRPr="0012377C" w:rsidRDefault="00CC2DCE" w:rsidP="0021191F">
      <w:pPr>
        <w:rPr>
          <w:rFonts w:ascii="Arial" w:hAnsi="Arial" w:cs="Arial"/>
          <w:sz w:val="18"/>
          <w:szCs w:val="18"/>
        </w:rPr>
      </w:pPr>
      <w:r w:rsidRPr="0012377C">
        <w:rPr>
          <w:rFonts w:ascii="Arial" w:hAnsi="Arial" w:cs="Arial"/>
          <w:sz w:val="18"/>
          <w:szCs w:val="18"/>
        </w:rPr>
        <w:t>This classification refers to an account that has Load Displacement Generation and requires the distributor to provide back-up service.</w:t>
      </w:r>
      <w:r>
        <w:rPr>
          <w:rFonts w:ascii="Arial" w:hAnsi="Arial" w:cs="Arial"/>
          <w:sz w:val="18"/>
          <w:szCs w:val="18"/>
        </w:rPr>
        <w:t xml:space="preserve">  </w:t>
      </w:r>
      <w:r w:rsidRPr="0012377C">
        <w:rPr>
          <w:rFonts w:ascii="Arial" w:hAnsi="Arial" w:cs="Arial"/>
          <w:sz w:val="18"/>
          <w:szCs w:val="18"/>
        </w:rPr>
        <w:t>Further servicing details are available in the utility’s Conditions of Service.</w:t>
      </w:r>
    </w:p>
    <w:p w:rsidR="00CC2DCE" w:rsidRDefault="00CC2DCE" w:rsidP="0021191F">
      <w:pPr>
        <w:jc w:val="both"/>
        <w:rPr>
          <w:rFonts w:ascii="Arial" w:hAnsi="Arial" w:cs="Arial"/>
          <w:b/>
          <w:bCs/>
          <w:sz w:val="20"/>
          <w:szCs w:val="20"/>
        </w:rPr>
      </w:pPr>
    </w:p>
    <w:p w:rsidR="00CC2DCE" w:rsidRPr="00113C96" w:rsidRDefault="00CC2DCE" w:rsidP="0021191F">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21191F">
      <w:pPr>
        <w:rPr>
          <w:rFonts w:ascii="Arial" w:hAnsi="Arial" w:cs="Arial"/>
          <w:sz w:val="18"/>
          <w:szCs w:val="18"/>
        </w:rPr>
      </w:pPr>
    </w:p>
    <w:p w:rsidR="00CC2DCE" w:rsidRDefault="00CC2DCE" w:rsidP="0021191F">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21191F">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21191F">
      <w:pPr>
        <w:rPr>
          <w:rFonts w:ascii="Arial" w:hAnsi="Arial" w:cs="Arial"/>
          <w:sz w:val="18"/>
          <w:szCs w:val="18"/>
        </w:rPr>
      </w:pPr>
    </w:p>
    <w:p w:rsidR="00CC2DCE" w:rsidRPr="00113C96" w:rsidRDefault="00CC2DCE" w:rsidP="0021191F">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w:t>
      </w:r>
      <w:r w:rsidRPr="009138E7">
        <w:rPr>
          <w:rFonts w:ascii="Arial" w:hAnsi="Arial" w:cs="Arial"/>
          <w:b/>
          <w:bCs/>
          <w:sz w:val="20"/>
          <w:szCs w:val="20"/>
        </w:rPr>
        <w:t xml:space="preserve">– </w:t>
      </w:r>
      <w:r>
        <w:rPr>
          <w:rFonts w:ascii="Arial" w:hAnsi="Arial" w:cs="Arial"/>
          <w:b/>
          <w:bCs/>
          <w:sz w:val="20"/>
          <w:szCs w:val="20"/>
        </w:rPr>
        <w:t xml:space="preserve">Delivery Component - </w:t>
      </w:r>
      <w:r w:rsidRPr="009138E7">
        <w:rPr>
          <w:rFonts w:ascii="Arial" w:hAnsi="Arial"/>
          <w:b/>
          <w:color w:val="000000"/>
          <w:sz w:val="20"/>
          <w:szCs w:val="20"/>
        </w:rPr>
        <w:t>APPROVED ON AN INTERIM BASIS</w:t>
      </w:r>
    </w:p>
    <w:p w:rsidR="00CC2DCE" w:rsidRPr="00E24308"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color w:val="000000"/>
          <w:sz w:val="16"/>
          <w:szCs w:val="16"/>
        </w:rPr>
      </w:pPr>
      <w:proofErr w:type="gramStart"/>
      <w:r>
        <w:rPr>
          <w:rFonts w:ascii="Arial" w:hAnsi="Arial"/>
          <w:color w:val="000000"/>
          <w:sz w:val="16"/>
          <w:szCs w:val="16"/>
        </w:rPr>
        <w:t>Standby Charge – for a month where standby power is not provided.</w:t>
      </w:r>
      <w:proofErr w:type="gramEnd"/>
      <w:r>
        <w:rPr>
          <w:rFonts w:ascii="Arial" w:hAnsi="Arial"/>
          <w:color w:val="000000"/>
          <w:sz w:val="16"/>
          <w:szCs w:val="16"/>
        </w:rPr>
        <w:t xml:space="preserve">  The charge is applied to the </w:t>
      </w:r>
    </w:p>
    <w:p w:rsidR="00CC2DCE" w:rsidRDefault="00CC2DCE" w:rsidP="0021191F">
      <w:pPr>
        <w:tabs>
          <w:tab w:val="left" w:pos="6543"/>
          <w:tab w:val="left" w:pos="7765"/>
        </w:tabs>
        <w:rPr>
          <w:rFonts w:ascii="Arial" w:hAnsi="Arial"/>
          <w:color w:val="000000"/>
          <w:sz w:val="16"/>
          <w:szCs w:val="16"/>
        </w:rPr>
      </w:pPr>
      <w:proofErr w:type="gramStart"/>
      <w:r>
        <w:rPr>
          <w:rFonts w:ascii="Arial" w:hAnsi="Arial"/>
          <w:color w:val="000000"/>
          <w:sz w:val="16"/>
          <w:szCs w:val="16"/>
        </w:rPr>
        <w:t>contracted</w:t>
      </w:r>
      <w:proofErr w:type="gramEnd"/>
      <w:r>
        <w:rPr>
          <w:rFonts w:ascii="Arial" w:hAnsi="Arial"/>
          <w:color w:val="000000"/>
          <w:sz w:val="16"/>
          <w:szCs w:val="16"/>
        </w:rPr>
        <w:t xml:space="preserve"> amount (e.g. nameplate rating of generation facility).</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A4061D">
        <w:rPr>
          <w:rFonts w:ascii="Arial" w:hAnsi="Arial"/>
          <w:color w:val="000000"/>
          <w:sz w:val="16"/>
          <w:szCs w:val="16"/>
        </w:rPr>
        <w:t>8081</w:t>
      </w:r>
    </w:p>
    <w:p w:rsidR="00CC2DCE"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b/>
          <w:color w:val="000000"/>
          <w:sz w:val="28"/>
          <w:szCs w:val="28"/>
        </w:rPr>
      </w:pPr>
      <w:r>
        <w:rPr>
          <w:rFonts w:ascii="Arial" w:hAnsi="Arial"/>
          <w:color w:val="000000"/>
          <w:sz w:val="16"/>
          <w:szCs w:val="16"/>
        </w:rPr>
        <w:br w:type="page"/>
      </w:r>
    </w:p>
    <w:p w:rsidR="001C5766" w:rsidRDefault="001C5766" w:rsidP="00514C7C">
      <w:pPr>
        <w:tabs>
          <w:tab w:val="left" w:pos="6543"/>
          <w:tab w:val="left" w:pos="7765"/>
        </w:tabs>
        <w:rPr>
          <w:rFonts w:ascii="Arial" w:hAnsi="Arial"/>
          <w:b/>
          <w:color w:val="000000"/>
          <w:sz w:val="28"/>
          <w:szCs w:val="28"/>
        </w:rPr>
      </w:pPr>
    </w:p>
    <w:p w:rsidR="00CC2DCE" w:rsidRPr="009243B8" w:rsidRDefault="00CC2DCE" w:rsidP="00514C7C">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A61F9C" w:rsidRDefault="00CC2DCE" w:rsidP="00514C7C">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taking electricity at 750 volts or less whose average monthly peak demand is less than, or is forecast to be less than, 50 kW and the consumption is unmetered.  Such connections include cable TV power packs, bus shelters, telephone booths, traffic lights, railway crossings, etc.  The customer will provide detailed manufacturer information/documentation with regard to electrical demand/consumption of the proposed unmetered load.</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B4077D">
      <w:pPr>
        <w:tabs>
          <w:tab w:val="left" w:pos="6543"/>
          <w:tab w:val="left" w:pos="7765"/>
        </w:tabs>
        <w:rPr>
          <w:rFonts w:ascii="Arial" w:hAnsi="Arial"/>
          <w:color w:val="000000"/>
          <w:sz w:val="16"/>
          <w:szCs w:val="16"/>
        </w:rPr>
      </w:pPr>
    </w:p>
    <w:tbl>
      <w:tblPr>
        <w:tblW w:w="9330" w:type="dxa"/>
        <w:tblLook w:val="04A0" w:firstRow="1" w:lastRow="0" w:firstColumn="1" w:lastColumn="0" w:noHBand="0" w:noVBand="1"/>
      </w:tblPr>
      <w:tblGrid>
        <w:gridCol w:w="6442"/>
        <w:gridCol w:w="1406"/>
        <w:gridCol w:w="670"/>
        <w:gridCol w:w="812"/>
      </w:tblGrid>
      <w:tr w:rsidR="001C5766" w:rsidRPr="001C5766" w:rsidTr="001C5766">
        <w:trPr>
          <w:trHeight w:val="144"/>
        </w:trPr>
        <w:tc>
          <w:tcPr>
            <w:tcW w:w="6442"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Service Charge (per connection)</w:t>
            </w:r>
          </w:p>
        </w:tc>
        <w:tc>
          <w:tcPr>
            <w:tcW w:w="1406"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Calibri" w:hAnsi="Calibri" w:cs="Calibri"/>
                <w:color w:val="000000"/>
                <w:sz w:val="22"/>
                <w:szCs w:val="22"/>
              </w:rPr>
            </w:pPr>
            <w:r w:rsidRPr="001C5766">
              <w:rPr>
                <w:rFonts w:ascii="Calibri" w:hAnsi="Calibri" w:cs="Calibri"/>
                <w:color w:val="000000"/>
                <w:sz w:val="22"/>
                <w:szCs w:val="22"/>
              </w:rPr>
              <w:t> </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7.73</w:t>
            </w:r>
          </w:p>
        </w:tc>
      </w:tr>
      <w:tr w:rsidR="001C5766" w:rsidRPr="001C5766" w:rsidTr="001C5766">
        <w:trPr>
          <w:trHeight w:val="144"/>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CGAAP/CWIP Differential - in effect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0.11</w:t>
            </w:r>
          </w:p>
        </w:tc>
      </w:tr>
      <w:tr w:rsidR="001C5766" w:rsidRPr="001C5766" w:rsidTr="001C5766">
        <w:trPr>
          <w:trHeight w:val="144"/>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Foregone Revenue (2016) - effective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2.02</w:t>
            </w:r>
          </w:p>
        </w:tc>
      </w:tr>
      <w:tr w:rsidR="001C5766" w:rsidRPr="001C5766" w:rsidTr="001C5766">
        <w:trPr>
          <w:trHeight w:val="60"/>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Smart  Grid True-up Variance Account (2014 balance)</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 </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 </w:t>
            </w:r>
          </w:p>
        </w:tc>
      </w:tr>
      <w:tr w:rsidR="001C5766" w:rsidRPr="001C5766" w:rsidTr="001C5766">
        <w:trPr>
          <w:trHeight w:val="126"/>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ind w:firstLineChars="100" w:firstLine="160"/>
              <w:rPr>
                <w:rFonts w:ascii="Arial" w:hAnsi="Arial" w:cs="Arial"/>
                <w:color w:val="000000"/>
                <w:sz w:val="16"/>
                <w:szCs w:val="16"/>
              </w:rPr>
            </w:pPr>
            <w:r w:rsidRPr="001C5766">
              <w:rPr>
                <w:rFonts w:ascii="Arial" w:hAnsi="Arial" w:cs="Arial"/>
                <w:color w:val="000000"/>
                <w:sz w:val="16"/>
                <w:szCs w:val="16"/>
              </w:rPr>
              <w:t xml:space="preserve"> - effective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(0.10)</w:t>
            </w:r>
          </w:p>
        </w:tc>
      </w:tr>
      <w:tr w:rsidR="001C5766" w:rsidRPr="001C5766" w:rsidTr="001C5766">
        <w:trPr>
          <w:trHeight w:val="126"/>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Distribution Volumetric Rate</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0.0175</w:t>
            </w:r>
          </w:p>
        </w:tc>
      </w:tr>
      <w:tr w:rsidR="001C5766" w:rsidRPr="001C5766" w:rsidTr="001C5766">
        <w:trPr>
          <w:trHeight w:val="117"/>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Low Voltage Service Rate</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0.0003</w:t>
            </w:r>
          </w:p>
        </w:tc>
      </w:tr>
      <w:tr w:rsidR="001C5766" w:rsidRPr="001C5766" w:rsidTr="001C5766">
        <w:trPr>
          <w:trHeight w:val="117"/>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Foregone Revenue (2016) - effective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0.0044</w:t>
            </w:r>
          </w:p>
        </w:tc>
      </w:tr>
      <w:tr w:rsidR="001C5766" w:rsidRPr="001C5766" w:rsidTr="001C5766">
        <w:trPr>
          <w:trHeight w:val="207"/>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Lost Revenue Adjustment Mechanism Variance Account (2013 balance)</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 </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 </w:t>
            </w:r>
          </w:p>
        </w:tc>
      </w:tr>
      <w:tr w:rsidR="001C5766" w:rsidRPr="001C5766" w:rsidTr="001C5766">
        <w:trPr>
          <w:trHeight w:val="90"/>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ind w:firstLineChars="100" w:firstLine="160"/>
              <w:rPr>
                <w:rFonts w:ascii="Arial" w:hAnsi="Arial" w:cs="Arial"/>
                <w:color w:val="000000"/>
                <w:sz w:val="16"/>
                <w:szCs w:val="16"/>
              </w:rPr>
            </w:pPr>
            <w:r w:rsidRPr="001C5766">
              <w:rPr>
                <w:rFonts w:ascii="Arial" w:hAnsi="Arial" w:cs="Arial"/>
                <w:color w:val="000000"/>
                <w:sz w:val="16"/>
                <w:szCs w:val="16"/>
              </w:rPr>
              <w:t xml:space="preserve"> - effective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(0.0010)</w:t>
            </w:r>
          </w:p>
        </w:tc>
      </w:tr>
      <w:tr w:rsidR="001C5766" w:rsidRPr="001C5766" w:rsidTr="001C5766">
        <w:trPr>
          <w:trHeight w:val="171"/>
        </w:trPr>
        <w:tc>
          <w:tcPr>
            <w:tcW w:w="7848"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Disposition of Deferral/Variance Account - Power (2016) - effective until December 31, 2016</w:t>
            </w:r>
          </w:p>
        </w:tc>
        <w:tc>
          <w:tcPr>
            <w:tcW w:w="67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(0.0026)</w:t>
            </w:r>
          </w:p>
        </w:tc>
      </w:tr>
      <w:tr w:rsidR="001C5766" w:rsidRPr="001C5766" w:rsidTr="000740C7">
        <w:trPr>
          <w:trHeight w:val="171"/>
        </w:trPr>
        <w:tc>
          <w:tcPr>
            <w:tcW w:w="7848" w:type="dxa"/>
            <w:gridSpan w:val="2"/>
            <w:tcBorders>
              <w:top w:val="nil"/>
              <w:left w:val="nil"/>
              <w:bottom w:val="nil"/>
              <w:right w:val="nil"/>
            </w:tcBorders>
            <w:shd w:val="clear" w:color="000000" w:fill="FFFFFF"/>
          </w:tcPr>
          <w:p w:rsidR="001C5766" w:rsidRPr="001C5766" w:rsidRDefault="001C5766" w:rsidP="001C5766">
            <w:pPr>
              <w:widowControl/>
              <w:autoSpaceDE/>
              <w:autoSpaceDN/>
              <w:adjustRightInd/>
              <w:rPr>
                <w:rFonts w:ascii="Arial" w:hAnsi="Arial" w:cs="Arial"/>
                <w:color w:val="000000"/>
                <w:sz w:val="16"/>
                <w:szCs w:val="16"/>
              </w:rPr>
            </w:pPr>
          </w:p>
        </w:tc>
        <w:tc>
          <w:tcPr>
            <w:tcW w:w="670" w:type="dxa"/>
            <w:tcBorders>
              <w:top w:val="nil"/>
              <w:left w:val="nil"/>
              <w:bottom w:val="nil"/>
              <w:right w:val="nil"/>
            </w:tcBorders>
            <w:shd w:val="clear" w:color="000000" w:fill="FFFFFF"/>
            <w:noWrap/>
          </w:tcPr>
          <w:p w:rsidR="001C5766" w:rsidRPr="001C5766" w:rsidRDefault="001C5766" w:rsidP="001C5766">
            <w:pPr>
              <w:widowControl/>
              <w:autoSpaceDE/>
              <w:autoSpaceDN/>
              <w:adjustRightInd/>
              <w:rPr>
                <w:rFonts w:ascii="Arial" w:hAnsi="Arial" w:cs="Arial"/>
                <w:color w:val="000000"/>
                <w:sz w:val="16"/>
                <w:szCs w:val="16"/>
              </w:rPr>
            </w:pPr>
          </w:p>
        </w:tc>
        <w:tc>
          <w:tcPr>
            <w:tcW w:w="812" w:type="dxa"/>
            <w:tcBorders>
              <w:top w:val="nil"/>
              <w:left w:val="nil"/>
              <w:bottom w:val="nil"/>
              <w:right w:val="nil"/>
            </w:tcBorders>
            <w:shd w:val="clear" w:color="000000" w:fill="FFFFFF"/>
            <w:noWrap/>
          </w:tcPr>
          <w:p w:rsidR="001C5766" w:rsidRPr="001C5766" w:rsidRDefault="001C5766" w:rsidP="001C5766">
            <w:pPr>
              <w:widowControl/>
              <w:autoSpaceDE/>
              <w:autoSpaceDN/>
              <w:adjustRightInd/>
              <w:jc w:val="right"/>
              <w:rPr>
                <w:rFonts w:ascii="Arial" w:hAnsi="Arial" w:cs="Arial"/>
                <w:color w:val="000000"/>
                <w:sz w:val="16"/>
                <w:szCs w:val="16"/>
              </w:rPr>
            </w:pPr>
          </w:p>
        </w:tc>
      </w:tr>
    </w:tbl>
    <w:p w:rsidR="00CC2DCE" w:rsidRDefault="00CC2DCE" w:rsidP="00CA5765">
      <w:pPr>
        <w:tabs>
          <w:tab w:val="left" w:pos="6543"/>
          <w:tab w:val="left" w:pos="7765"/>
        </w:tabs>
        <w:rPr>
          <w:rFonts w:ascii="Arial" w:hAnsi="Arial"/>
          <w:b/>
          <w:color w:val="000000"/>
          <w:sz w:val="28"/>
          <w:szCs w:val="28"/>
        </w:rPr>
      </w:pPr>
    </w:p>
    <w:p w:rsidR="00A30DE3" w:rsidRDefault="00A30DE3" w:rsidP="00CA5765">
      <w:pPr>
        <w:tabs>
          <w:tab w:val="left" w:pos="6543"/>
          <w:tab w:val="left" w:pos="7765"/>
        </w:tabs>
        <w:rPr>
          <w:rFonts w:ascii="Arial" w:hAnsi="Arial"/>
          <w:b/>
          <w:color w:val="000000"/>
          <w:sz w:val="28"/>
          <w:szCs w:val="28"/>
        </w:rPr>
      </w:pPr>
    </w:p>
    <w:p w:rsidR="00A30DE3" w:rsidRDefault="00A30DE3" w:rsidP="00CA5765">
      <w:pPr>
        <w:tabs>
          <w:tab w:val="left" w:pos="6543"/>
          <w:tab w:val="left" w:pos="7765"/>
        </w:tabs>
        <w:rPr>
          <w:rFonts w:ascii="Arial" w:hAnsi="Arial"/>
          <w:b/>
          <w:color w:val="000000"/>
          <w:sz w:val="28"/>
          <w:szCs w:val="28"/>
        </w:rPr>
      </w:pPr>
    </w:p>
    <w:p w:rsidR="00A30DE3" w:rsidRDefault="00A30DE3" w:rsidP="00CA5765">
      <w:pPr>
        <w:tabs>
          <w:tab w:val="left" w:pos="6543"/>
          <w:tab w:val="left" w:pos="7765"/>
        </w:tabs>
        <w:rPr>
          <w:rFonts w:ascii="Arial" w:hAnsi="Arial"/>
          <w:b/>
          <w:color w:val="000000"/>
          <w:sz w:val="28"/>
          <w:szCs w:val="28"/>
        </w:rPr>
      </w:pPr>
    </w:p>
    <w:p w:rsidR="00A30DE3" w:rsidRDefault="00A30DE3" w:rsidP="00CA5765">
      <w:pPr>
        <w:tabs>
          <w:tab w:val="left" w:pos="6543"/>
          <w:tab w:val="left" w:pos="7765"/>
        </w:tabs>
        <w:rPr>
          <w:rFonts w:ascii="Arial" w:hAnsi="Arial"/>
          <w:b/>
          <w:color w:val="000000"/>
          <w:sz w:val="28"/>
          <w:szCs w:val="28"/>
        </w:rPr>
      </w:pPr>
    </w:p>
    <w:p w:rsidR="00CC2DCE" w:rsidRPr="009243B8" w:rsidRDefault="00CC2DCE" w:rsidP="00CA5765">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E24308" w:rsidRDefault="00CC2DCE" w:rsidP="00B4077D">
      <w:pPr>
        <w:tabs>
          <w:tab w:val="left" w:pos="6543"/>
          <w:tab w:val="left" w:pos="7765"/>
        </w:tabs>
        <w:rPr>
          <w:rFonts w:ascii="Arial" w:hAnsi="Arial"/>
          <w:color w:val="000000"/>
          <w:sz w:val="16"/>
          <w:szCs w:val="16"/>
        </w:rPr>
      </w:pPr>
    </w:p>
    <w:p w:rsidR="000740C7" w:rsidRPr="00113C96" w:rsidRDefault="000740C7" w:rsidP="000740C7">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0740C7" w:rsidRDefault="000740C7" w:rsidP="000740C7">
      <w:pPr>
        <w:tabs>
          <w:tab w:val="left" w:pos="6543"/>
          <w:tab w:val="left" w:pos="7765"/>
        </w:tabs>
        <w:rPr>
          <w:rFonts w:ascii="Arial" w:hAnsi="Arial"/>
          <w:color w:val="000000"/>
          <w:sz w:val="16"/>
          <w:szCs w:val="16"/>
        </w:rPr>
      </w:pPr>
    </w:p>
    <w:tbl>
      <w:tblPr>
        <w:tblW w:w="9330" w:type="dxa"/>
        <w:tblLook w:val="04A0" w:firstRow="1" w:lastRow="0" w:firstColumn="1" w:lastColumn="0" w:noHBand="0" w:noVBand="1"/>
      </w:tblPr>
      <w:tblGrid>
        <w:gridCol w:w="7848"/>
        <w:gridCol w:w="670"/>
        <w:gridCol w:w="812"/>
      </w:tblGrid>
      <w:tr w:rsidR="000740C7" w:rsidRPr="001C5766" w:rsidTr="000740C7">
        <w:trPr>
          <w:trHeight w:val="171"/>
        </w:trPr>
        <w:tc>
          <w:tcPr>
            <w:tcW w:w="7848" w:type="dxa"/>
            <w:tcBorders>
              <w:top w:val="nil"/>
              <w:left w:val="nil"/>
              <w:bottom w:val="nil"/>
              <w:right w:val="nil"/>
            </w:tcBorders>
            <w:shd w:val="clear" w:color="000000" w:fill="FFFFFF"/>
            <w:hideMark/>
          </w:tcPr>
          <w:p w:rsidR="000740C7" w:rsidRPr="001C5766" w:rsidRDefault="000740C7" w:rsidP="000740C7">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Account 1575 - effective until December 31, 2016</w:t>
            </w:r>
          </w:p>
        </w:tc>
        <w:tc>
          <w:tcPr>
            <w:tcW w:w="670" w:type="dxa"/>
            <w:tcBorders>
              <w:top w:val="nil"/>
              <w:left w:val="nil"/>
              <w:bottom w:val="nil"/>
              <w:right w:val="nil"/>
            </w:tcBorders>
            <w:shd w:val="clear" w:color="000000" w:fill="FFFFFF"/>
            <w:noWrap/>
            <w:hideMark/>
          </w:tcPr>
          <w:p w:rsidR="000740C7" w:rsidRPr="001C5766" w:rsidRDefault="000740C7" w:rsidP="000740C7">
            <w:pPr>
              <w:widowControl/>
              <w:autoSpaceDE/>
              <w:autoSpaceDN/>
              <w:adjustRightInd/>
              <w:rPr>
                <w:rFonts w:ascii="Arial" w:hAnsi="Arial" w:cs="Arial"/>
                <w:color w:val="000000"/>
                <w:sz w:val="16"/>
                <w:szCs w:val="16"/>
              </w:rPr>
            </w:pPr>
            <w:r w:rsidRPr="001C5766">
              <w:rPr>
                <w:rFonts w:ascii="Arial" w:hAnsi="Arial" w:cs="Arial"/>
                <w:color w:val="000000"/>
                <w:sz w:val="16"/>
                <w:szCs w:val="16"/>
              </w:rPr>
              <w:t>$/kWh</w:t>
            </w:r>
          </w:p>
        </w:tc>
        <w:tc>
          <w:tcPr>
            <w:tcW w:w="812" w:type="dxa"/>
            <w:tcBorders>
              <w:top w:val="nil"/>
              <w:left w:val="nil"/>
              <w:bottom w:val="nil"/>
              <w:right w:val="nil"/>
            </w:tcBorders>
            <w:shd w:val="clear" w:color="000000" w:fill="FFFFFF"/>
            <w:noWrap/>
            <w:hideMark/>
          </w:tcPr>
          <w:p w:rsidR="000740C7" w:rsidRPr="001C5766" w:rsidRDefault="000740C7" w:rsidP="000740C7">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(0.0012)</w:t>
            </w:r>
          </w:p>
        </w:tc>
      </w:tr>
    </w:tbl>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0.0072</w:t>
      </w:r>
    </w:p>
    <w:p w:rsidR="000740C7" w:rsidRPr="00E24308" w:rsidRDefault="000740C7" w:rsidP="000740C7">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t xml:space="preserve">  </w:t>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0.0034</w:t>
      </w:r>
    </w:p>
    <w:p w:rsidR="000740C7" w:rsidRDefault="000740C7" w:rsidP="00642429">
      <w:pPr>
        <w:jc w:val="both"/>
        <w:rPr>
          <w:rFonts w:ascii="Arial" w:hAnsi="Arial" w:cs="Arial"/>
          <w:b/>
          <w:bCs/>
          <w:sz w:val="20"/>
          <w:szCs w:val="20"/>
        </w:rPr>
      </w:pPr>
    </w:p>
    <w:p w:rsidR="000740C7" w:rsidRDefault="000740C7"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690962">
      <w:pPr>
        <w:tabs>
          <w:tab w:val="left" w:pos="6543"/>
          <w:tab w:val="left" w:pos="7765"/>
        </w:tabs>
        <w:rPr>
          <w:rFonts w:ascii="Arial" w:hAnsi="Arial"/>
          <w:b/>
          <w:color w:val="000000"/>
          <w:sz w:val="28"/>
          <w:szCs w:val="28"/>
        </w:rPr>
      </w:pPr>
    </w:p>
    <w:p w:rsidR="00CC2DCE" w:rsidRPr="009243B8" w:rsidRDefault="00CC2DCE" w:rsidP="00690962">
      <w:pPr>
        <w:tabs>
          <w:tab w:val="left" w:pos="6543"/>
          <w:tab w:val="left" w:pos="7765"/>
        </w:tabs>
        <w:rPr>
          <w:rFonts w:ascii="Arial" w:hAnsi="Arial" w:cs="Arial"/>
          <w:bCs/>
          <w:sz w:val="28"/>
          <w:szCs w:val="28"/>
        </w:rPr>
      </w:pPr>
      <w:r w:rsidRPr="009243B8">
        <w:rPr>
          <w:rFonts w:ascii="Arial" w:hAnsi="Arial"/>
          <w:b/>
          <w:color w:val="000000"/>
          <w:sz w:val="28"/>
          <w:szCs w:val="28"/>
        </w:rPr>
        <w:t xml:space="preserve">SENTINEL LIGHTING </w:t>
      </w:r>
      <w:r w:rsidRPr="009243B8">
        <w:rPr>
          <w:rFonts w:ascii="Arial" w:hAnsi="Arial" w:cs="Arial"/>
          <w:b/>
          <w:bCs/>
          <w:sz w:val="28"/>
          <w:szCs w:val="28"/>
        </w:rPr>
        <w:t>SERVICE CLASSIFICATION</w:t>
      </w:r>
    </w:p>
    <w:p w:rsidR="00CC2DCE" w:rsidRPr="00A61F9C" w:rsidRDefault="00CC2DCE" w:rsidP="00690962">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unmetered lighting load supplied to a sentinel light.</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17055">
      <w:pPr>
        <w:tabs>
          <w:tab w:val="left" w:pos="6543"/>
          <w:tab w:val="left" w:pos="7765"/>
        </w:tabs>
        <w:rPr>
          <w:rFonts w:ascii="Arial" w:hAnsi="Arial"/>
          <w:color w:val="000000"/>
          <w:sz w:val="16"/>
          <w:szCs w:val="16"/>
        </w:rPr>
      </w:pPr>
    </w:p>
    <w:tbl>
      <w:tblPr>
        <w:tblW w:w="9378" w:type="dxa"/>
        <w:tblLook w:val="04A0" w:firstRow="1" w:lastRow="0" w:firstColumn="1" w:lastColumn="0" w:noHBand="0" w:noVBand="1"/>
      </w:tblPr>
      <w:tblGrid>
        <w:gridCol w:w="6490"/>
        <w:gridCol w:w="1346"/>
        <w:gridCol w:w="640"/>
        <w:gridCol w:w="902"/>
      </w:tblGrid>
      <w:tr w:rsidR="001C5766" w:rsidRPr="001C5766" w:rsidTr="00397B98">
        <w:trPr>
          <w:trHeight w:val="126"/>
        </w:trPr>
        <w:tc>
          <w:tcPr>
            <w:tcW w:w="6490"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Service Charge (per connection)</w:t>
            </w:r>
          </w:p>
        </w:tc>
        <w:tc>
          <w:tcPr>
            <w:tcW w:w="1346"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Calibri" w:hAnsi="Calibri" w:cs="Calibri"/>
                <w:color w:val="000000"/>
                <w:sz w:val="22"/>
                <w:szCs w:val="22"/>
              </w:rPr>
            </w:pPr>
            <w:r w:rsidRPr="001C5766">
              <w:rPr>
                <w:rFonts w:ascii="Calibri" w:hAnsi="Calibri" w:cs="Calibri"/>
                <w:color w:val="000000"/>
                <w:sz w:val="22"/>
                <w:szCs w:val="22"/>
              </w:rPr>
              <w:t> </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3.76</w:t>
            </w:r>
          </w:p>
        </w:tc>
      </w:tr>
      <w:tr w:rsidR="001C5766" w:rsidRPr="001C5766" w:rsidTr="00397B98">
        <w:trPr>
          <w:trHeight w:val="126"/>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CGAAP/CWIP Differential - in effect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0.09</w:t>
            </w:r>
          </w:p>
        </w:tc>
      </w:tr>
      <w:tr w:rsidR="001C5766" w:rsidRPr="001C5766" w:rsidTr="00397B98">
        <w:trPr>
          <w:trHeight w:val="126"/>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Foregone Revenue (2016) - effective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1.00</w:t>
            </w:r>
          </w:p>
        </w:tc>
      </w:tr>
      <w:tr w:rsidR="001C5766" w:rsidRPr="001C5766" w:rsidTr="00397B98">
        <w:trPr>
          <w:trHeight w:val="126"/>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Disposition of Smart  Grid True-up Variance Account (2014 balance)</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 </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 </w:t>
            </w:r>
          </w:p>
        </w:tc>
      </w:tr>
      <w:tr w:rsidR="001C5766" w:rsidRPr="001C5766" w:rsidTr="00397B98">
        <w:trPr>
          <w:trHeight w:val="117"/>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ind w:firstLineChars="100" w:firstLine="160"/>
              <w:rPr>
                <w:rFonts w:ascii="Arial" w:hAnsi="Arial" w:cs="Arial"/>
                <w:color w:val="000000"/>
                <w:sz w:val="16"/>
                <w:szCs w:val="16"/>
              </w:rPr>
            </w:pPr>
            <w:r w:rsidRPr="001C5766">
              <w:rPr>
                <w:rFonts w:ascii="Arial" w:hAnsi="Arial" w:cs="Arial"/>
                <w:color w:val="000000"/>
                <w:sz w:val="16"/>
                <w:szCs w:val="16"/>
              </w:rPr>
              <w:t xml:space="preserve"> - effective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(0.04)</w:t>
            </w:r>
          </w:p>
        </w:tc>
      </w:tr>
      <w:tr w:rsidR="001C5766" w:rsidRPr="001C5766" w:rsidTr="00397B98">
        <w:trPr>
          <w:trHeight w:val="117"/>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Distribution Volumetric Rate</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8.8369</w:t>
            </w:r>
          </w:p>
        </w:tc>
      </w:tr>
      <w:tr w:rsidR="001C5766" w:rsidRPr="001C5766" w:rsidTr="00397B98">
        <w:trPr>
          <w:trHeight w:val="108"/>
        </w:trPr>
        <w:tc>
          <w:tcPr>
            <w:tcW w:w="6490"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Low Voltage Service Rate</w:t>
            </w:r>
          </w:p>
        </w:tc>
        <w:tc>
          <w:tcPr>
            <w:tcW w:w="1346" w:type="dxa"/>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Calibri" w:hAnsi="Calibri" w:cs="Calibri"/>
                <w:color w:val="000000"/>
                <w:sz w:val="22"/>
                <w:szCs w:val="22"/>
              </w:rPr>
            </w:pPr>
            <w:r w:rsidRPr="001C5766">
              <w:rPr>
                <w:rFonts w:ascii="Calibri" w:hAnsi="Calibri" w:cs="Calibri"/>
                <w:color w:val="000000"/>
                <w:sz w:val="22"/>
                <w:szCs w:val="22"/>
              </w:rPr>
              <w:t> </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0.1031</w:t>
            </w:r>
          </w:p>
        </w:tc>
      </w:tr>
      <w:tr w:rsidR="001C5766" w:rsidRPr="001C5766" w:rsidTr="00397B98">
        <w:trPr>
          <w:trHeight w:val="117"/>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Foregone Revenue (2016) - effective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2.2822</w:t>
            </w:r>
          </w:p>
        </w:tc>
      </w:tr>
      <w:tr w:rsidR="001C5766" w:rsidRPr="001C5766" w:rsidTr="00397B98">
        <w:trPr>
          <w:trHeight w:val="198"/>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Lost Revenue Adjustment Mechanism Variance Account (2013 balance)</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 </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 </w:t>
            </w:r>
          </w:p>
        </w:tc>
      </w:tr>
      <w:tr w:rsidR="001C5766" w:rsidRPr="001C5766" w:rsidTr="00397B98">
        <w:trPr>
          <w:trHeight w:val="180"/>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ind w:firstLineChars="100" w:firstLine="160"/>
              <w:rPr>
                <w:rFonts w:ascii="Arial" w:hAnsi="Arial" w:cs="Arial"/>
                <w:color w:val="000000"/>
                <w:sz w:val="16"/>
                <w:szCs w:val="16"/>
              </w:rPr>
            </w:pPr>
            <w:r w:rsidRPr="001C5766">
              <w:rPr>
                <w:rFonts w:ascii="Arial" w:hAnsi="Arial" w:cs="Arial"/>
                <w:color w:val="000000"/>
                <w:sz w:val="16"/>
                <w:szCs w:val="16"/>
              </w:rPr>
              <w:t xml:space="preserve"> - effective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(0.6712)</w:t>
            </w:r>
          </w:p>
        </w:tc>
      </w:tr>
      <w:tr w:rsidR="001C5766" w:rsidRPr="001C5766" w:rsidTr="00397B98">
        <w:trPr>
          <w:trHeight w:val="180"/>
        </w:trPr>
        <w:tc>
          <w:tcPr>
            <w:tcW w:w="7836" w:type="dxa"/>
            <w:gridSpan w:val="2"/>
            <w:tcBorders>
              <w:top w:val="nil"/>
              <w:left w:val="nil"/>
              <w:bottom w:val="nil"/>
              <w:right w:val="nil"/>
            </w:tcBorders>
            <w:shd w:val="clear" w:color="000000" w:fill="FFFFFF"/>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Disposition of Deferral/Variance Account - Power (2016) - effective until December 31, 2016</w:t>
            </w:r>
          </w:p>
        </w:tc>
        <w:tc>
          <w:tcPr>
            <w:tcW w:w="640" w:type="dxa"/>
            <w:tcBorders>
              <w:top w:val="nil"/>
              <w:left w:val="nil"/>
              <w:bottom w:val="nil"/>
              <w:right w:val="nil"/>
            </w:tcBorders>
            <w:shd w:val="clear" w:color="000000" w:fill="FFFFFF"/>
            <w:noWrap/>
            <w:hideMark/>
          </w:tcPr>
          <w:p w:rsidR="001C5766" w:rsidRPr="001C5766" w:rsidRDefault="001C5766" w:rsidP="001C5766">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1C5766" w:rsidRPr="001C5766" w:rsidRDefault="001C5766" w:rsidP="00397B98">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(1.0139)</w:t>
            </w:r>
          </w:p>
        </w:tc>
      </w:tr>
      <w:tr w:rsidR="00C32F21" w:rsidRPr="001C5766" w:rsidTr="00C32F21">
        <w:trPr>
          <w:trHeight w:val="180"/>
        </w:trPr>
        <w:tc>
          <w:tcPr>
            <w:tcW w:w="7836" w:type="dxa"/>
            <w:gridSpan w:val="2"/>
            <w:tcBorders>
              <w:top w:val="nil"/>
              <w:left w:val="nil"/>
              <w:bottom w:val="nil"/>
              <w:right w:val="nil"/>
            </w:tcBorders>
            <w:shd w:val="clear" w:color="000000" w:fill="FFFFFF"/>
            <w:hideMark/>
          </w:tcPr>
          <w:p w:rsidR="00C32F21" w:rsidRPr="001C5766" w:rsidRDefault="00C32F21" w:rsidP="009E7263">
            <w:pPr>
              <w:widowControl/>
              <w:autoSpaceDE/>
              <w:autoSpaceDN/>
              <w:adjustRightInd/>
              <w:rPr>
                <w:rFonts w:ascii="Arial" w:hAnsi="Arial" w:cs="Arial"/>
                <w:color w:val="000000"/>
                <w:sz w:val="16"/>
                <w:szCs w:val="16"/>
              </w:rPr>
            </w:pPr>
            <w:r w:rsidRPr="001C5766">
              <w:rPr>
                <w:rFonts w:ascii="Arial" w:hAnsi="Arial" w:cs="Arial"/>
                <w:color w:val="000000"/>
                <w:sz w:val="16"/>
                <w:szCs w:val="16"/>
              </w:rPr>
              <w:t>Rate Rider for Recovery of Account 1575 - effective until December 31, 2016</w:t>
            </w:r>
          </w:p>
        </w:tc>
        <w:tc>
          <w:tcPr>
            <w:tcW w:w="640" w:type="dxa"/>
            <w:tcBorders>
              <w:top w:val="nil"/>
              <w:left w:val="nil"/>
              <w:bottom w:val="nil"/>
              <w:right w:val="nil"/>
            </w:tcBorders>
            <w:shd w:val="clear" w:color="000000" w:fill="FFFFFF"/>
            <w:noWrap/>
            <w:hideMark/>
          </w:tcPr>
          <w:p w:rsidR="00C32F21" w:rsidRPr="001C5766" w:rsidRDefault="00C32F21" w:rsidP="009E7263">
            <w:pPr>
              <w:widowControl/>
              <w:autoSpaceDE/>
              <w:autoSpaceDN/>
              <w:adjustRightInd/>
              <w:rPr>
                <w:rFonts w:ascii="Arial" w:hAnsi="Arial" w:cs="Arial"/>
                <w:color w:val="000000"/>
                <w:sz w:val="16"/>
                <w:szCs w:val="16"/>
              </w:rPr>
            </w:pPr>
            <w:r w:rsidRPr="001C5766">
              <w:rPr>
                <w:rFonts w:ascii="Arial" w:hAnsi="Arial" w:cs="Arial"/>
                <w:color w:val="000000"/>
                <w:sz w:val="16"/>
                <w:szCs w:val="16"/>
              </w:rPr>
              <w:t>$/kW</w:t>
            </w:r>
          </w:p>
        </w:tc>
        <w:tc>
          <w:tcPr>
            <w:tcW w:w="902" w:type="dxa"/>
            <w:tcBorders>
              <w:top w:val="nil"/>
              <w:left w:val="nil"/>
              <w:bottom w:val="nil"/>
              <w:right w:val="nil"/>
            </w:tcBorders>
            <w:shd w:val="clear" w:color="000000" w:fill="FFFFFF"/>
            <w:noWrap/>
            <w:hideMark/>
          </w:tcPr>
          <w:p w:rsidR="00C32F21" w:rsidRPr="001C5766" w:rsidRDefault="00C32F21" w:rsidP="009E7263">
            <w:pPr>
              <w:widowControl/>
              <w:autoSpaceDE/>
              <w:autoSpaceDN/>
              <w:adjustRightInd/>
              <w:jc w:val="right"/>
              <w:rPr>
                <w:rFonts w:ascii="Arial" w:hAnsi="Arial" w:cs="Arial"/>
                <w:color w:val="000000"/>
                <w:sz w:val="16"/>
                <w:szCs w:val="16"/>
              </w:rPr>
            </w:pPr>
            <w:r w:rsidRPr="001C5766">
              <w:rPr>
                <w:rFonts w:ascii="Arial" w:hAnsi="Arial" w:cs="Arial"/>
                <w:color w:val="000000"/>
                <w:sz w:val="16"/>
                <w:szCs w:val="16"/>
              </w:rPr>
              <w:t>(0.4574)</w:t>
            </w:r>
          </w:p>
        </w:tc>
      </w:tr>
    </w:tbl>
    <w:p w:rsidR="00C32F21" w:rsidRPr="00DE6356" w:rsidRDefault="00C32F21" w:rsidP="00C32F21">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N</w:t>
      </w:r>
      <w:r>
        <w:rPr>
          <w:rFonts w:ascii="Arial" w:hAnsi="Arial"/>
          <w:color w:val="000000"/>
          <w:sz w:val="16"/>
          <w:szCs w:val="16"/>
        </w:rPr>
        <w:t>etwork Service Rate</w:t>
      </w:r>
      <w:r>
        <w:rPr>
          <w:rFonts w:ascii="Arial" w:hAnsi="Arial"/>
          <w:color w:val="000000"/>
          <w:sz w:val="16"/>
          <w:szCs w:val="16"/>
        </w:rPr>
        <w:tab/>
      </w:r>
      <w:r>
        <w:rPr>
          <w:rFonts w:ascii="Arial" w:hAnsi="Arial"/>
          <w:color w:val="000000"/>
          <w:sz w:val="16"/>
          <w:szCs w:val="16"/>
        </w:rPr>
        <w:tab/>
        <w:t xml:space="preserve">  $/kW</w:t>
      </w:r>
      <w:r>
        <w:rPr>
          <w:rFonts w:ascii="Arial" w:hAnsi="Arial"/>
          <w:color w:val="000000"/>
          <w:sz w:val="16"/>
          <w:szCs w:val="16"/>
        </w:rPr>
        <w:tab/>
        <w:t xml:space="preserve"> 2.2561</w:t>
      </w:r>
    </w:p>
    <w:p w:rsidR="00C32F21" w:rsidRPr="00DE6356" w:rsidRDefault="00C32F21" w:rsidP="00C32F21">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Line and Transformation Connection Service Rate</w:t>
      </w:r>
      <w:r w:rsidRPr="00DE6356">
        <w:rPr>
          <w:rFonts w:ascii="Arial" w:hAnsi="Arial"/>
          <w:color w:val="000000"/>
          <w:sz w:val="16"/>
          <w:szCs w:val="16"/>
        </w:rPr>
        <w:tab/>
      </w:r>
      <w:r>
        <w:rPr>
          <w:rFonts w:ascii="Arial" w:hAnsi="Arial"/>
          <w:color w:val="000000"/>
          <w:sz w:val="16"/>
          <w:szCs w:val="16"/>
        </w:rPr>
        <w:tab/>
        <w:t xml:space="preserve">  </w:t>
      </w:r>
      <w:r w:rsidRPr="00DE6356">
        <w:rPr>
          <w:rFonts w:ascii="Arial" w:hAnsi="Arial"/>
          <w:color w:val="000000"/>
          <w:sz w:val="16"/>
          <w:szCs w:val="16"/>
        </w:rPr>
        <w:t>$/kW</w:t>
      </w:r>
      <w:r w:rsidRPr="00DE6356">
        <w:rPr>
          <w:rFonts w:ascii="Arial" w:hAnsi="Arial"/>
          <w:color w:val="000000"/>
          <w:sz w:val="16"/>
          <w:szCs w:val="16"/>
        </w:rPr>
        <w:tab/>
      </w:r>
      <w:r>
        <w:rPr>
          <w:rFonts w:ascii="Arial" w:hAnsi="Arial"/>
          <w:color w:val="000000"/>
          <w:sz w:val="16"/>
          <w:szCs w:val="16"/>
        </w:rPr>
        <w:t xml:space="preserve"> 0.8629</w:t>
      </w:r>
    </w:p>
    <w:p w:rsidR="00C32F21" w:rsidRDefault="00C32F21"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4227DC">
      <w:pPr>
        <w:tabs>
          <w:tab w:val="left" w:pos="6543"/>
          <w:tab w:val="left" w:pos="7765"/>
        </w:tabs>
        <w:rPr>
          <w:rFonts w:ascii="Arial" w:hAnsi="Arial"/>
          <w:b/>
          <w:color w:val="000000"/>
          <w:sz w:val="28"/>
          <w:szCs w:val="28"/>
        </w:rPr>
      </w:pPr>
    </w:p>
    <w:p w:rsidR="00CC2DCE" w:rsidRPr="009243B8" w:rsidRDefault="00CC2DCE" w:rsidP="004227DC">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CC2DCE" w:rsidRPr="005C5E75" w:rsidRDefault="00CC2DCE" w:rsidP="00417055">
      <w:pPr>
        <w:widowControl/>
        <w:rPr>
          <w:rFonts w:ascii="Arial" w:hAnsi="Arial" w:cs="Arial"/>
          <w:sz w:val="18"/>
          <w:szCs w:val="18"/>
        </w:rPr>
      </w:pPr>
    </w:p>
    <w:p w:rsidR="00CC2DCE" w:rsidRPr="005C5E75" w:rsidRDefault="00CC2DCE" w:rsidP="005C5E75">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5C5E75">
        <w:rPr>
          <w:rFonts w:ascii="Arial" w:hAnsi="Arial" w:cs="Arial"/>
          <w:sz w:val="18"/>
          <w:szCs w:val="18"/>
        </w:rPr>
        <w:t>This classification applies to an account for roadway lighting with a Municipality, Regional Municipality, Ministry of Transportation and private roadway lighting operation, controlled by photo cells.  The consumption for these customers will be based on the calculated connected load times the required lighting times established in the approved O</w:t>
      </w:r>
      <w:r w:rsidR="00797ADA">
        <w:rPr>
          <w:rFonts w:ascii="Arial" w:hAnsi="Arial" w:cs="Arial"/>
          <w:sz w:val="18"/>
          <w:szCs w:val="18"/>
        </w:rPr>
        <w:t xml:space="preserve">ntario </w:t>
      </w:r>
      <w:r w:rsidRPr="005C5E75">
        <w:rPr>
          <w:rFonts w:ascii="Arial" w:hAnsi="Arial" w:cs="Arial"/>
          <w:sz w:val="18"/>
          <w:szCs w:val="18"/>
        </w:rPr>
        <w:t>E</w:t>
      </w:r>
      <w:r w:rsidR="00797ADA">
        <w:rPr>
          <w:rFonts w:ascii="Arial" w:hAnsi="Arial" w:cs="Arial"/>
          <w:sz w:val="18"/>
          <w:szCs w:val="18"/>
        </w:rPr>
        <w:t xml:space="preserve">nergy </w:t>
      </w:r>
      <w:r w:rsidRPr="005C5E75">
        <w:rPr>
          <w:rFonts w:ascii="Arial" w:hAnsi="Arial" w:cs="Arial"/>
          <w:sz w:val="18"/>
          <w:szCs w:val="18"/>
        </w:rPr>
        <w:t>B</w:t>
      </w:r>
      <w:r w:rsidR="00797ADA">
        <w:rPr>
          <w:rFonts w:ascii="Arial" w:hAnsi="Arial" w:cs="Arial"/>
          <w:sz w:val="18"/>
          <w:szCs w:val="18"/>
        </w:rPr>
        <w:t>oard</w:t>
      </w:r>
      <w:r w:rsidRPr="005C5E75">
        <w:rPr>
          <w:rFonts w:ascii="Arial" w:hAnsi="Arial" w:cs="Arial"/>
          <w:sz w:val="18"/>
          <w:szCs w:val="18"/>
        </w:rPr>
        <w:t xml:space="preserve"> street lighting load shape template. </w:t>
      </w:r>
      <w:r>
        <w:rPr>
          <w:rFonts w:ascii="Arial" w:hAnsi="Arial" w:cs="Arial"/>
          <w:sz w:val="18"/>
          <w:szCs w:val="18"/>
        </w:rPr>
        <w:t xml:space="preserve"> </w:t>
      </w:r>
      <w:r w:rsidRPr="005C5E75">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4B03DD">
      <w:pPr>
        <w:tabs>
          <w:tab w:val="left" w:pos="6543"/>
          <w:tab w:val="left" w:pos="7765"/>
        </w:tabs>
        <w:rPr>
          <w:rFonts w:ascii="Arial" w:hAnsi="Arial"/>
          <w:color w:val="000000"/>
          <w:sz w:val="16"/>
          <w:szCs w:val="16"/>
        </w:rPr>
      </w:pPr>
    </w:p>
    <w:tbl>
      <w:tblPr>
        <w:tblW w:w="9468" w:type="dxa"/>
        <w:tblLook w:val="04A0" w:firstRow="1" w:lastRow="0" w:firstColumn="1" w:lastColumn="0" w:noHBand="0" w:noVBand="1"/>
      </w:tblPr>
      <w:tblGrid>
        <w:gridCol w:w="8016"/>
        <w:gridCol w:w="640"/>
        <w:gridCol w:w="812"/>
      </w:tblGrid>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Service Charge (per connection)</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1.20</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Recovery of CGAAP/CWIP Differential - in effect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0.02</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Foregone Revenue (2016) - effective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(0.21)</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Recovery of Smart  Grid True-up Variance Account (2014 balance)</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 </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effective until December 31, 2016</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(0.01)</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Distribution Volumetric Rate</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6.3400</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Low Voltage Service Rate</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0.0917</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Foregone Revenue (2016) - effective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(0.7930)</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Recovery of Lost Revenue Adjustment Mechanism Variance Account (2013 balance)</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 </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 </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 xml:space="preserve"> - effective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(0.5821)</w:t>
            </w:r>
          </w:p>
        </w:tc>
      </w:tr>
      <w:tr w:rsidR="00905930" w:rsidRPr="00342E16"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Disposition of Global Adjustment Sub-Account (2016) - effective until December 31, 2016</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 </w:t>
            </w:r>
          </w:p>
        </w:tc>
      </w:tr>
      <w:tr w:rsidR="00905930" w:rsidRPr="00342E16"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Applicable only for Non-RPP Customers</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$/kW</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3.2993</w:t>
            </w:r>
          </w:p>
        </w:tc>
      </w:tr>
      <w:tr w:rsidR="00905930" w:rsidRPr="00342E16"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Disposition of Deferral/Variance Account (2016) - effective until December 31, 2016</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$/kW</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0.8931</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Disposition of Deferral/Variance Account - Power (2016) - effective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(0.9354)</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Rate Rider for Disposition of Deferral/Variance Accounts - Group 2 (2016)</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 </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 xml:space="preserve"> - effective until December 31, 2016</w:t>
            </w:r>
          </w:p>
        </w:tc>
        <w:tc>
          <w:tcPr>
            <w:tcW w:w="640"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rPr>
                <w:rFonts w:ascii="Arial" w:hAnsi="Arial" w:cs="Arial"/>
                <w:color w:val="000000"/>
                <w:sz w:val="16"/>
                <w:szCs w:val="16"/>
                <w:highlight w:val="yellow"/>
              </w:rPr>
            </w:pPr>
            <w:r w:rsidRPr="00342E16">
              <w:rPr>
                <w:rFonts w:ascii="Arial" w:hAnsi="Arial" w:cs="Arial"/>
                <w:color w:val="000000"/>
                <w:sz w:val="16"/>
                <w:szCs w:val="16"/>
                <w:highlight w:val="yellow"/>
              </w:rPr>
              <w:t>$/kW</w:t>
            </w:r>
          </w:p>
        </w:tc>
        <w:tc>
          <w:tcPr>
            <w:tcW w:w="812" w:type="dxa"/>
            <w:tcBorders>
              <w:top w:val="nil"/>
              <w:left w:val="nil"/>
              <w:bottom w:val="nil"/>
              <w:right w:val="nil"/>
            </w:tcBorders>
            <w:shd w:val="clear" w:color="000000" w:fill="FFFFFF"/>
            <w:noWrap/>
            <w:hideMark/>
          </w:tcPr>
          <w:p w:rsidR="00905930" w:rsidRPr="00342E16" w:rsidRDefault="00905930" w:rsidP="00905930">
            <w:pPr>
              <w:widowControl/>
              <w:autoSpaceDE/>
              <w:autoSpaceDN/>
              <w:adjustRightInd/>
              <w:jc w:val="right"/>
              <w:rPr>
                <w:rFonts w:ascii="Arial" w:hAnsi="Arial" w:cs="Arial"/>
                <w:color w:val="000000"/>
                <w:sz w:val="16"/>
                <w:szCs w:val="16"/>
                <w:highlight w:val="yellow"/>
              </w:rPr>
            </w:pPr>
            <w:r w:rsidRPr="00342E16">
              <w:rPr>
                <w:rFonts w:ascii="Arial" w:hAnsi="Arial" w:cs="Arial"/>
                <w:color w:val="000000"/>
                <w:sz w:val="16"/>
                <w:szCs w:val="16"/>
                <w:highlight w:val="yellow"/>
              </w:rPr>
              <w:t>0.4863</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Rate Rider for Recovery of Account 1575 - effective until December 31, 2016</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(0.4220)</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Retail Transmission Rate - Network Service Rate</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2.2203</w:t>
            </w:r>
          </w:p>
        </w:tc>
      </w:tr>
      <w:tr w:rsidR="00905930" w:rsidRPr="00905930" w:rsidTr="00905930">
        <w:trPr>
          <w:trHeight w:val="144"/>
        </w:trPr>
        <w:tc>
          <w:tcPr>
            <w:tcW w:w="8016" w:type="dxa"/>
            <w:tcBorders>
              <w:top w:val="nil"/>
              <w:left w:val="nil"/>
              <w:bottom w:val="nil"/>
              <w:right w:val="nil"/>
            </w:tcBorders>
            <w:shd w:val="clear" w:color="000000" w:fill="FFFFFF"/>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Retail Transmission Rate - Line and Transformation Connection Service Rate</w:t>
            </w:r>
          </w:p>
        </w:tc>
        <w:tc>
          <w:tcPr>
            <w:tcW w:w="640"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rPr>
                <w:rFonts w:ascii="Arial" w:hAnsi="Arial" w:cs="Arial"/>
                <w:color w:val="000000"/>
                <w:sz w:val="16"/>
                <w:szCs w:val="16"/>
              </w:rPr>
            </w:pPr>
            <w:r w:rsidRPr="00905930">
              <w:rPr>
                <w:rFonts w:ascii="Arial" w:hAnsi="Arial" w:cs="Arial"/>
                <w:color w:val="000000"/>
                <w:sz w:val="16"/>
                <w:szCs w:val="16"/>
              </w:rPr>
              <w:t>$/kW</w:t>
            </w:r>
          </w:p>
        </w:tc>
        <w:tc>
          <w:tcPr>
            <w:tcW w:w="812" w:type="dxa"/>
            <w:tcBorders>
              <w:top w:val="nil"/>
              <w:left w:val="nil"/>
              <w:bottom w:val="nil"/>
              <w:right w:val="nil"/>
            </w:tcBorders>
            <w:shd w:val="clear" w:color="000000" w:fill="FFFFFF"/>
            <w:noWrap/>
            <w:hideMark/>
          </w:tcPr>
          <w:p w:rsidR="00905930" w:rsidRPr="00905930" w:rsidRDefault="00905930" w:rsidP="00905930">
            <w:pPr>
              <w:widowControl/>
              <w:autoSpaceDE/>
              <w:autoSpaceDN/>
              <w:adjustRightInd/>
              <w:jc w:val="right"/>
              <w:rPr>
                <w:rFonts w:ascii="Arial" w:hAnsi="Arial" w:cs="Arial"/>
                <w:color w:val="000000"/>
                <w:sz w:val="16"/>
                <w:szCs w:val="16"/>
              </w:rPr>
            </w:pPr>
            <w:r w:rsidRPr="00905930">
              <w:rPr>
                <w:rFonts w:ascii="Arial" w:hAnsi="Arial" w:cs="Arial"/>
                <w:color w:val="000000"/>
                <w:sz w:val="16"/>
                <w:szCs w:val="16"/>
              </w:rPr>
              <w:t>0.9503</w:t>
            </w:r>
          </w:p>
        </w:tc>
      </w:tr>
      <w:tr w:rsidR="00C32F21" w:rsidRPr="00C32F21" w:rsidTr="00905930">
        <w:trPr>
          <w:trHeight w:val="144"/>
        </w:trPr>
        <w:tc>
          <w:tcPr>
            <w:tcW w:w="8016" w:type="dxa"/>
            <w:tcBorders>
              <w:top w:val="nil"/>
              <w:left w:val="nil"/>
              <w:bottom w:val="nil"/>
              <w:right w:val="nil"/>
            </w:tcBorders>
            <w:shd w:val="clear" w:color="000000" w:fill="FFFFFF"/>
          </w:tcPr>
          <w:p w:rsidR="00C32F21" w:rsidRPr="00C32F21" w:rsidRDefault="00C32F21" w:rsidP="00C32F21">
            <w:pPr>
              <w:widowControl/>
              <w:autoSpaceDE/>
              <w:autoSpaceDN/>
              <w:adjustRightInd/>
              <w:rPr>
                <w:rFonts w:ascii="Arial" w:hAnsi="Arial" w:cs="Arial"/>
                <w:color w:val="000000"/>
                <w:sz w:val="16"/>
                <w:szCs w:val="16"/>
              </w:rPr>
            </w:pPr>
          </w:p>
        </w:tc>
        <w:tc>
          <w:tcPr>
            <w:tcW w:w="640" w:type="dxa"/>
            <w:tcBorders>
              <w:top w:val="nil"/>
              <w:left w:val="nil"/>
              <w:bottom w:val="nil"/>
              <w:right w:val="nil"/>
            </w:tcBorders>
            <w:shd w:val="clear" w:color="000000" w:fill="FFFFFF"/>
            <w:noWrap/>
          </w:tcPr>
          <w:p w:rsidR="00C32F21" w:rsidRPr="00C32F21" w:rsidRDefault="00C32F21" w:rsidP="00C32F21">
            <w:pPr>
              <w:widowControl/>
              <w:autoSpaceDE/>
              <w:autoSpaceDN/>
              <w:adjustRightInd/>
              <w:rPr>
                <w:rFonts w:ascii="Arial" w:hAnsi="Arial" w:cs="Arial"/>
                <w:color w:val="000000"/>
                <w:sz w:val="16"/>
                <w:szCs w:val="16"/>
              </w:rPr>
            </w:pPr>
          </w:p>
        </w:tc>
        <w:tc>
          <w:tcPr>
            <w:tcW w:w="812" w:type="dxa"/>
            <w:tcBorders>
              <w:top w:val="nil"/>
              <w:left w:val="nil"/>
              <w:bottom w:val="nil"/>
              <w:right w:val="nil"/>
            </w:tcBorders>
            <w:shd w:val="clear" w:color="000000" w:fill="FFFFFF"/>
            <w:noWrap/>
          </w:tcPr>
          <w:p w:rsidR="00C32F21" w:rsidRPr="00C32F21" w:rsidRDefault="00C32F21" w:rsidP="00C32F21">
            <w:pPr>
              <w:widowControl/>
              <w:autoSpaceDE/>
              <w:autoSpaceDN/>
              <w:adjustRightInd/>
              <w:jc w:val="right"/>
              <w:rPr>
                <w:rFonts w:ascii="Arial" w:hAnsi="Arial" w:cs="Arial"/>
                <w:color w:val="000000"/>
                <w:sz w:val="16"/>
                <w:szCs w:val="16"/>
              </w:rPr>
            </w:pPr>
          </w:p>
        </w:tc>
      </w:tr>
    </w:tbl>
    <w:p w:rsidR="00905930" w:rsidRPr="009243B8" w:rsidRDefault="00905930" w:rsidP="00905930">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905930" w:rsidRDefault="00905930"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$/kWh</w:t>
      </w:r>
      <w:r w:rsidRPr="00E24308">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$/kWh</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00A30DE3">
        <w:rPr>
          <w:rFonts w:ascii="Arial" w:hAnsi="Arial"/>
          <w:color w:val="000000"/>
          <w:sz w:val="16"/>
          <w:szCs w:val="16"/>
        </w:rPr>
        <w:t xml:space="preserve">   </w:t>
      </w:r>
      <w:r w:rsidRPr="00E24308">
        <w:rPr>
          <w:rFonts w:ascii="Arial" w:hAnsi="Arial"/>
          <w:color w:val="000000"/>
          <w:sz w:val="16"/>
          <w:szCs w:val="16"/>
        </w:rPr>
        <w:t>$</w:t>
      </w:r>
      <w:r>
        <w:rPr>
          <w:rFonts w:ascii="Arial" w:hAnsi="Arial"/>
          <w:color w:val="000000"/>
          <w:sz w:val="16"/>
          <w:szCs w:val="16"/>
        </w:rPr>
        <w:tab/>
      </w:r>
      <w:r w:rsidR="00A30DE3">
        <w:rPr>
          <w:rFonts w:ascii="Arial" w:hAnsi="Arial"/>
          <w:color w:val="000000"/>
          <w:sz w:val="16"/>
          <w:szCs w:val="16"/>
        </w:rPr>
        <w:t xml:space="preserve">  </w:t>
      </w:r>
      <w:r>
        <w:rPr>
          <w:rFonts w:ascii="Arial" w:hAnsi="Arial"/>
          <w:color w:val="000000"/>
          <w:sz w:val="16"/>
          <w:szCs w:val="16"/>
        </w:rPr>
        <w:t>0.25</w:t>
      </w:r>
    </w:p>
    <w:p w:rsidR="00905930" w:rsidRDefault="00905930" w:rsidP="0096068F">
      <w:pPr>
        <w:tabs>
          <w:tab w:val="left" w:pos="360"/>
          <w:tab w:val="left" w:pos="720"/>
          <w:tab w:val="left" w:pos="6543"/>
          <w:tab w:val="left" w:pos="7765"/>
        </w:tabs>
        <w:rPr>
          <w:rFonts w:ascii="Arial" w:hAnsi="Arial" w:cs="Arial"/>
          <w:b/>
          <w:bCs/>
          <w:sz w:val="28"/>
          <w:szCs w:val="28"/>
        </w:rPr>
      </w:pPr>
    </w:p>
    <w:p w:rsidR="00457E66" w:rsidRDefault="00457E66">
      <w:pPr>
        <w:widowControl/>
        <w:autoSpaceDE/>
        <w:autoSpaceDN/>
        <w:adjustRightInd/>
        <w:rPr>
          <w:rFonts w:ascii="Arial" w:hAnsi="Arial" w:cs="Arial"/>
          <w:b/>
          <w:bCs/>
          <w:sz w:val="28"/>
          <w:szCs w:val="28"/>
        </w:rPr>
      </w:pPr>
      <w:r>
        <w:rPr>
          <w:rFonts w:ascii="Arial" w:hAnsi="Arial" w:cs="Arial"/>
          <w:b/>
          <w:bCs/>
          <w:sz w:val="28"/>
          <w:szCs w:val="28"/>
        </w:rPr>
        <w:br w:type="page"/>
      </w:r>
    </w:p>
    <w:p w:rsidR="00CC2DCE" w:rsidRPr="009243B8" w:rsidRDefault="00CC2DCE" w:rsidP="0096068F">
      <w:pPr>
        <w:tabs>
          <w:tab w:val="left" w:pos="360"/>
          <w:tab w:val="left" w:pos="720"/>
          <w:tab w:val="left" w:pos="6543"/>
          <w:tab w:val="left" w:pos="7765"/>
        </w:tabs>
        <w:rPr>
          <w:rFonts w:ascii="Arial" w:hAnsi="Arial" w:cs="Arial"/>
          <w:b/>
          <w:bCs/>
          <w:sz w:val="28"/>
          <w:szCs w:val="28"/>
        </w:rPr>
      </w:pPr>
      <w:proofErr w:type="gramStart"/>
      <w:r w:rsidRPr="009243B8">
        <w:rPr>
          <w:rFonts w:ascii="Arial" w:hAnsi="Arial" w:cs="Arial"/>
          <w:b/>
          <w:bCs/>
          <w:sz w:val="28"/>
          <w:szCs w:val="28"/>
        </w:rPr>
        <w:t>microFIT</w:t>
      </w:r>
      <w:proofErr w:type="gramEnd"/>
      <w:r w:rsidRPr="009243B8">
        <w:rPr>
          <w:rFonts w:ascii="Arial" w:hAnsi="Arial" w:cs="Arial"/>
          <w:b/>
          <w:bCs/>
          <w:sz w:val="28"/>
          <w:szCs w:val="28"/>
        </w:rPr>
        <w:t xml:space="preserve"> GENERATOR SERVICE CLASSIFICATION</w:t>
      </w:r>
    </w:p>
    <w:p w:rsidR="00CC2DCE" w:rsidRDefault="00CC2DCE" w:rsidP="001B0010">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ind w:left="360" w:hanging="360"/>
        <w:rPr>
          <w:rFonts w:ascii="Arial" w:hAnsi="Arial" w:cs="Arial"/>
          <w:sz w:val="18"/>
          <w:szCs w:val="18"/>
        </w:rPr>
      </w:pPr>
    </w:p>
    <w:p w:rsidR="004F1341" w:rsidRPr="00417055" w:rsidRDefault="004F1341" w:rsidP="004F1341">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417055">
        <w:rPr>
          <w:rFonts w:ascii="Arial" w:hAnsi="Arial" w:cs="Arial"/>
          <w:sz w:val="18"/>
          <w:szCs w:val="18"/>
        </w:rPr>
        <w:t xml:space="preserve">This classification applies to an electricity generation facility contracted under the </w:t>
      </w:r>
      <w:r>
        <w:rPr>
          <w:rFonts w:ascii="Arial" w:hAnsi="Arial" w:cs="Arial"/>
          <w:sz w:val="18"/>
          <w:szCs w:val="18"/>
        </w:rPr>
        <w:t>Independent Electricity System Operator</w:t>
      </w:r>
      <w:r w:rsidRPr="00417055">
        <w:rPr>
          <w:rFonts w:ascii="Arial" w:hAnsi="Arial" w:cs="Arial"/>
          <w:sz w:val="18"/>
          <w:szCs w:val="18"/>
        </w:rPr>
        <w:t>’s microFIT program and connected to the distributor’s distribution system.</w:t>
      </w:r>
      <w:r>
        <w:rPr>
          <w:rFonts w:ascii="Arial" w:hAnsi="Arial" w:cs="Arial"/>
          <w:sz w:val="18"/>
          <w:szCs w:val="18"/>
        </w:rPr>
        <w:t xml:space="preserve">  </w:t>
      </w:r>
      <w:r w:rsidRPr="00BF60FB">
        <w:rPr>
          <w:rFonts w:ascii="Arial" w:hAnsi="Arial" w:cs="Arial"/>
          <w:sz w:val="18"/>
          <w:szCs w:val="18"/>
        </w:rPr>
        <w:t>Further servicing details are available in the utility’s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Default="00CC2DCE" w:rsidP="00A1192D">
      <w:pPr>
        <w:rPr>
          <w:rFonts w:ascii="Arial" w:hAnsi="Arial"/>
          <w:b/>
          <w:color w:val="000000"/>
          <w:sz w:val="18"/>
          <w:szCs w:val="18"/>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r w:rsidRPr="001B0010">
        <w:rPr>
          <w:rFonts w:ascii="Arial" w:hAnsi="Arial"/>
          <w:b/>
          <w:color w:val="000000"/>
          <w:sz w:val="18"/>
          <w:szCs w:val="18"/>
        </w:rPr>
        <w:t xml:space="preserve"> </w:t>
      </w:r>
    </w:p>
    <w:p w:rsidR="00CC2DCE" w:rsidRDefault="00CC2DCE" w:rsidP="00A1192D">
      <w:pPr>
        <w:rPr>
          <w:rFonts w:ascii="Arial" w:hAnsi="Arial"/>
          <w:color w:val="000000"/>
          <w:sz w:val="16"/>
          <w:szCs w:val="16"/>
        </w:rPr>
      </w:pPr>
    </w:p>
    <w:p w:rsidR="00CC2DCE" w:rsidRPr="00E24308" w:rsidRDefault="00CC2DCE" w:rsidP="00924E18">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ab/>
        <w:t>5.40</w:t>
      </w: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905930" w:rsidRDefault="00905930" w:rsidP="00F90DEB">
      <w:pPr>
        <w:widowControl/>
        <w:rPr>
          <w:rFonts w:ascii="Arial" w:hAnsi="Arial" w:cs="Arial"/>
          <w:b/>
          <w:sz w:val="28"/>
          <w:szCs w:val="28"/>
        </w:rPr>
      </w:pPr>
    </w:p>
    <w:p w:rsidR="00905930" w:rsidRDefault="00905930" w:rsidP="00F90DEB">
      <w:pPr>
        <w:widowControl/>
        <w:rPr>
          <w:rFonts w:ascii="Arial" w:hAnsi="Arial" w:cs="Arial"/>
          <w:b/>
          <w:sz w:val="28"/>
          <w:szCs w:val="28"/>
        </w:rPr>
      </w:pPr>
    </w:p>
    <w:p w:rsidR="00905930" w:rsidRDefault="00905930" w:rsidP="00F90DEB">
      <w:pPr>
        <w:widowControl/>
        <w:rPr>
          <w:rFonts w:ascii="Arial" w:hAnsi="Arial" w:cs="Arial"/>
          <w:b/>
          <w:sz w:val="28"/>
          <w:szCs w:val="28"/>
        </w:rPr>
      </w:pPr>
    </w:p>
    <w:p w:rsidR="00905930" w:rsidRDefault="00905930" w:rsidP="00F90DEB">
      <w:pPr>
        <w:widowControl/>
        <w:rPr>
          <w:rFonts w:ascii="Arial" w:hAnsi="Arial" w:cs="Arial"/>
          <w:b/>
          <w:sz w:val="28"/>
          <w:szCs w:val="28"/>
        </w:rPr>
      </w:pPr>
    </w:p>
    <w:p w:rsidR="00905930" w:rsidRDefault="00905930" w:rsidP="00F90DEB">
      <w:pPr>
        <w:widowControl/>
        <w:rPr>
          <w:rFonts w:ascii="Arial" w:hAnsi="Arial" w:cs="Arial"/>
          <w:b/>
          <w:sz w:val="28"/>
          <w:szCs w:val="28"/>
        </w:rPr>
      </w:pPr>
    </w:p>
    <w:p w:rsidR="00457E66" w:rsidRDefault="00457E66">
      <w:pPr>
        <w:widowControl/>
        <w:autoSpaceDE/>
        <w:autoSpaceDN/>
        <w:adjustRightInd/>
        <w:rPr>
          <w:rFonts w:ascii="Arial" w:hAnsi="Arial" w:cs="Arial"/>
          <w:b/>
          <w:sz w:val="28"/>
          <w:szCs w:val="28"/>
        </w:rPr>
      </w:pPr>
      <w:r>
        <w:rPr>
          <w:rFonts w:ascii="Arial" w:hAnsi="Arial" w:cs="Arial"/>
          <w:b/>
          <w:sz w:val="28"/>
          <w:szCs w:val="28"/>
        </w:rPr>
        <w:br w:type="page"/>
      </w:r>
    </w:p>
    <w:p w:rsidR="00F90DEB" w:rsidRPr="00B81B0C" w:rsidRDefault="00F90DEB" w:rsidP="00F90DEB">
      <w:pPr>
        <w:widowControl/>
        <w:rPr>
          <w:rFonts w:ascii="Arial" w:hAnsi="Arial" w:cs="Arial"/>
          <w:b/>
          <w:sz w:val="28"/>
          <w:szCs w:val="28"/>
        </w:rPr>
      </w:pPr>
      <w:r w:rsidRPr="00B81B0C">
        <w:rPr>
          <w:rFonts w:ascii="Arial" w:hAnsi="Arial" w:cs="Arial"/>
          <w:b/>
          <w:sz w:val="28"/>
          <w:szCs w:val="28"/>
        </w:rPr>
        <w:t>ALLOWANCES</w:t>
      </w:r>
    </w:p>
    <w:p w:rsidR="00F90DEB" w:rsidRDefault="00F90DEB" w:rsidP="00F90DEB">
      <w:pPr>
        <w:widowControl/>
        <w:tabs>
          <w:tab w:val="left" w:pos="360"/>
        </w:tabs>
        <w:rPr>
          <w:rFonts w:ascii="Arial" w:hAnsi="Arial" w:cs="Arial"/>
          <w:sz w:val="16"/>
          <w:szCs w:val="16"/>
        </w:rPr>
      </w:pPr>
    </w:p>
    <w:p w:rsidR="00F90DEB" w:rsidRDefault="00F90DEB" w:rsidP="00F90DEB">
      <w:pPr>
        <w:widowControl/>
        <w:tabs>
          <w:tab w:val="left" w:pos="360"/>
        </w:tabs>
        <w:rPr>
          <w:rFonts w:ascii="Arial" w:hAnsi="Arial" w:cs="Arial"/>
          <w:sz w:val="16"/>
          <w:szCs w:val="16"/>
        </w:rPr>
      </w:pPr>
      <w:r>
        <w:rPr>
          <w:rFonts w:ascii="Arial" w:hAnsi="Arial" w:cs="Arial"/>
          <w:sz w:val="16"/>
          <w:szCs w:val="16"/>
        </w:rPr>
        <w:tab/>
        <w:t>Transformer Allowance for Ownership - per kW of billing demand/month</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$/kW</w:t>
      </w:r>
      <w:r>
        <w:rPr>
          <w:rFonts w:ascii="Arial" w:hAnsi="Arial" w:cs="Arial"/>
          <w:sz w:val="16"/>
          <w:szCs w:val="16"/>
        </w:rPr>
        <w:tab/>
        <w:t>(0.60)</w:t>
      </w:r>
    </w:p>
    <w:p w:rsidR="00F90DEB" w:rsidRDefault="00F90DEB" w:rsidP="00F90DEB">
      <w:pPr>
        <w:widowControl/>
        <w:tabs>
          <w:tab w:val="left" w:pos="360"/>
        </w:tabs>
        <w:rPr>
          <w:rFonts w:ascii="Arial" w:hAnsi="Arial" w:cs="Arial"/>
          <w:sz w:val="16"/>
          <w:szCs w:val="16"/>
        </w:rPr>
      </w:pPr>
      <w:r>
        <w:rPr>
          <w:rFonts w:ascii="Arial" w:hAnsi="Arial" w:cs="Arial"/>
          <w:sz w:val="16"/>
          <w:szCs w:val="16"/>
        </w:rPr>
        <w:tab/>
        <w:t>Primary Metering Allowance for transformer losses – applied to measured demand and energy</w:t>
      </w:r>
      <w:r>
        <w:rPr>
          <w:rFonts w:ascii="Arial" w:hAnsi="Arial" w:cs="Arial"/>
          <w:sz w:val="16"/>
          <w:szCs w:val="16"/>
        </w:rPr>
        <w:tab/>
      </w:r>
      <w:r>
        <w:rPr>
          <w:rFonts w:ascii="Arial" w:hAnsi="Arial" w:cs="Arial"/>
          <w:sz w:val="16"/>
          <w:szCs w:val="16"/>
        </w:rPr>
        <w:tab/>
        <w:t>%</w:t>
      </w:r>
      <w:r>
        <w:rPr>
          <w:rFonts w:ascii="Arial" w:hAnsi="Arial" w:cs="Arial"/>
          <w:sz w:val="16"/>
          <w:szCs w:val="16"/>
        </w:rPr>
        <w:tab/>
        <w:t>(1.00)</w:t>
      </w:r>
    </w:p>
    <w:p w:rsidR="00CC2DCE" w:rsidRPr="00E24308" w:rsidRDefault="00CC2DCE" w:rsidP="001B0010">
      <w:pPr>
        <w:tabs>
          <w:tab w:val="left" w:pos="6543"/>
          <w:tab w:val="left" w:pos="7765"/>
        </w:tabs>
        <w:rPr>
          <w:rFonts w:ascii="Arial" w:hAnsi="Arial"/>
          <w:color w:val="000000"/>
          <w:sz w:val="16"/>
          <w:szCs w:val="16"/>
        </w:rPr>
      </w:pPr>
    </w:p>
    <w:p w:rsidR="00CC2DCE" w:rsidRPr="00B81B0C" w:rsidRDefault="00CC2DCE" w:rsidP="007D30CB">
      <w:pPr>
        <w:tabs>
          <w:tab w:val="left" w:pos="6543"/>
          <w:tab w:val="left" w:pos="7765"/>
        </w:tabs>
        <w:rPr>
          <w:rFonts w:ascii="Arial" w:hAnsi="Arial"/>
          <w:color w:val="000000"/>
          <w:sz w:val="28"/>
          <w:szCs w:val="28"/>
        </w:rPr>
      </w:pPr>
      <w:r w:rsidRPr="00B81B0C">
        <w:rPr>
          <w:rFonts w:ascii="Arial" w:hAnsi="Arial"/>
          <w:b/>
          <w:color w:val="000000"/>
          <w:sz w:val="28"/>
          <w:szCs w:val="28"/>
        </w:rPr>
        <w:t xml:space="preserve">SPECIFIC SERVICE CHARGES </w:t>
      </w:r>
    </w:p>
    <w:p w:rsidR="00CC2DCE" w:rsidRDefault="00CC2DCE" w:rsidP="00E230ED">
      <w:pPr>
        <w:jc w:val="both"/>
        <w:rPr>
          <w:rFonts w:ascii="Arial" w:hAnsi="Arial" w:cs="Arial"/>
          <w:b/>
          <w:bCs/>
          <w:sz w:val="20"/>
          <w:szCs w:val="20"/>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Customer Administration</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jc w:val="both"/>
        <w:rPr>
          <w:rFonts w:ascii="Arial" w:hAnsi="Arial" w:cs="Arial"/>
          <w:sz w:val="16"/>
          <w:szCs w:val="16"/>
        </w:rPr>
      </w:pPr>
      <w:r>
        <w:rPr>
          <w:rFonts w:ascii="Arial" w:hAnsi="Arial" w:cs="Arial"/>
          <w:sz w:val="16"/>
          <w:szCs w:val="16"/>
        </w:rPr>
        <w:tab/>
        <w:t>Arrears certificate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Statement of Account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Duplicate Invoices for previous billing</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Request for Other Billing Information</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Easement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Income Tax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History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Returned Cheque (plus bank charges)</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Legal Letter Charge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set up charge/change of occupancy charge (plus credit agency costs if applicable)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w:t>
      </w:r>
      <w:r w:rsidRPr="00E24308">
        <w:rPr>
          <w:rFonts w:ascii="Arial" w:hAnsi="Arial" w:cs="Arial"/>
          <w:sz w:val="16"/>
          <w:szCs w:val="16"/>
        </w:rPr>
        <w:t>.00</w:t>
      </w:r>
    </w:p>
    <w:p w:rsidR="00CC2DCE" w:rsidRDefault="00CC2DCE" w:rsidP="00D43C05">
      <w:pPr>
        <w:tabs>
          <w:tab w:val="left" w:pos="360"/>
          <w:tab w:val="left" w:pos="7200"/>
          <w:tab w:val="left" w:pos="7560"/>
        </w:tabs>
        <w:rPr>
          <w:rFonts w:ascii="Arial" w:hAnsi="Arial" w:cs="Arial"/>
          <w:sz w:val="16"/>
          <w:szCs w:val="16"/>
        </w:rPr>
      </w:pPr>
      <w:r>
        <w:rPr>
          <w:rFonts w:ascii="Arial" w:hAnsi="Arial" w:cs="Arial"/>
          <w:sz w:val="16"/>
          <w:szCs w:val="16"/>
        </w:rPr>
        <w:tab/>
        <w:t xml:space="preserve">Special meter reads </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Meter Dispute Charge plus Measurement Canada fees (if meter found correct)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360"/>
          <w:tab w:val="left" w:pos="6543"/>
          <w:tab w:val="left" w:pos="7765"/>
        </w:tabs>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Non-Payment of Account</w:t>
      </w:r>
    </w:p>
    <w:p w:rsidR="00CC2DCE" w:rsidRPr="00E24308"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t>Late Payment - per month</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w:t>
      </w:r>
    </w:p>
    <w:p w:rsidR="00CC2DCE"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r>
      <w:r w:rsidRPr="00E24308">
        <w:rPr>
          <w:rFonts w:ascii="Arial" w:hAnsi="Arial" w:cs="Arial"/>
          <w:sz w:val="16"/>
          <w:szCs w:val="16"/>
        </w:rPr>
        <w:t>Late Payment - per annum</w:t>
      </w:r>
      <w:r w:rsidRPr="00E24308">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19.56</w:t>
      </w:r>
    </w:p>
    <w:p w:rsidR="00CC2DCE" w:rsidRDefault="00CC2DCE" w:rsidP="00D43C05">
      <w:pPr>
        <w:widowControl/>
        <w:tabs>
          <w:tab w:val="left" w:pos="360"/>
          <w:tab w:val="left" w:pos="7200"/>
          <w:tab w:val="left" w:pos="7560"/>
          <w:tab w:val="left" w:pos="7920"/>
        </w:tabs>
        <w:rPr>
          <w:rFonts w:ascii="Arial" w:hAnsi="Arial" w:cs="Arial"/>
          <w:sz w:val="20"/>
          <w:szCs w:val="20"/>
        </w:rPr>
      </w:pPr>
      <w:r>
        <w:rPr>
          <w:rFonts w:ascii="Arial" w:hAnsi="Arial" w:cs="Arial"/>
          <w:sz w:val="16"/>
          <w:szCs w:val="16"/>
        </w:rPr>
        <w:tab/>
        <w:t>Collection of account charge – no disconnection</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t>Disconnect/Reconnect at meter – during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65.00</w:t>
      </w:r>
    </w:p>
    <w:p w:rsidR="00CC2DCE" w:rsidRDefault="00CC2DCE" w:rsidP="00D43C05">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t>Disconnect/Reconnect at meter – after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185.00</w:t>
      </w:r>
    </w:p>
    <w:p w:rsidR="00CC2DCE" w:rsidRDefault="00CC2DCE" w:rsidP="00D43C05">
      <w:pPr>
        <w:widowControl/>
        <w:rPr>
          <w:rFonts w:ascii="Arial" w:hAnsi="Arial" w:cs="Arial"/>
          <w:sz w:val="16"/>
          <w:szCs w:val="16"/>
        </w:rPr>
      </w:pPr>
    </w:p>
    <w:p w:rsidR="004F1341" w:rsidRPr="004F1341" w:rsidRDefault="004F1341" w:rsidP="00D43C05">
      <w:pPr>
        <w:widowControl/>
        <w:rPr>
          <w:rFonts w:ascii="Arial" w:hAnsi="Arial" w:cs="Arial"/>
          <w:b/>
          <w:sz w:val="16"/>
          <w:szCs w:val="16"/>
        </w:rPr>
      </w:pPr>
      <w:r>
        <w:rPr>
          <w:rFonts w:ascii="Arial" w:hAnsi="Arial" w:cs="Arial"/>
          <w:b/>
          <w:sz w:val="16"/>
          <w:szCs w:val="16"/>
        </w:rPr>
        <w:t>Other</w:t>
      </w:r>
    </w:p>
    <w:p w:rsidR="00CC2DCE" w:rsidRDefault="00F90DEB" w:rsidP="00F90DEB">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415.00</w:t>
      </w:r>
    </w:p>
    <w:p w:rsidR="004F1341" w:rsidRDefault="004F1341" w:rsidP="004F1341">
      <w:pPr>
        <w:tabs>
          <w:tab w:val="left" w:pos="360"/>
          <w:tab w:val="left" w:pos="6543"/>
          <w:tab w:val="left" w:pos="7765"/>
        </w:tabs>
        <w:rPr>
          <w:rFonts w:ascii="Arial" w:hAnsi="Arial"/>
          <w:color w:val="000000"/>
          <w:sz w:val="16"/>
          <w:szCs w:val="16"/>
        </w:rPr>
      </w:pPr>
      <w:r>
        <w:rPr>
          <w:rFonts w:ascii="Arial" w:hAnsi="Arial" w:cs="Arial"/>
          <w:sz w:val="16"/>
          <w:szCs w:val="16"/>
        </w:rPr>
        <w:tab/>
      </w:r>
      <w:r>
        <w:rPr>
          <w:rFonts w:ascii="Arial" w:hAnsi="Arial"/>
          <w:color w:val="000000"/>
          <w:sz w:val="16"/>
          <w:szCs w:val="16"/>
        </w:rPr>
        <w:t>Specific Charge for Access to the Power Poles per pole/year</w:t>
      </w:r>
    </w:p>
    <w:p w:rsidR="004F1341" w:rsidRPr="00E24308" w:rsidRDefault="004F1341" w:rsidP="004F1341">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Pr="00DE22F2">
        <w:rPr>
          <w:rFonts w:ascii="Arial" w:hAnsi="Arial"/>
          <w:color w:val="000000"/>
          <w:sz w:val="16"/>
          <w:szCs w:val="16"/>
        </w:rPr>
        <w:t>(</w:t>
      </w:r>
      <w:proofErr w:type="gramStart"/>
      <w:r w:rsidRPr="00DE22F2">
        <w:rPr>
          <w:rFonts w:ascii="Arial" w:hAnsi="Arial" w:cs="Arial"/>
          <w:iCs/>
          <w:sz w:val="16"/>
          <w:szCs w:val="16"/>
        </w:rPr>
        <w:t>with</w:t>
      </w:r>
      <w:proofErr w:type="gramEnd"/>
      <w:r w:rsidRPr="00DE22F2">
        <w:rPr>
          <w:rFonts w:ascii="Arial" w:hAnsi="Arial" w:cs="Arial"/>
          <w:iCs/>
          <w:sz w:val="16"/>
          <w:szCs w:val="16"/>
        </w:rPr>
        <w:t xml:space="preserve"> the exception of wireless attachments)</w:t>
      </w:r>
      <w:r>
        <w:rPr>
          <w:rFonts w:ascii="Arial" w:hAnsi="Arial"/>
          <w:color w:val="000000"/>
          <w:sz w:val="16"/>
          <w:szCs w:val="16"/>
        </w:rPr>
        <w:t xml:space="preserve"> </w:t>
      </w:r>
      <w:r>
        <w:rPr>
          <w:rFonts w:ascii="Arial" w:hAnsi="Arial"/>
          <w:color w:val="000000"/>
          <w:sz w:val="16"/>
          <w:szCs w:val="16"/>
        </w:rPr>
        <w:tab/>
      </w:r>
      <w:r>
        <w:rPr>
          <w:rFonts w:ascii="Arial" w:hAnsi="Arial"/>
          <w:color w:val="000000"/>
          <w:sz w:val="16"/>
          <w:szCs w:val="16"/>
        </w:rPr>
        <w:tab/>
      </w:r>
      <w:r w:rsidR="00F90DEB">
        <w:rPr>
          <w:rFonts w:ascii="Arial" w:hAnsi="Arial"/>
          <w:color w:val="000000"/>
          <w:sz w:val="16"/>
          <w:szCs w:val="16"/>
        </w:rPr>
        <w:t xml:space="preserve">   </w:t>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22.35</w:t>
      </w:r>
    </w:p>
    <w:p w:rsidR="00CC2DCE" w:rsidRPr="00F90DEB" w:rsidRDefault="00F90DEB" w:rsidP="00F90DEB">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00CC2DCE">
        <w:rPr>
          <w:rFonts w:ascii="Arial" w:hAnsi="Arial" w:cs="Arial"/>
          <w:sz w:val="16"/>
          <w:szCs w:val="16"/>
        </w:rPr>
        <w:t xml:space="preserve">Temporary Service </w:t>
      </w:r>
      <w:proofErr w:type="gramStart"/>
      <w:r w:rsidR="00CC2DCE">
        <w:rPr>
          <w:rFonts w:ascii="Arial" w:hAnsi="Arial" w:cs="Arial"/>
          <w:sz w:val="16"/>
          <w:szCs w:val="16"/>
        </w:rPr>
        <w:t>install</w:t>
      </w:r>
      <w:proofErr w:type="gramEnd"/>
      <w:r w:rsidR="00CC2DCE">
        <w:rPr>
          <w:rFonts w:ascii="Arial" w:hAnsi="Arial" w:cs="Arial"/>
          <w:sz w:val="16"/>
          <w:szCs w:val="16"/>
        </w:rPr>
        <w:t xml:space="preserve"> and remove – overhead – no transformer</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500.00</w:t>
      </w:r>
    </w:p>
    <w:p w:rsidR="00CC2DCE" w:rsidRDefault="00CC2DCE" w:rsidP="005462C3">
      <w:pPr>
        <w:tabs>
          <w:tab w:val="left" w:pos="6543"/>
          <w:tab w:val="left" w:pos="7765"/>
        </w:tabs>
        <w:ind w:right="-720"/>
        <w:rPr>
          <w:rFonts w:ascii="Arial" w:hAnsi="Arial" w:cs="Arial"/>
          <w:b/>
          <w:sz w:val="28"/>
          <w:szCs w:val="28"/>
        </w:rPr>
      </w:pPr>
    </w:p>
    <w:p w:rsidR="00CC2DCE" w:rsidRPr="00B81B0C" w:rsidRDefault="00CC2DCE" w:rsidP="005462C3">
      <w:pPr>
        <w:tabs>
          <w:tab w:val="left" w:pos="6543"/>
          <w:tab w:val="left" w:pos="7765"/>
        </w:tabs>
        <w:ind w:right="-720"/>
        <w:rPr>
          <w:rFonts w:ascii="Arial" w:hAnsi="Arial" w:cs="Arial"/>
          <w:sz w:val="28"/>
          <w:szCs w:val="28"/>
        </w:rPr>
      </w:pPr>
      <w:r w:rsidRPr="00B81B0C">
        <w:rPr>
          <w:rFonts w:ascii="Arial" w:hAnsi="Arial" w:cs="Arial"/>
          <w:b/>
          <w:sz w:val="28"/>
          <w:szCs w:val="28"/>
        </w:rPr>
        <w:t>RETAIL SERVICE CHARGES (if applicable)</w:t>
      </w:r>
    </w:p>
    <w:p w:rsidR="00CC2DCE" w:rsidRPr="0014348D" w:rsidRDefault="00CC2DCE" w:rsidP="00E230ED">
      <w:pPr>
        <w:rPr>
          <w:rFonts w:ascii="Arial" w:hAnsi="Arial" w:cs="Arial"/>
          <w:sz w:val="18"/>
          <w:szCs w:val="18"/>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8"/>
          <w:szCs w:val="18"/>
        </w:rPr>
      </w:pPr>
    </w:p>
    <w:p w:rsidR="00CC2DCE" w:rsidRPr="001B0010" w:rsidRDefault="00CC2DCE" w:rsidP="00417055">
      <w:pPr>
        <w:tabs>
          <w:tab w:val="left" w:pos="6543"/>
          <w:tab w:val="left" w:pos="7765"/>
        </w:tabs>
        <w:ind w:right="-720"/>
        <w:rPr>
          <w:rFonts w:ascii="Arial" w:hAnsi="Arial" w:cs="Arial"/>
          <w:sz w:val="18"/>
          <w:szCs w:val="18"/>
        </w:rPr>
      </w:pPr>
      <w:r w:rsidRPr="001B0010">
        <w:rPr>
          <w:rFonts w:ascii="Arial" w:hAnsi="Arial" w:cs="Arial"/>
          <w:sz w:val="18"/>
          <w:szCs w:val="18"/>
        </w:rPr>
        <w:t xml:space="preserve">Retail Service Charges refer to services provided by a distributor to retailers or customers related </w:t>
      </w:r>
      <w:r>
        <w:rPr>
          <w:rFonts w:ascii="Arial" w:hAnsi="Arial" w:cs="Arial"/>
          <w:sz w:val="18"/>
          <w:szCs w:val="18"/>
        </w:rPr>
        <w:t>to the supply of</w:t>
      </w:r>
    </w:p>
    <w:p w:rsidR="00CC2DCE" w:rsidRPr="001B0010" w:rsidRDefault="00CC2DCE" w:rsidP="00417055">
      <w:pPr>
        <w:tabs>
          <w:tab w:val="left" w:pos="6543"/>
          <w:tab w:val="left" w:pos="7765"/>
        </w:tabs>
        <w:ind w:right="-720"/>
        <w:rPr>
          <w:rFonts w:ascii="Arial" w:hAnsi="Arial" w:cs="Arial"/>
          <w:sz w:val="18"/>
          <w:szCs w:val="18"/>
        </w:rPr>
      </w:pPr>
      <w:proofErr w:type="gramStart"/>
      <w:r w:rsidRPr="001B0010">
        <w:rPr>
          <w:rFonts w:ascii="Arial" w:hAnsi="Arial" w:cs="Arial"/>
          <w:sz w:val="18"/>
          <w:szCs w:val="18"/>
        </w:rPr>
        <w:t>competitive</w:t>
      </w:r>
      <w:proofErr w:type="gramEnd"/>
      <w:r w:rsidRPr="001B0010">
        <w:rPr>
          <w:rFonts w:ascii="Arial" w:hAnsi="Arial" w:cs="Arial"/>
          <w:sz w:val="18"/>
          <w:szCs w:val="18"/>
        </w:rPr>
        <w:t xml:space="preserve"> electricity</w:t>
      </w:r>
    </w:p>
    <w:p w:rsidR="00CC2DCE" w:rsidRPr="00A475E9" w:rsidRDefault="00CC2DCE" w:rsidP="00417055">
      <w:pPr>
        <w:tabs>
          <w:tab w:val="left" w:pos="6543"/>
          <w:tab w:val="left" w:pos="7765"/>
        </w:tabs>
        <w:ind w:right="-720"/>
        <w:rPr>
          <w:rFonts w:ascii="Arial" w:hAnsi="Arial" w:cs="Arial"/>
          <w:sz w:val="16"/>
          <w:szCs w:val="16"/>
        </w:rPr>
      </w:pP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One-time charge, per retailer, to establish the service agreement between the distributor and the retailer</w:t>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100.00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Monthly Fixed Charge, per retailer</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Monthly Variable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0.50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Distributor-consolidated billing </w:t>
      </w:r>
      <w:r>
        <w:rPr>
          <w:rFonts w:ascii="Arial" w:hAnsi="Arial" w:cs="Arial"/>
          <w:sz w:val="16"/>
          <w:szCs w:val="16"/>
        </w:rPr>
        <w:t>monthly</w:t>
      </w:r>
      <w:r w:rsidRPr="00A475E9">
        <w:rPr>
          <w:rFonts w:ascii="Arial" w:hAnsi="Arial" w:cs="Arial"/>
          <w:sz w:val="16"/>
          <w:szCs w:val="16"/>
        </w:rPr>
        <w:t xml:space="preserv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Retailer-consolidated billing </w:t>
      </w:r>
      <w:r>
        <w:rPr>
          <w:rFonts w:ascii="Arial" w:hAnsi="Arial" w:cs="Arial"/>
          <w:sz w:val="16"/>
          <w:szCs w:val="16"/>
        </w:rPr>
        <w:t xml:space="preserve">monthly </w:t>
      </w:r>
      <w:r w:rsidRPr="00A475E9">
        <w:rPr>
          <w:rFonts w:ascii="Arial" w:hAnsi="Arial" w:cs="Arial"/>
          <w:sz w:val="16"/>
          <w:szCs w:val="16"/>
        </w:rPr>
        <w:t>credit,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Service Transaction Requests (STR)</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Request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0.25</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Processing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0.50</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Request for customer information as outlined in Section 10.6.3 and Chapter 11 of the Retail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Settlement Code directly to retailers and customers, if not delivered electronically through the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Electronic Business Transaction (EBT) system, applied to the requesting party</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Up to twice a year</w:t>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t>no charge</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More than twice a year, per request (plus incremental delivery costs)</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w:t>
      </w:r>
    </w:p>
    <w:p w:rsidR="00CC2DCE" w:rsidRDefault="00CC2DCE" w:rsidP="005462C3">
      <w:pPr>
        <w:tabs>
          <w:tab w:val="left" w:pos="6543"/>
          <w:tab w:val="left" w:pos="7765"/>
        </w:tabs>
        <w:ind w:right="-720"/>
        <w:rPr>
          <w:rFonts w:ascii="Arial" w:hAnsi="Arial" w:cs="Arial"/>
          <w:sz w:val="16"/>
          <w:szCs w:val="16"/>
        </w:rPr>
      </w:pPr>
    </w:p>
    <w:p w:rsidR="00E217C0" w:rsidRDefault="00E217C0" w:rsidP="005462C3">
      <w:pPr>
        <w:tabs>
          <w:tab w:val="left" w:pos="6543"/>
          <w:tab w:val="left" w:pos="7765"/>
        </w:tabs>
        <w:ind w:right="-720"/>
        <w:rPr>
          <w:rFonts w:ascii="Arial" w:hAnsi="Arial" w:cs="Arial"/>
          <w:sz w:val="16"/>
          <w:szCs w:val="16"/>
        </w:rPr>
      </w:pPr>
    </w:p>
    <w:p w:rsidR="00E217C0" w:rsidRPr="00A475E9" w:rsidRDefault="00E217C0" w:rsidP="005462C3">
      <w:pPr>
        <w:tabs>
          <w:tab w:val="left" w:pos="6543"/>
          <w:tab w:val="left" w:pos="7765"/>
        </w:tabs>
        <w:ind w:right="-720"/>
        <w:rPr>
          <w:rFonts w:ascii="Arial" w:hAnsi="Arial" w:cs="Arial"/>
          <w:sz w:val="16"/>
          <w:szCs w:val="16"/>
        </w:rPr>
      </w:pPr>
    </w:p>
    <w:p w:rsidR="00CC2DCE" w:rsidRPr="00B81B0C" w:rsidRDefault="00CC2DCE" w:rsidP="001B0010">
      <w:pPr>
        <w:rPr>
          <w:rFonts w:ascii="Arial" w:hAnsi="Arial" w:cs="Arial"/>
          <w:b/>
          <w:sz w:val="28"/>
          <w:szCs w:val="28"/>
        </w:rPr>
      </w:pPr>
      <w:r w:rsidRPr="00B81B0C">
        <w:rPr>
          <w:rFonts w:ascii="Arial" w:hAnsi="Arial" w:cs="Arial"/>
          <w:b/>
          <w:sz w:val="28"/>
          <w:szCs w:val="28"/>
        </w:rPr>
        <w:t>LOSS FACTORS</w:t>
      </w:r>
    </w:p>
    <w:p w:rsidR="00CC2DCE" w:rsidRDefault="00CC2DCE" w:rsidP="001B0010">
      <w:pPr>
        <w:rPr>
          <w:rFonts w:ascii="Arial" w:hAnsi="Arial" w:cs="Arial"/>
          <w:sz w:val="18"/>
          <w:szCs w:val="18"/>
        </w:rPr>
      </w:pPr>
    </w:p>
    <w:p w:rsidR="00CC2DCE" w:rsidRPr="001B0010" w:rsidRDefault="00CC2DCE" w:rsidP="001B0010">
      <w:pPr>
        <w:rPr>
          <w:rFonts w:ascii="Arial" w:hAnsi="Arial" w:cs="Arial"/>
          <w:sz w:val="18"/>
          <w:szCs w:val="18"/>
        </w:rPr>
      </w:pPr>
      <w:r w:rsidRPr="001B0010">
        <w:rPr>
          <w:rFonts w:ascii="Arial" w:hAnsi="Arial" w:cs="Arial"/>
          <w:sz w:val="18"/>
          <w:szCs w:val="18"/>
        </w:rPr>
        <w:t>If the distributor is not capable of prorating changed loss factors jointly with distribution rates, the revised loss factors will be implemented upon the first subsequent billing for each billing cycle.</w:t>
      </w:r>
    </w:p>
    <w:p w:rsidR="00CC2DCE" w:rsidRPr="00554A54" w:rsidRDefault="00CC2DCE" w:rsidP="001B0010">
      <w:pPr>
        <w:pStyle w:val="Header"/>
        <w:tabs>
          <w:tab w:val="clear" w:pos="4320"/>
          <w:tab w:val="center" w:pos="0"/>
        </w:tabs>
        <w:rPr>
          <w:rFonts w:ascii="Arial" w:hAnsi="Arial" w:cs="Arial"/>
          <w:sz w:val="16"/>
          <w:szCs w:val="16"/>
        </w:rPr>
      </w:pPr>
    </w:p>
    <w:p w:rsidR="00CC2DCE" w:rsidRPr="00E24308" w:rsidRDefault="00CC2DCE" w:rsidP="00D43C05">
      <w:pPr>
        <w:tabs>
          <w:tab w:val="left" w:pos="6543"/>
          <w:tab w:val="left" w:pos="7765"/>
        </w:tabs>
        <w:rPr>
          <w:rFonts w:ascii="Arial" w:hAnsi="Arial" w:cs="Arial"/>
          <w:sz w:val="16"/>
          <w:szCs w:val="16"/>
        </w:rPr>
      </w:pPr>
      <w:r w:rsidRPr="00E24308">
        <w:rPr>
          <w:rFonts w:ascii="Arial" w:hAnsi="Arial" w:cs="Arial"/>
          <w:sz w:val="16"/>
          <w:szCs w:val="16"/>
        </w:rPr>
        <w:t>Total Loss Factor – Secondary Metered Customer &lt; 5,000 kW</w:t>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ab/>
      </w:r>
      <w:bookmarkStart w:id="1" w:name="OLE_LINK4"/>
      <w:bookmarkStart w:id="2" w:name="OLE_LINK5"/>
      <w:r w:rsidRPr="00E24308">
        <w:rPr>
          <w:rFonts w:ascii="Arial" w:hAnsi="Arial" w:cs="Arial"/>
          <w:sz w:val="16"/>
          <w:szCs w:val="16"/>
        </w:rPr>
        <w:t>1.0</w:t>
      </w:r>
      <w:r>
        <w:rPr>
          <w:rFonts w:ascii="Arial" w:hAnsi="Arial" w:cs="Arial"/>
          <w:sz w:val="16"/>
          <w:szCs w:val="16"/>
        </w:rPr>
        <w:t>345</w:t>
      </w:r>
      <w:bookmarkEnd w:id="1"/>
      <w:bookmarkEnd w:id="2"/>
    </w:p>
    <w:p w:rsidR="00CC2DCE" w:rsidRDefault="00CC2DCE" w:rsidP="00D43C05">
      <w:pPr>
        <w:tabs>
          <w:tab w:val="left" w:pos="6543"/>
          <w:tab w:val="left" w:pos="7765"/>
        </w:tabs>
        <w:rPr>
          <w:rFonts w:ascii="Arial" w:hAnsi="Arial" w:cs="Arial"/>
          <w:sz w:val="16"/>
          <w:szCs w:val="16"/>
        </w:rPr>
      </w:pPr>
      <w:r w:rsidRPr="00E24308">
        <w:rPr>
          <w:rFonts w:ascii="Arial" w:hAnsi="Arial" w:cs="Arial"/>
          <w:sz w:val="16"/>
          <w:szCs w:val="16"/>
        </w:rPr>
        <w:t xml:space="preserve">Total Loss Factor – </w:t>
      </w:r>
      <w:r>
        <w:rPr>
          <w:rFonts w:ascii="Arial" w:hAnsi="Arial" w:cs="Arial"/>
          <w:sz w:val="16"/>
          <w:szCs w:val="16"/>
        </w:rPr>
        <w:t>Secondary</w:t>
      </w:r>
      <w:r w:rsidRPr="00E24308">
        <w:rPr>
          <w:rFonts w:ascii="Arial" w:hAnsi="Arial" w:cs="Arial"/>
          <w:sz w:val="16"/>
          <w:szCs w:val="16"/>
        </w:rPr>
        <w:t xml:space="preserve"> Metered Customer </w:t>
      </w:r>
      <w:r>
        <w:rPr>
          <w:rFonts w:ascii="Arial" w:hAnsi="Arial" w:cs="Arial"/>
          <w:sz w:val="16"/>
          <w:szCs w:val="16"/>
        </w:rPr>
        <w:t>&gt;</w:t>
      </w:r>
      <w:r w:rsidRPr="00E24308">
        <w:rPr>
          <w:rFonts w:ascii="Arial" w:hAnsi="Arial" w:cs="Arial"/>
          <w:sz w:val="16"/>
          <w:szCs w:val="16"/>
        </w:rPr>
        <w:t xml:space="preserve"> 5,000 kW</w:t>
      </w:r>
      <w:r w:rsidRPr="00E24308">
        <w:rPr>
          <w:rFonts w:ascii="Arial" w:hAnsi="Arial" w:cs="Arial"/>
          <w:sz w:val="16"/>
          <w:szCs w:val="16"/>
        </w:rPr>
        <w:tab/>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1.0</w:t>
      </w:r>
      <w:r>
        <w:rPr>
          <w:rFonts w:ascii="Arial" w:hAnsi="Arial" w:cs="Arial"/>
          <w:sz w:val="16"/>
          <w:szCs w:val="16"/>
        </w:rPr>
        <w:t>145</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&lt;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1.0243</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&gt;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1.0045</w:t>
      </w:r>
    </w:p>
    <w:p w:rsidR="00CC2DCE" w:rsidRDefault="00CC2DCE" w:rsidP="00D43C05">
      <w:pPr>
        <w:widowControl/>
        <w:rPr>
          <w:rFonts w:ascii="Arial" w:hAnsi="Arial" w:cs="Arial"/>
          <w:sz w:val="20"/>
          <w:szCs w:val="20"/>
        </w:rPr>
      </w:pPr>
    </w:p>
    <w:sectPr w:rsidR="00CC2DCE" w:rsidSect="00457E66">
      <w:headerReference w:type="default" r:id="rId9"/>
      <w:footerReference w:type="default" r:id="rId10"/>
      <w:pgSz w:w="12240" w:h="15840"/>
      <w:pgMar w:top="1440" w:right="1440" w:bottom="1418"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263" w:rsidRDefault="009E7263">
      <w:r>
        <w:separator/>
      </w:r>
    </w:p>
  </w:endnote>
  <w:endnote w:type="continuationSeparator" w:id="0">
    <w:p w:rsidR="009E7263" w:rsidRDefault="009E7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ylium">
    <w:altName w:val="Times New Roman"/>
    <w:charset w:val="00"/>
    <w:family w:val="auto"/>
    <w:pitch w:val="variable"/>
    <w:sig w:usb0="00000001" w:usb1="0000004A" w:usb2="00000000" w:usb3="00000000" w:csb0="00000193" w:csb1="00000000"/>
  </w:font>
  <w:font w:name="TimesNewRoman,Bold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263" w:rsidRDefault="009E7263" w:rsidP="009237EB">
    <w:pPr>
      <w:pStyle w:val="Footer"/>
      <w:jc w:val="right"/>
    </w:pPr>
    <w:r w:rsidRPr="00B34445">
      <w:rPr>
        <w:rFonts w:ascii="Arial" w:hAnsi="Arial" w:cs="Arial"/>
        <w:sz w:val="16"/>
        <w:szCs w:val="16"/>
      </w:rPr>
      <w:t xml:space="preserve">Issued </w:t>
    </w:r>
    <w:r>
      <w:rPr>
        <w:rFonts w:ascii="Arial" w:hAnsi="Arial" w:cs="Arial"/>
        <w:sz w:val="16"/>
        <w:szCs w:val="16"/>
      </w:rPr>
      <w:t>September XX,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263" w:rsidRDefault="009E7263">
      <w:r>
        <w:separator/>
      </w:r>
    </w:p>
  </w:footnote>
  <w:footnote w:type="continuationSeparator" w:id="0">
    <w:p w:rsidR="009E7263" w:rsidRDefault="009E72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263" w:rsidRDefault="009E7263" w:rsidP="0052673D">
    <w:pPr>
      <w:jc w:val="right"/>
      <w:rPr>
        <w:rFonts w:ascii="Arial" w:hAnsi="Arial" w:cs="Arial"/>
        <w:b/>
        <w:bCs/>
        <w:i/>
        <w:iCs/>
        <w:sz w:val="20"/>
        <w:szCs w:val="20"/>
      </w:rPr>
    </w:pPr>
    <w:r w:rsidRPr="000D47C8">
      <w:rPr>
        <w:rStyle w:val="PageNumber"/>
        <w:rFonts w:ascii="Arial" w:hAnsi="Arial" w:cs="Arial"/>
        <w:sz w:val="16"/>
        <w:szCs w:val="16"/>
      </w:rPr>
      <w:t xml:space="preserve">Page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PAGE </w:instrText>
    </w:r>
    <w:r w:rsidRPr="000D47C8">
      <w:rPr>
        <w:rStyle w:val="PageNumber"/>
        <w:rFonts w:ascii="Arial" w:hAnsi="Arial" w:cs="Arial"/>
        <w:sz w:val="16"/>
        <w:szCs w:val="16"/>
      </w:rPr>
      <w:fldChar w:fldCharType="separate"/>
    </w:r>
    <w:r w:rsidR="0043476F">
      <w:rPr>
        <w:rStyle w:val="PageNumber"/>
        <w:rFonts w:ascii="Arial" w:hAnsi="Arial" w:cs="Arial"/>
        <w:noProof/>
        <w:sz w:val="16"/>
        <w:szCs w:val="16"/>
      </w:rPr>
      <w:t>4</w:t>
    </w:r>
    <w:r w:rsidRPr="000D47C8">
      <w:rPr>
        <w:rStyle w:val="PageNumber"/>
        <w:rFonts w:ascii="Arial" w:hAnsi="Arial" w:cs="Arial"/>
        <w:sz w:val="16"/>
        <w:szCs w:val="16"/>
      </w:rPr>
      <w:fldChar w:fldCharType="end"/>
    </w:r>
    <w:r w:rsidRPr="000D47C8">
      <w:rPr>
        <w:rStyle w:val="PageNumber"/>
        <w:rFonts w:ascii="Arial" w:hAnsi="Arial" w:cs="Arial"/>
        <w:sz w:val="16"/>
        <w:szCs w:val="16"/>
      </w:rPr>
      <w:t xml:space="preserve"> of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NUMPAGES </w:instrText>
    </w:r>
    <w:r w:rsidRPr="000D47C8">
      <w:rPr>
        <w:rStyle w:val="PageNumber"/>
        <w:rFonts w:ascii="Arial" w:hAnsi="Arial" w:cs="Arial"/>
        <w:sz w:val="16"/>
        <w:szCs w:val="16"/>
      </w:rPr>
      <w:fldChar w:fldCharType="separate"/>
    </w:r>
    <w:r w:rsidR="0043476F">
      <w:rPr>
        <w:rStyle w:val="PageNumber"/>
        <w:rFonts w:ascii="Arial" w:hAnsi="Arial" w:cs="Arial"/>
        <w:noProof/>
        <w:sz w:val="16"/>
        <w:szCs w:val="16"/>
      </w:rPr>
      <w:t>19</w:t>
    </w:r>
    <w:r w:rsidRPr="000D47C8">
      <w:rPr>
        <w:rStyle w:val="PageNumber"/>
        <w:rFonts w:ascii="Arial" w:hAnsi="Arial" w:cs="Arial"/>
        <w:sz w:val="16"/>
        <w:szCs w:val="16"/>
      </w:rPr>
      <w:fldChar w:fldCharType="end"/>
    </w:r>
  </w:p>
  <w:p w:rsidR="009E7263" w:rsidRPr="0008344C" w:rsidRDefault="009E7263" w:rsidP="0052673D">
    <w:pPr>
      <w:jc w:val="center"/>
      <w:rPr>
        <w:rFonts w:ascii="Arial" w:hAnsi="Arial" w:cs="Arial"/>
        <w:b/>
        <w:bCs/>
        <w:i/>
        <w:iCs/>
        <w:sz w:val="36"/>
        <w:szCs w:val="36"/>
      </w:rPr>
    </w:pPr>
    <w:r>
      <w:rPr>
        <w:rFonts w:ascii="Arial" w:hAnsi="Arial" w:cs="Arial"/>
        <w:b/>
        <w:bCs/>
        <w:iCs/>
        <w:sz w:val="36"/>
        <w:szCs w:val="36"/>
      </w:rPr>
      <w:t>PowerStream Inc.</w:t>
    </w:r>
  </w:p>
  <w:p w:rsidR="009E7263" w:rsidRPr="0008344C" w:rsidRDefault="009E7263" w:rsidP="0008344C">
    <w:pPr>
      <w:jc w:val="center"/>
      <w:rPr>
        <w:rFonts w:ascii="Arial" w:hAnsi="Arial" w:cs="Arial"/>
        <w:b/>
        <w:sz w:val="28"/>
        <w:szCs w:val="28"/>
      </w:rPr>
    </w:pPr>
    <w:r w:rsidRPr="0008344C">
      <w:rPr>
        <w:rFonts w:ascii="Arial" w:hAnsi="Arial" w:cs="Arial"/>
        <w:b/>
        <w:sz w:val="28"/>
        <w:szCs w:val="28"/>
      </w:rPr>
      <w:t>TARIFF OF RATES AND CHARGES</w:t>
    </w:r>
  </w:p>
  <w:p w:rsidR="009E7263" w:rsidRDefault="009E7263" w:rsidP="0008344C">
    <w:pPr>
      <w:jc w:val="center"/>
      <w:rPr>
        <w:rFonts w:ascii="Arial" w:hAnsi="Arial" w:cs="Arial"/>
        <w:b/>
      </w:rPr>
    </w:pPr>
    <w:r w:rsidRPr="0008344C">
      <w:rPr>
        <w:rFonts w:ascii="Arial" w:hAnsi="Arial" w:cs="Arial"/>
        <w:b/>
      </w:rPr>
      <w:t>Effective</w:t>
    </w:r>
    <w:r>
      <w:rPr>
        <w:rFonts w:ascii="Arial" w:hAnsi="Arial" w:cs="Arial"/>
        <w:b/>
      </w:rPr>
      <w:t xml:space="preserve"> Date</w:t>
    </w:r>
    <w:r w:rsidRPr="0008344C">
      <w:rPr>
        <w:rFonts w:ascii="Arial" w:hAnsi="Arial" w:cs="Arial"/>
        <w:b/>
      </w:rPr>
      <w:t xml:space="preserve"> </w:t>
    </w:r>
    <w:r>
      <w:rPr>
        <w:rFonts w:ascii="Arial" w:hAnsi="Arial" w:cs="Arial"/>
        <w:b/>
      </w:rPr>
      <w:t>January 1, 2016</w:t>
    </w:r>
  </w:p>
  <w:p w:rsidR="009E7263" w:rsidRPr="0008344C" w:rsidRDefault="009E7263" w:rsidP="0008344C">
    <w:pPr>
      <w:jc w:val="center"/>
      <w:rPr>
        <w:rFonts w:ascii="Arial" w:hAnsi="Arial" w:cs="Arial"/>
        <w:b/>
      </w:rPr>
    </w:pPr>
    <w:r>
      <w:rPr>
        <w:rFonts w:ascii="Arial" w:hAnsi="Arial" w:cs="Arial"/>
        <w:b/>
      </w:rPr>
      <w:t>Implementation Date October 1, 2016</w:t>
    </w:r>
  </w:p>
  <w:p w:rsidR="009E7263" w:rsidRPr="00A454CE" w:rsidRDefault="009E7263" w:rsidP="0008344C">
    <w:pPr>
      <w:jc w:val="center"/>
      <w:rPr>
        <w:rFonts w:ascii="Arial" w:hAnsi="Arial" w:cs="Arial"/>
        <w:sz w:val="20"/>
        <w:szCs w:val="20"/>
      </w:rPr>
    </w:pPr>
  </w:p>
  <w:p w:rsidR="009E7263" w:rsidRPr="00B322CE" w:rsidRDefault="009E7263" w:rsidP="0008344C">
    <w:pPr>
      <w:jc w:val="center"/>
      <w:rPr>
        <w:rFonts w:ascii="Arial" w:hAnsi="Arial" w:cs="Arial"/>
        <w:b/>
        <w:sz w:val="20"/>
        <w:szCs w:val="20"/>
      </w:rPr>
    </w:pPr>
    <w:r w:rsidRPr="00B322CE">
      <w:rPr>
        <w:rFonts w:ascii="Arial" w:hAnsi="Arial" w:cs="Arial"/>
        <w:b/>
        <w:sz w:val="20"/>
        <w:szCs w:val="20"/>
      </w:rPr>
      <w:t xml:space="preserve">This schedule supersedes and replaces all previously </w:t>
    </w:r>
  </w:p>
  <w:p w:rsidR="009E7263" w:rsidRPr="00B322CE" w:rsidRDefault="009E7263" w:rsidP="0008344C">
    <w:pPr>
      <w:jc w:val="center"/>
      <w:rPr>
        <w:rFonts w:ascii="Arial" w:hAnsi="Arial" w:cs="Arial"/>
        <w:b/>
        <w:sz w:val="20"/>
        <w:szCs w:val="20"/>
      </w:rPr>
    </w:pPr>
    <w:proofErr w:type="gramStart"/>
    <w:r w:rsidRPr="00B322CE">
      <w:rPr>
        <w:rFonts w:ascii="Arial" w:hAnsi="Arial" w:cs="Arial"/>
        <w:b/>
        <w:sz w:val="20"/>
        <w:szCs w:val="20"/>
      </w:rPr>
      <w:t>approved</w:t>
    </w:r>
    <w:proofErr w:type="gramEnd"/>
    <w:r w:rsidRPr="00B322CE">
      <w:rPr>
        <w:rFonts w:ascii="Arial" w:hAnsi="Arial" w:cs="Arial"/>
        <w:b/>
        <w:sz w:val="20"/>
        <w:szCs w:val="20"/>
      </w:rPr>
      <w:t xml:space="preserve"> schedules of Rates, Charges and Loss Factors</w:t>
    </w:r>
  </w:p>
  <w:p w:rsidR="009E7263" w:rsidRDefault="009E7263" w:rsidP="0052673D">
    <w:pPr>
      <w:jc w:val="right"/>
      <w:rPr>
        <w:rFonts w:ascii="Arial" w:hAnsi="Arial" w:cs="Arial"/>
        <w:sz w:val="16"/>
        <w:szCs w:val="16"/>
      </w:rPr>
    </w:pPr>
    <w:r>
      <w:rPr>
        <w:rFonts w:ascii="Arial" w:hAnsi="Arial" w:cs="Arial"/>
        <w:sz w:val="16"/>
        <w:szCs w:val="16"/>
      </w:rPr>
      <w:t>EB-2015-0003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nsid w:val="59B363F2"/>
    <w:multiLevelType w:val="hybridMultilevel"/>
    <w:tmpl w:val="86C22252"/>
    <w:lvl w:ilvl="0" w:tplc="8716ED48">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nsid w:val="6CE3150A"/>
    <w:multiLevelType w:val="hybridMultilevel"/>
    <w:tmpl w:val="6BE47E14"/>
    <w:lvl w:ilvl="0" w:tplc="1124DA46">
      <w:numFmt w:val="bullet"/>
      <w:lvlText w:val="-"/>
      <w:lvlJc w:val="left"/>
      <w:pPr>
        <w:ind w:left="540" w:hanging="360"/>
      </w:pPr>
      <w:rPr>
        <w:rFonts w:ascii="Arial" w:eastAsia="Times New Roman"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B5"/>
    <w:rsid w:val="00006F5B"/>
    <w:rsid w:val="000259D0"/>
    <w:rsid w:val="00030576"/>
    <w:rsid w:val="00037797"/>
    <w:rsid w:val="00037904"/>
    <w:rsid w:val="00037A41"/>
    <w:rsid w:val="000426BB"/>
    <w:rsid w:val="00044560"/>
    <w:rsid w:val="00057429"/>
    <w:rsid w:val="0006705E"/>
    <w:rsid w:val="00071382"/>
    <w:rsid w:val="00072E8B"/>
    <w:rsid w:val="000740C7"/>
    <w:rsid w:val="00074668"/>
    <w:rsid w:val="00075A8D"/>
    <w:rsid w:val="0008344C"/>
    <w:rsid w:val="00085C80"/>
    <w:rsid w:val="00086215"/>
    <w:rsid w:val="0009286D"/>
    <w:rsid w:val="000A3376"/>
    <w:rsid w:val="000B007B"/>
    <w:rsid w:val="000C26D5"/>
    <w:rsid w:val="000C6383"/>
    <w:rsid w:val="000C6C73"/>
    <w:rsid w:val="000D47C8"/>
    <w:rsid w:val="000D543D"/>
    <w:rsid w:val="000D7640"/>
    <w:rsid w:val="000E0FFC"/>
    <w:rsid w:val="000E46A4"/>
    <w:rsid w:val="000E7B2C"/>
    <w:rsid w:val="000F4DD7"/>
    <w:rsid w:val="000F5616"/>
    <w:rsid w:val="000F6E2E"/>
    <w:rsid w:val="00103446"/>
    <w:rsid w:val="001069CB"/>
    <w:rsid w:val="00110962"/>
    <w:rsid w:val="00111B34"/>
    <w:rsid w:val="00113C96"/>
    <w:rsid w:val="00114BFE"/>
    <w:rsid w:val="00117DAF"/>
    <w:rsid w:val="0012377C"/>
    <w:rsid w:val="0012686B"/>
    <w:rsid w:val="001379BC"/>
    <w:rsid w:val="0014090C"/>
    <w:rsid w:val="00141998"/>
    <w:rsid w:val="0014348D"/>
    <w:rsid w:val="001465DE"/>
    <w:rsid w:val="001534B8"/>
    <w:rsid w:val="001564E9"/>
    <w:rsid w:val="00157CE1"/>
    <w:rsid w:val="00160EB8"/>
    <w:rsid w:val="00170237"/>
    <w:rsid w:val="00171AAC"/>
    <w:rsid w:val="00173D84"/>
    <w:rsid w:val="001744F1"/>
    <w:rsid w:val="00176CEE"/>
    <w:rsid w:val="001842A3"/>
    <w:rsid w:val="001921A6"/>
    <w:rsid w:val="00196756"/>
    <w:rsid w:val="001A242D"/>
    <w:rsid w:val="001A68A7"/>
    <w:rsid w:val="001A6CF2"/>
    <w:rsid w:val="001B0010"/>
    <w:rsid w:val="001C2464"/>
    <w:rsid w:val="001C5766"/>
    <w:rsid w:val="001D0078"/>
    <w:rsid w:val="001D1F6D"/>
    <w:rsid w:val="001E1FDD"/>
    <w:rsid w:val="001F1970"/>
    <w:rsid w:val="001F4A99"/>
    <w:rsid w:val="001F525F"/>
    <w:rsid w:val="002000B7"/>
    <w:rsid w:val="002015C1"/>
    <w:rsid w:val="00207023"/>
    <w:rsid w:val="0021191F"/>
    <w:rsid w:val="00221020"/>
    <w:rsid w:val="00221A30"/>
    <w:rsid w:val="002267C3"/>
    <w:rsid w:val="00230ACD"/>
    <w:rsid w:val="00234958"/>
    <w:rsid w:val="00264EE4"/>
    <w:rsid w:val="00266881"/>
    <w:rsid w:val="00267FBF"/>
    <w:rsid w:val="0027285D"/>
    <w:rsid w:val="002913E2"/>
    <w:rsid w:val="0029267F"/>
    <w:rsid w:val="00293A88"/>
    <w:rsid w:val="002969E3"/>
    <w:rsid w:val="002A50A6"/>
    <w:rsid w:val="002B730C"/>
    <w:rsid w:val="002D0024"/>
    <w:rsid w:val="002D0E21"/>
    <w:rsid w:val="002D5886"/>
    <w:rsid w:val="002D75BD"/>
    <w:rsid w:val="002E352D"/>
    <w:rsid w:val="002E5981"/>
    <w:rsid w:val="002E7B8E"/>
    <w:rsid w:val="003060D4"/>
    <w:rsid w:val="0030716D"/>
    <w:rsid w:val="003208BD"/>
    <w:rsid w:val="00320BFA"/>
    <w:rsid w:val="00322C94"/>
    <w:rsid w:val="00324D31"/>
    <w:rsid w:val="00326586"/>
    <w:rsid w:val="003362E1"/>
    <w:rsid w:val="00342E16"/>
    <w:rsid w:val="00357E23"/>
    <w:rsid w:val="0036027C"/>
    <w:rsid w:val="00370763"/>
    <w:rsid w:val="003712CE"/>
    <w:rsid w:val="00394E66"/>
    <w:rsid w:val="00397B98"/>
    <w:rsid w:val="003A0474"/>
    <w:rsid w:val="003A4A15"/>
    <w:rsid w:val="003B085E"/>
    <w:rsid w:val="003E2CE8"/>
    <w:rsid w:val="003E3C51"/>
    <w:rsid w:val="00400F84"/>
    <w:rsid w:val="004044EB"/>
    <w:rsid w:val="00405055"/>
    <w:rsid w:val="00414D5C"/>
    <w:rsid w:val="00417055"/>
    <w:rsid w:val="004227DC"/>
    <w:rsid w:val="004232B4"/>
    <w:rsid w:val="00424C37"/>
    <w:rsid w:val="0043187A"/>
    <w:rsid w:val="0043476F"/>
    <w:rsid w:val="00456362"/>
    <w:rsid w:val="00457E66"/>
    <w:rsid w:val="004611AD"/>
    <w:rsid w:val="00471A92"/>
    <w:rsid w:val="0048444C"/>
    <w:rsid w:val="004911EB"/>
    <w:rsid w:val="00494FE6"/>
    <w:rsid w:val="004A4A40"/>
    <w:rsid w:val="004A77EE"/>
    <w:rsid w:val="004A7D17"/>
    <w:rsid w:val="004B03DD"/>
    <w:rsid w:val="004B0971"/>
    <w:rsid w:val="004B109C"/>
    <w:rsid w:val="004B3E5D"/>
    <w:rsid w:val="004C103F"/>
    <w:rsid w:val="004C2900"/>
    <w:rsid w:val="004D280D"/>
    <w:rsid w:val="004F1341"/>
    <w:rsid w:val="005011AC"/>
    <w:rsid w:val="00506DE6"/>
    <w:rsid w:val="00512205"/>
    <w:rsid w:val="00514C7C"/>
    <w:rsid w:val="00520145"/>
    <w:rsid w:val="00520ED6"/>
    <w:rsid w:val="0052673D"/>
    <w:rsid w:val="005365E0"/>
    <w:rsid w:val="00541A7D"/>
    <w:rsid w:val="0054378E"/>
    <w:rsid w:val="005462C3"/>
    <w:rsid w:val="00546FEF"/>
    <w:rsid w:val="00554A54"/>
    <w:rsid w:val="005636FC"/>
    <w:rsid w:val="00575C09"/>
    <w:rsid w:val="00576EE4"/>
    <w:rsid w:val="00591758"/>
    <w:rsid w:val="0059265E"/>
    <w:rsid w:val="005A0CC2"/>
    <w:rsid w:val="005A1A17"/>
    <w:rsid w:val="005B4A43"/>
    <w:rsid w:val="005B4F5A"/>
    <w:rsid w:val="005C5E75"/>
    <w:rsid w:val="005D18F9"/>
    <w:rsid w:val="005D3F94"/>
    <w:rsid w:val="005D6030"/>
    <w:rsid w:val="005D7022"/>
    <w:rsid w:val="005D7470"/>
    <w:rsid w:val="005E1547"/>
    <w:rsid w:val="005E2C05"/>
    <w:rsid w:val="005E7F6E"/>
    <w:rsid w:val="005F3AA4"/>
    <w:rsid w:val="00601838"/>
    <w:rsid w:val="00603AB1"/>
    <w:rsid w:val="00604919"/>
    <w:rsid w:val="00611E8E"/>
    <w:rsid w:val="00617075"/>
    <w:rsid w:val="00617ABA"/>
    <w:rsid w:val="00623350"/>
    <w:rsid w:val="006315BD"/>
    <w:rsid w:val="00632192"/>
    <w:rsid w:val="006332E7"/>
    <w:rsid w:val="00635866"/>
    <w:rsid w:val="00642429"/>
    <w:rsid w:val="00645CB8"/>
    <w:rsid w:val="00660C34"/>
    <w:rsid w:val="00670BDE"/>
    <w:rsid w:val="00686EF2"/>
    <w:rsid w:val="00690962"/>
    <w:rsid w:val="00696F73"/>
    <w:rsid w:val="006B0DEF"/>
    <w:rsid w:val="006B1F33"/>
    <w:rsid w:val="006C5A13"/>
    <w:rsid w:val="006D0086"/>
    <w:rsid w:val="006D30F3"/>
    <w:rsid w:val="006D3C0A"/>
    <w:rsid w:val="006E658F"/>
    <w:rsid w:val="006F17C8"/>
    <w:rsid w:val="006F475C"/>
    <w:rsid w:val="006F4885"/>
    <w:rsid w:val="006F55E2"/>
    <w:rsid w:val="0070443D"/>
    <w:rsid w:val="007123CB"/>
    <w:rsid w:val="00716666"/>
    <w:rsid w:val="00720983"/>
    <w:rsid w:val="00730341"/>
    <w:rsid w:val="007419C3"/>
    <w:rsid w:val="0074693B"/>
    <w:rsid w:val="00757631"/>
    <w:rsid w:val="00761D22"/>
    <w:rsid w:val="007669A4"/>
    <w:rsid w:val="007714C2"/>
    <w:rsid w:val="007727FA"/>
    <w:rsid w:val="00772809"/>
    <w:rsid w:val="00786A1C"/>
    <w:rsid w:val="00791661"/>
    <w:rsid w:val="00792616"/>
    <w:rsid w:val="00792F5B"/>
    <w:rsid w:val="00797ADA"/>
    <w:rsid w:val="007A509B"/>
    <w:rsid w:val="007B577C"/>
    <w:rsid w:val="007C279B"/>
    <w:rsid w:val="007C2C5F"/>
    <w:rsid w:val="007C4D45"/>
    <w:rsid w:val="007D0BC5"/>
    <w:rsid w:val="007D30CB"/>
    <w:rsid w:val="007E303E"/>
    <w:rsid w:val="007E3FC3"/>
    <w:rsid w:val="00810372"/>
    <w:rsid w:val="008104F0"/>
    <w:rsid w:val="00821BA4"/>
    <w:rsid w:val="00833980"/>
    <w:rsid w:val="00834C65"/>
    <w:rsid w:val="00836F75"/>
    <w:rsid w:val="00841BA9"/>
    <w:rsid w:val="008466E8"/>
    <w:rsid w:val="00884C61"/>
    <w:rsid w:val="008906C8"/>
    <w:rsid w:val="00895D7E"/>
    <w:rsid w:val="008A034A"/>
    <w:rsid w:val="008A03F4"/>
    <w:rsid w:val="008A3888"/>
    <w:rsid w:val="008B3CF5"/>
    <w:rsid w:val="008C0D78"/>
    <w:rsid w:val="008D28FF"/>
    <w:rsid w:val="008D2CE1"/>
    <w:rsid w:val="008E087E"/>
    <w:rsid w:val="008E101B"/>
    <w:rsid w:val="008F085E"/>
    <w:rsid w:val="00901020"/>
    <w:rsid w:val="00905930"/>
    <w:rsid w:val="009138E7"/>
    <w:rsid w:val="00915C69"/>
    <w:rsid w:val="009179D9"/>
    <w:rsid w:val="009237EB"/>
    <w:rsid w:val="009243B8"/>
    <w:rsid w:val="00924E18"/>
    <w:rsid w:val="00933E59"/>
    <w:rsid w:val="009376F0"/>
    <w:rsid w:val="00950C07"/>
    <w:rsid w:val="00951DB8"/>
    <w:rsid w:val="0096068F"/>
    <w:rsid w:val="00962FB1"/>
    <w:rsid w:val="009646E6"/>
    <w:rsid w:val="00970319"/>
    <w:rsid w:val="009921E8"/>
    <w:rsid w:val="00993067"/>
    <w:rsid w:val="0099722E"/>
    <w:rsid w:val="009B43A2"/>
    <w:rsid w:val="009B47AD"/>
    <w:rsid w:val="009B6F29"/>
    <w:rsid w:val="009D0FEB"/>
    <w:rsid w:val="009E7263"/>
    <w:rsid w:val="009F2C84"/>
    <w:rsid w:val="009F4F8A"/>
    <w:rsid w:val="00A1192D"/>
    <w:rsid w:val="00A175F4"/>
    <w:rsid w:val="00A22CE1"/>
    <w:rsid w:val="00A30DE3"/>
    <w:rsid w:val="00A31532"/>
    <w:rsid w:val="00A36D38"/>
    <w:rsid w:val="00A4061D"/>
    <w:rsid w:val="00A41B00"/>
    <w:rsid w:val="00A42956"/>
    <w:rsid w:val="00A454CE"/>
    <w:rsid w:val="00A475E9"/>
    <w:rsid w:val="00A50D69"/>
    <w:rsid w:val="00A5301E"/>
    <w:rsid w:val="00A56A9E"/>
    <w:rsid w:val="00A56D4B"/>
    <w:rsid w:val="00A61F9C"/>
    <w:rsid w:val="00A63D9E"/>
    <w:rsid w:val="00A67321"/>
    <w:rsid w:val="00A67C9E"/>
    <w:rsid w:val="00A703C6"/>
    <w:rsid w:val="00A71ADA"/>
    <w:rsid w:val="00A7627F"/>
    <w:rsid w:val="00A77920"/>
    <w:rsid w:val="00A779A6"/>
    <w:rsid w:val="00A82C27"/>
    <w:rsid w:val="00A856A5"/>
    <w:rsid w:val="00A900B6"/>
    <w:rsid w:val="00A91514"/>
    <w:rsid w:val="00A91E25"/>
    <w:rsid w:val="00A93AB0"/>
    <w:rsid w:val="00A941AE"/>
    <w:rsid w:val="00A9631A"/>
    <w:rsid w:val="00A96627"/>
    <w:rsid w:val="00A9681E"/>
    <w:rsid w:val="00AA3967"/>
    <w:rsid w:val="00AB00EF"/>
    <w:rsid w:val="00AB0A7A"/>
    <w:rsid w:val="00AB2294"/>
    <w:rsid w:val="00AB507B"/>
    <w:rsid w:val="00AC7577"/>
    <w:rsid w:val="00AE78F2"/>
    <w:rsid w:val="00AF3B61"/>
    <w:rsid w:val="00AF73A8"/>
    <w:rsid w:val="00AF73AB"/>
    <w:rsid w:val="00B01E48"/>
    <w:rsid w:val="00B11075"/>
    <w:rsid w:val="00B11CE9"/>
    <w:rsid w:val="00B13AA7"/>
    <w:rsid w:val="00B15DCD"/>
    <w:rsid w:val="00B322CE"/>
    <w:rsid w:val="00B326DB"/>
    <w:rsid w:val="00B32C0B"/>
    <w:rsid w:val="00B34445"/>
    <w:rsid w:val="00B3523C"/>
    <w:rsid w:val="00B4077D"/>
    <w:rsid w:val="00B53DBD"/>
    <w:rsid w:val="00B6412F"/>
    <w:rsid w:val="00B81B0C"/>
    <w:rsid w:val="00B85570"/>
    <w:rsid w:val="00B8616B"/>
    <w:rsid w:val="00BA2F2D"/>
    <w:rsid w:val="00BB0FEF"/>
    <w:rsid w:val="00BB6B49"/>
    <w:rsid w:val="00BC6BBF"/>
    <w:rsid w:val="00BD4C43"/>
    <w:rsid w:val="00BD7023"/>
    <w:rsid w:val="00C203F8"/>
    <w:rsid w:val="00C301B6"/>
    <w:rsid w:val="00C32F21"/>
    <w:rsid w:val="00C37233"/>
    <w:rsid w:val="00C5553C"/>
    <w:rsid w:val="00C641C1"/>
    <w:rsid w:val="00C66CD6"/>
    <w:rsid w:val="00C863FF"/>
    <w:rsid w:val="00C86C75"/>
    <w:rsid w:val="00C94312"/>
    <w:rsid w:val="00CA5765"/>
    <w:rsid w:val="00CB1C98"/>
    <w:rsid w:val="00CB2FB6"/>
    <w:rsid w:val="00CB3B4B"/>
    <w:rsid w:val="00CC2DCE"/>
    <w:rsid w:val="00CE202B"/>
    <w:rsid w:val="00CE6337"/>
    <w:rsid w:val="00CF78EA"/>
    <w:rsid w:val="00D03528"/>
    <w:rsid w:val="00D10ADE"/>
    <w:rsid w:val="00D10C80"/>
    <w:rsid w:val="00D259F9"/>
    <w:rsid w:val="00D31E65"/>
    <w:rsid w:val="00D3383A"/>
    <w:rsid w:val="00D34AC2"/>
    <w:rsid w:val="00D40FD0"/>
    <w:rsid w:val="00D43C05"/>
    <w:rsid w:val="00D47BCA"/>
    <w:rsid w:val="00D55095"/>
    <w:rsid w:val="00D606B5"/>
    <w:rsid w:val="00D72D15"/>
    <w:rsid w:val="00D72FE8"/>
    <w:rsid w:val="00D74F14"/>
    <w:rsid w:val="00D80AF4"/>
    <w:rsid w:val="00D86751"/>
    <w:rsid w:val="00D87012"/>
    <w:rsid w:val="00DD1600"/>
    <w:rsid w:val="00DD5E16"/>
    <w:rsid w:val="00DE04F7"/>
    <w:rsid w:val="00DE5461"/>
    <w:rsid w:val="00DE5ADF"/>
    <w:rsid w:val="00DE5C29"/>
    <w:rsid w:val="00DE6356"/>
    <w:rsid w:val="00DE7298"/>
    <w:rsid w:val="00DF382C"/>
    <w:rsid w:val="00E030D8"/>
    <w:rsid w:val="00E06E8A"/>
    <w:rsid w:val="00E128B0"/>
    <w:rsid w:val="00E217C0"/>
    <w:rsid w:val="00E221A8"/>
    <w:rsid w:val="00E230ED"/>
    <w:rsid w:val="00E24308"/>
    <w:rsid w:val="00E2752C"/>
    <w:rsid w:val="00E37494"/>
    <w:rsid w:val="00E52531"/>
    <w:rsid w:val="00E569D7"/>
    <w:rsid w:val="00E57432"/>
    <w:rsid w:val="00E67245"/>
    <w:rsid w:val="00E74D8A"/>
    <w:rsid w:val="00E75599"/>
    <w:rsid w:val="00E817A9"/>
    <w:rsid w:val="00E81F5B"/>
    <w:rsid w:val="00E8246E"/>
    <w:rsid w:val="00E90594"/>
    <w:rsid w:val="00E928AC"/>
    <w:rsid w:val="00EA0C95"/>
    <w:rsid w:val="00EB66DA"/>
    <w:rsid w:val="00EC1AED"/>
    <w:rsid w:val="00EC7985"/>
    <w:rsid w:val="00ED4594"/>
    <w:rsid w:val="00EE0365"/>
    <w:rsid w:val="00EE6C78"/>
    <w:rsid w:val="00EF0B97"/>
    <w:rsid w:val="00EF2E62"/>
    <w:rsid w:val="00EF46AA"/>
    <w:rsid w:val="00EF6B87"/>
    <w:rsid w:val="00EF73B1"/>
    <w:rsid w:val="00F00C78"/>
    <w:rsid w:val="00F14773"/>
    <w:rsid w:val="00F22D89"/>
    <w:rsid w:val="00F22E9A"/>
    <w:rsid w:val="00F25E05"/>
    <w:rsid w:val="00F32E17"/>
    <w:rsid w:val="00F372BF"/>
    <w:rsid w:val="00F44A4E"/>
    <w:rsid w:val="00F50724"/>
    <w:rsid w:val="00F52940"/>
    <w:rsid w:val="00F55549"/>
    <w:rsid w:val="00F55E2F"/>
    <w:rsid w:val="00F56885"/>
    <w:rsid w:val="00F57FB0"/>
    <w:rsid w:val="00F65C65"/>
    <w:rsid w:val="00F90DEB"/>
    <w:rsid w:val="00F9139F"/>
    <w:rsid w:val="00FC190B"/>
    <w:rsid w:val="00FD64C6"/>
    <w:rsid w:val="00FE2F7F"/>
    <w:rsid w:val="00FE7070"/>
    <w:rsid w:val="00FF3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 w:type="paragraph" w:styleId="ListParagraph">
    <w:name w:val="List Paragraph"/>
    <w:basedOn w:val="Normal"/>
    <w:uiPriority w:val="34"/>
    <w:qFormat/>
    <w:rsid w:val="00A915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 w:type="paragraph" w:styleId="ListParagraph">
    <w:name w:val="List Paragraph"/>
    <w:basedOn w:val="Normal"/>
    <w:uiPriority w:val="34"/>
    <w:qFormat/>
    <w:rsid w:val="00A915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52225">
      <w:bodyDiv w:val="1"/>
      <w:marLeft w:val="0"/>
      <w:marRight w:val="0"/>
      <w:marTop w:val="0"/>
      <w:marBottom w:val="0"/>
      <w:divBdr>
        <w:top w:val="none" w:sz="0" w:space="0" w:color="auto"/>
        <w:left w:val="none" w:sz="0" w:space="0" w:color="auto"/>
        <w:bottom w:val="none" w:sz="0" w:space="0" w:color="auto"/>
        <w:right w:val="none" w:sz="0" w:space="0" w:color="auto"/>
      </w:divBdr>
    </w:div>
    <w:div w:id="225384456">
      <w:bodyDiv w:val="1"/>
      <w:marLeft w:val="0"/>
      <w:marRight w:val="0"/>
      <w:marTop w:val="0"/>
      <w:marBottom w:val="0"/>
      <w:divBdr>
        <w:top w:val="none" w:sz="0" w:space="0" w:color="auto"/>
        <w:left w:val="none" w:sz="0" w:space="0" w:color="auto"/>
        <w:bottom w:val="none" w:sz="0" w:space="0" w:color="auto"/>
        <w:right w:val="none" w:sz="0" w:space="0" w:color="auto"/>
      </w:divBdr>
    </w:div>
    <w:div w:id="346449132">
      <w:bodyDiv w:val="1"/>
      <w:marLeft w:val="0"/>
      <w:marRight w:val="0"/>
      <w:marTop w:val="0"/>
      <w:marBottom w:val="0"/>
      <w:divBdr>
        <w:top w:val="none" w:sz="0" w:space="0" w:color="auto"/>
        <w:left w:val="none" w:sz="0" w:space="0" w:color="auto"/>
        <w:bottom w:val="none" w:sz="0" w:space="0" w:color="auto"/>
        <w:right w:val="none" w:sz="0" w:space="0" w:color="auto"/>
      </w:divBdr>
    </w:div>
    <w:div w:id="450830067">
      <w:bodyDiv w:val="1"/>
      <w:marLeft w:val="0"/>
      <w:marRight w:val="0"/>
      <w:marTop w:val="0"/>
      <w:marBottom w:val="0"/>
      <w:divBdr>
        <w:top w:val="none" w:sz="0" w:space="0" w:color="auto"/>
        <w:left w:val="none" w:sz="0" w:space="0" w:color="auto"/>
        <w:bottom w:val="none" w:sz="0" w:space="0" w:color="auto"/>
        <w:right w:val="none" w:sz="0" w:space="0" w:color="auto"/>
      </w:divBdr>
    </w:div>
    <w:div w:id="671764856">
      <w:bodyDiv w:val="1"/>
      <w:marLeft w:val="0"/>
      <w:marRight w:val="0"/>
      <w:marTop w:val="0"/>
      <w:marBottom w:val="0"/>
      <w:divBdr>
        <w:top w:val="none" w:sz="0" w:space="0" w:color="auto"/>
        <w:left w:val="none" w:sz="0" w:space="0" w:color="auto"/>
        <w:bottom w:val="none" w:sz="0" w:space="0" w:color="auto"/>
        <w:right w:val="none" w:sz="0" w:space="0" w:color="auto"/>
      </w:divBdr>
    </w:div>
    <w:div w:id="1114859537">
      <w:bodyDiv w:val="1"/>
      <w:marLeft w:val="0"/>
      <w:marRight w:val="0"/>
      <w:marTop w:val="0"/>
      <w:marBottom w:val="0"/>
      <w:divBdr>
        <w:top w:val="none" w:sz="0" w:space="0" w:color="auto"/>
        <w:left w:val="none" w:sz="0" w:space="0" w:color="auto"/>
        <w:bottom w:val="none" w:sz="0" w:space="0" w:color="auto"/>
        <w:right w:val="none" w:sz="0" w:space="0" w:color="auto"/>
      </w:divBdr>
    </w:div>
    <w:div w:id="1494683888">
      <w:bodyDiv w:val="1"/>
      <w:marLeft w:val="0"/>
      <w:marRight w:val="0"/>
      <w:marTop w:val="0"/>
      <w:marBottom w:val="0"/>
      <w:divBdr>
        <w:top w:val="none" w:sz="0" w:space="0" w:color="auto"/>
        <w:left w:val="none" w:sz="0" w:space="0" w:color="auto"/>
        <w:bottom w:val="none" w:sz="0" w:space="0" w:color="auto"/>
        <w:right w:val="none" w:sz="0" w:space="0" w:color="auto"/>
      </w:divBdr>
    </w:div>
    <w:div w:id="1575894357">
      <w:bodyDiv w:val="1"/>
      <w:marLeft w:val="0"/>
      <w:marRight w:val="0"/>
      <w:marTop w:val="0"/>
      <w:marBottom w:val="0"/>
      <w:divBdr>
        <w:top w:val="none" w:sz="0" w:space="0" w:color="auto"/>
        <w:left w:val="none" w:sz="0" w:space="0" w:color="auto"/>
        <w:bottom w:val="none" w:sz="0" w:space="0" w:color="auto"/>
        <w:right w:val="none" w:sz="0" w:space="0" w:color="auto"/>
      </w:divBdr>
    </w:div>
    <w:div w:id="1683821877">
      <w:bodyDiv w:val="1"/>
      <w:marLeft w:val="0"/>
      <w:marRight w:val="0"/>
      <w:marTop w:val="0"/>
      <w:marBottom w:val="0"/>
      <w:divBdr>
        <w:top w:val="none" w:sz="0" w:space="0" w:color="auto"/>
        <w:left w:val="none" w:sz="0" w:space="0" w:color="auto"/>
        <w:bottom w:val="none" w:sz="0" w:space="0" w:color="auto"/>
        <w:right w:val="none" w:sz="0" w:space="0" w:color="auto"/>
      </w:divBdr>
    </w:div>
    <w:div w:id="1925338923">
      <w:bodyDiv w:val="1"/>
      <w:marLeft w:val="0"/>
      <w:marRight w:val="0"/>
      <w:marTop w:val="0"/>
      <w:marBottom w:val="0"/>
      <w:divBdr>
        <w:top w:val="none" w:sz="0" w:space="0" w:color="auto"/>
        <w:left w:val="none" w:sz="0" w:space="0" w:color="auto"/>
        <w:bottom w:val="none" w:sz="0" w:space="0" w:color="auto"/>
        <w:right w:val="none" w:sz="0" w:space="0" w:color="auto"/>
      </w:divBdr>
    </w:div>
    <w:div w:id="1945842747">
      <w:bodyDiv w:val="1"/>
      <w:marLeft w:val="0"/>
      <w:marRight w:val="0"/>
      <w:marTop w:val="0"/>
      <w:marBottom w:val="0"/>
      <w:divBdr>
        <w:top w:val="none" w:sz="0" w:space="0" w:color="auto"/>
        <w:left w:val="none" w:sz="0" w:space="0" w:color="auto"/>
        <w:bottom w:val="none" w:sz="0" w:space="0" w:color="auto"/>
        <w:right w:val="none" w:sz="0" w:space="0" w:color="auto"/>
      </w:divBdr>
    </w:div>
    <w:div w:id="212310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C2C11-CD86-428E-BD74-E865E06E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19</Pages>
  <Words>6009</Words>
  <Characters>33645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Page 1 of 2</vt:lpstr>
    </vt:vector>
  </TitlesOfParts>
  <Company>Ontario Energy Board</Company>
  <LinksUpToDate>false</LinksUpToDate>
  <CharactersWithSpaces>39575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 of 2</dc:title>
  <dc:creator>Lee Harmer</dc:creator>
  <cp:lastModifiedBy>Tom Barrett</cp:lastModifiedBy>
  <cp:revision>16</cp:revision>
  <cp:lastPrinted>2016-09-15T17:37:00Z</cp:lastPrinted>
  <dcterms:created xsi:type="dcterms:W3CDTF">2016-09-13T17:46:00Z</dcterms:created>
  <dcterms:modified xsi:type="dcterms:W3CDTF">2016-09-15T17:38:00Z</dcterms:modified>
</cp:coreProperties>
</file>