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7DB" w:rsidRPr="00725195" w:rsidRDefault="00A357DB" w:rsidP="00A357DB">
      <w:pPr>
        <w:pStyle w:val="Heading8"/>
        <w:ind w:left="5812" w:firstLine="425"/>
        <w:rPr>
          <w:rFonts w:cs="Arial"/>
          <w:sz w:val="32"/>
          <w:szCs w:val="32"/>
        </w:rPr>
      </w:pPr>
      <w:r w:rsidRPr="00725195">
        <w:rPr>
          <w:rFonts w:cs="Arial"/>
          <w:sz w:val="32"/>
          <w:szCs w:val="32"/>
        </w:rPr>
        <w:t>EB-201</w:t>
      </w:r>
      <w:r>
        <w:rPr>
          <w:rFonts w:cs="Arial"/>
          <w:sz w:val="32"/>
          <w:szCs w:val="32"/>
        </w:rPr>
        <w:t>6</w:t>
      </w:r>
      <w:r w:rsidRPr="00725195">
        <w:rPr>
          <w:rFonts w:cs="Arial"/>
          <w:sz w:val="32"/>
          <w:szCs w:val="32"/>
        </w:rPr>
        <w:t>-0</w:t>
      </w:r>
      <w:r>
        <w:rPr>
          <w:rFonts w:cs="Arial"/>
          <w:sz w:val="32"/>
          <w:szCs w:val="32"/>
        </w:rPr>
        <w:t>160</w:t>
      </w:r>
    </w:p>
    <w:p w:rsidR="00A357DB" w:rsidRDefault="00A357DB" w:rsidP="00A357DB">
      <w:pPr>
        <w:ind w:left="5812"/>
        <w:rPr>
          <w:rFonts w:ascii="Arial" w:hAnsi="Arial" w:cs="Arial"/>
          <w:b/>
          <w:sz w:val="32"/>
          <w:szCs w:val="32"/>
        </w:rPr>
      </w:pPr>
    </w:p>
    <w:p w:rsidR="00A357DB" w:rsidRDefault="00A357DB" w:rsidP="00A357DB">
      <w:pPr>
        <w:pStyle w:val="Heading8"/>
        <w:tabs>
          <w:tab w:val="left" w:pos="5760"/>
        </w:tabs>
        <w:ind w:left="5760"/>
        <w:rPr>
          <w:sz w:val="36"/>
        </w:rPr>
      </w:pPr>
      <w:r>
        <w:rPr>
          <w:sz w:val="36"/>
        </w:rPr>
        <w:tab/>
      </w:r>
    </w:p>
    <w:p w:rsidR="00A357DB" w:rsidRPr="00A357DB" w:rsidRDefault="00A357DB" w:rsidP="00A357DB">
      <w:pPr>
        <w:autoSpaceDE w:val="0"/>
        <w:autoSpaceDN w:val="0"/>
        <w:adjustRightInd w:val="0"/>
        <w:ind w:left="2880"/>
        <w:rPr>
          <w:b/>
          <w:bCs/>
          <w:sz w:val="28"/>
          <w:szCs w:val="28"/>
        </w:rPr>
      </w:pPr>
      <w:r w:rsidRPr="00A357DB">
        <w:rPr>
          <w:b/>
          <w:bCs/>
          <w:sz w:val="28"/>
          <w:szCs w:val="28"/>
        </w:rPr>
        <w:t>ONTARIO ENERGY BOARD</w:t>
      </w:r>
    </w:p>
    <w:p w:rsidR="00A357DB" w:rsidRDefault="00A357DB" w:rsidP="00A357DB">
      <w:pPr>
        <w:autoSpaceDE w:val="0"/>
        <w:autoSpaceDN w:val="0"/>
        <w:adjustRightInd w:val="0"/>
        <w:ind w:left="1440"/>
        <w:rPr>
          <w:sz w:val="16"/>
          <w:szCs w:val="16"/>
        </w:rPr>
      </w:pPr>
    </w:p>
    <w:p w:rsidR="00A357DB" w:rsidRPr="00D46480" w:rsidRDefault="00A357DB" w:rsidP="00A357DB">
      <w:pPr>
        <w:autoSpaceDE w:val="0"/>
        <w:autoSpaceDN w:val="0"/>
        <w:adjustRightInd w:val="0"/>
        <w:ind w:left="1440"/>
        <w:rPr>
          <w:b/>
        </w:rPr>
      </w:pPr>
      <w:r w:rsidRPr="00D46480">
        <w:rPr>
          <w:b/>
        </w:rPr>
        <w:t xml:space="preserve">IN THE MATTER OF </w:t>
      </w:r>
      <w:r w:rsidRPr="00D46480">
        <w:rPr>
          <w:b/>
          <w:i/>
          <w:iCs/>
        </w:rPr>
        <w:t xml:space="preserve">the Ontario Energy Board Act, 1998 </w:t>
      </w:r>
      <w:r w:rsidRPr="00D46480">
        <w:rPr>
          <w:b/>
        </w:rPr>
        <w:t>(“Act”);</w:t>
      </w:r>
    </w:p>
    <w:p w:rsidR="00A357DB" w:rsidRPr="00D46480" w:rsidRDefault="00A357DB" w:rsidP="00A357DB">
      <w:pPr>
        <w:autoSpaceDE w:val="0"/>
        <w:autoSpaceDN w:val="0"/>
        <w:adjustRightInd w:val="0"/>
        <w:ind w:left="1440"/>
        <w:rPr>
          <w:b/>
          <w:sz w:val="16"/>
          <w:szCs w:val="16"/>
        </w:rPr>
      </w:pPr>
    </w:p>
    <w:p w:rsidR="00A357DB" w:rsidRPr="00D46480" w:rsidRDefault="00A357DB" w:rsidP="00A357DB">
      <w:pPr>
        <w:autoSpaceDE w:val="0"/>
        <w:autoSpaceDN w:val="0"/>
        <w:adjustRightInd w:val="0"/>
        <w:ind w:left="1440"/>
        <w:rPr>
          <w:b/>
        </w:rPr>
      </w:pPr>
      <w:proofErr w:type="gramStart"/>
      <w:r w:rsidRPr="00D46480">
        <w:rPr>
          <w:b/>
        </w:rPr>
        <w:t>AND IN THE MATTER OF an Application by Hydro One Networks Inc. for an order or orders made pursuant to section 78 of the Act approving rates for the transmission of electricity.</w:t>
      </w:r>
      <w:proofErr w:type="gramEnd"/>
    </w:p>
    <w:p w:rsidR="00281FC4" w:rsidRDefault="00281FC4" w:rsidP="00281FC4">
      <w:pPr>
        <w:pStyle w:val="Default"/>
      </w:pPr>
    </w:p>
    <w:p w:rsidR="00281FC4" w:rsidRDefault="00281FC4" w:rsidP="00281FC4">
      <w:pPr>
        <w:pStyle w:val="Default"/>
      </w:pPr>
    </w:p>
    <w:p w:rsidR="00281FC4" w:rsidRDefault="00281FC4" w:rsidP="00281FC4">
      <w:pPr>
        <w:pStyle w:val="Default"/>
      </w:pPr>
    </w:p>
    <w:p w:rsidR="00281FC4" w:rsidRDefault="00281FC4" w:rsidP="00281FC4">
      <w:pPr>
        <w:pStyle w:val="Footer"/>
        <w:tabs>
          <w:tab w:val="clear" w:pos="4320"/>
          <w:tab w:val="clear" w:pos="8640"/>
        </w:tabs>
      </w:pPr>
    </w:p>
    <w:p w:rsidR="00281FC4" w:rsidRPr="00E5117B" w:rsidRDefault="00281FC4" w:rsidP="00281FC4">
      <w:pPr>
        <w:pStyle w:val="Heading1"/>
        <w:pBdr>
          <w:top w:val="single" w:sz="4" w:space="1" w:color="auto"/>
        </w:pBdr>
        <w:rPr>
          <w:rFonts w:ascii="Times New Roman" w:hAnsi="Times New Roman" w:cs="Times New Roman"/>
          <w:sz w:val="36"/>
          <w:szCs w:val="36"/>
        </w:rPr>
      </w:pPr>
    </w:p>
    <w:p w:rsidR="0053729E" w:rsidRDefault="00A357DB" w:rsidP="00281FC4">
      <w:pPr>
        <w:pStyle w:val="Heading1"/>
        <w:pBdr>
          <w:top w:val="single" w:sz="4" w:space="1" w:color="auto"/>
        </w:pBdr>
        <w:rPr>
          <w:rFonts w:ascii="Times New Roman" w:hAnsi="Times New Roman" w:cs="Times New Roman"/>
          <w:sz w:val="32"/>
          <w:szCs w:val="32"/>
        </w:rPr>
      </w:pPr>
      <w:r w:rsidRPr="00A357DB">
        <w:rPr>
          <w:rFonts w:ascii="Times New Roman" w:hAnsi="Times New Roman" w:cs="Times New Roman"/>
          <w:sz w:val="32"/>
          <w:szCs w:val="32"/>
        </w:rPr>
        <w:t>Written Questions from Technical Conference</w:t>
      </w:r>
      <w:r w:rsidR="0053729E">
        <w:rPr>
          <w:rFonts w:ascii="Times New Roman" w:hAnsi="Times New Roman" w:cs="Times New Roman"/>
          <w:sz w:val="32"/>
          <w:szCs w:val="32"/>
        </w:rPr>
        <w:t xml:space="preserve"> </w:t>
      </w:r>
    </w:p>
    <w:p w:rsidR="00281FC4" w:rsidRPr="00A357DB" w:rsidRDefault="0053729E" w:rsidP="00281FC4">
      <w:pPr>
        <w:pStyle w:val="Heading1"/>
        <w:pBdr>
          <w:top w:val="single" w:sz="4" w:space="1" w:color="auto"/>
        </w:pBdr>
        <w:rPr>
          <w:rFonts w:ascii="Times New Roman" w:hAnsi="Times New Roman" w:cs="Times New Roman"/>
          <w:sz w:val="32"/>
          <w:szCs w:val="32"/>
        </w:rPr>
      </w:pPr>
      <w:proofErr w:type="gramStart"/>
      <w:r w:rsidRPr="0053729E">
        <w:rPr>
          <w:rFonts w:ascii="Times New Roman" w:hAnsi="Times New Roman" w:cs="Times New Roman"/>
          <w:sz w:val="28"/>
          <w:szCs w:val="28"/>
        </w:rPr>
        <w:t>UNDERTAKING NO.</w:t>
      </w:r>
      <w:proofErr w:type="gramEnd"/>
      <w:r w:rsidRPr="0053729E">
        <w:rPr>
          <w:rFonts w:ascii="Times New Roman" w:hAnsi="Times New Roman" w:cs="Times New Roman"/>
          <w:sz w:val="28"/>
          <w:szCs w:val="28"/>
        </w:rPr>
        <w:t xml:space="preserve"> TCJ2.20</w:t>
      </w:r>
    </w:p>
    <w:p w:rsidR="00281FC4" w:rsidRPr="00A357DB" w:rsidRDefault="00281FC4" w:rsidP="00281FC4">
      <w:pPr>
        <w:pStyle w:val="Heading1"/>
        <w:pBdr>
          <w:top w:val="single" w:sz="4" w:space="1" w:color="auto"/>
        </w:pBdr>
        <w:rPr>
          <w:rFonts w:ascii="Times New Roman" w:hAnsi="Times New Roman" w:cs="Times New Roman"/>
          <w:sz w:val="32"/>
          <w:szCs w:val="32"/>
        </w:rPr>
      </w:pPr>
    </w:p>
    <w:p w:rsidR="00281FC4" w:rsidRPr="00A357DB" w:rsidRDefault="00281FC4" w:rsidP="00281FC4">
      <w:pPr>
        <w:pStyle w:val="Heading1"/>
        <w:pBdr>
          <w:top w:val="single" w:sz="4" w:space="1" w:color="auto"/>
        </w:pBdr>
        <w:rPr>
          <w:rFonts w:ascii="Times New Roman" w:hAnsi="Times New Roman" w:cs="Times New Roman"/>
          <w:sz w:val="32"/>
          <w:szCs w:val="32"/>
        </w:rPr>
      </w:pPr>
      <w:r w:rsidRPr="00A357DB">
        <w:rPr>
          <w:rFonts w:ascii="Times New Roman" w:hAnsi="Times New Roman" w:cs="Times New Roman"/>
          <w:sz w:val="32"/>
          <w:szCs w:val="32"/>
        </w:rPr>
        <w:t>Energy Probe Research Foundation</w:t>
      </w:r>
    </w:p>
    <w:p w:rsidR="00281FC4" w:rsidRPr="00E5117B" w:rsidRDefault="00281FC4" w:rsidP="00281FC4">
      <w:pPr>
        <w:pStyle w:val="Heading8"/>
        <w:pBdr>
          <w:bottom w:val="single" w:sz="4" w:space="1" w:color="auto"/>
        </w:pBdr>
        <w:jc w:val="center"/>
        <w:rPr>
          <w:rFonts w:cs="Arial"/>
          <w:sz w:val="36"/>
          <w:szCs w:val="36"/>
        </w:rPr>
      </w:pPr>
    </w:p>
    <w:p w:rsidR="00281FC4" w:rsidRDefault="00281FC4" w:rsidP="00281FC4">
      <w:pPr>
        <w:pStyle w:val="Heading8"/>
        <w:jc w:val="center"/>
        <w:rPr>
          <w:rFonts w:ascii="Times New Roman" w:hAnsi="Times New Roman"/>
          <w:sz w:val="40"/>
        </w:rPr>
      </w:pPr>
    </w:p>
    <w:p w:rsidR="00281FC4" w:rsidRDefault="00281FC4" w:rsidP="00281FC4">
      <w:pPr>
        <w:pStyle w:val="Heading8"/>
        <w:jc w:val="center"/>
        <w:rPr>
          <w:rFonts w:ascii="Times New Roman" w:hAnsi="Times New Roman"/>
          <w:sz w:val="40"/>
        </w:rPr>
      </w:pPr>
    </w:p>
    <w:p w:rsidR="00281FC4" w:rsidRDefault="00281FC4" w:rsidP="00281FC4"/>
    <w:p w:rsidR="00281FC4" w:rsidRPr="00725195" w:rsidRDefault="00281FC4" w:rsidP="00281FC4"/>
    <w:p w:rsidR="00281FC4" w:rsidRPr="00183751" w:rsidRDefault="00281FC4" w:rsidP="00281FC4"/>
    <w:p w:rsidR="00281FC4" w:rsidRPr="00725195" w:rsidRDefault="00A357DB" w:rsidP="00281FC4">
      <w:pPr>
        <w:pStyle w:val="Heading8"/>
        <w:jc w:val="center"/>
        <w:rPr>
          <w:rFonts w:ascii="Times New Roman" w:hAnsi="Times New Roman"/>
          <w:sz w:val="32"/>
          <w:szCs w:val="32"/>
        </w:rPr>
      </w:pPr>
      <w:r>
        <w:rPr>
          <w:rFonts w:ascii="Times New Roman" w:hAnsi="Times New Roman"/>
          <w:sz w:val="32"/>
          <w:szCs w:val="32"/>
        </w:rPr>
        <w:t>September 24</w:t>
      </w:r>
      <w:r w:rsidR="00281FC4" w:rsidRPr="00725195">
        <w:rPr>
          <w:rFonts w:ascii="Times New Roman" w:hAnsi="Times New Roman"/>
          <w:sz w:val="32"/>
          <w:szCs w:val="32"/>
        </w:rPr>
        <w:t>, 201</w:t>
      </w:r>
      <w:r>
        <w:rPr>
          <w:rFonts w:ascii="Times New Roman" w:hAnsi="Times New Roman"/>
          <w:sz w:val="32"/>
          <w:szCs w:val="32"/>
        </w:rPr>
        <w:t>6</w:t>
      </w:r>
    </w:p>
    <w:p w:rsidR="00281FC4" w:rsidRDefault="00281FC4" w:rsidP="00281FC4">
      <w:pPr>
        <w:pStyle w:val="Heading8"/>
        <w:jc w:val="center"/>
        <w:rPr>
          <w:rFonts w:ascii="Times New Roman" w:hAnsi="Times New Roman"/>
          <w:sz w:val="36"/>
          <w:szCs w:val="36"/>
        </w:rPr>
      </w:pPr>
    </w:p>
    <w:p w:rsidR="00281FC4" w:rsidRDefault="00281FC4" w:rsidP="00281FC4">
      <w:pPr>
        <w:pStyle w:val="Default"/>
      </w:pPr>
    </w:p>
    <w:p w:rsidR="00A357DB" w:rsidRDefault="00281FC4" w:rsidP="00A357DB">
      <w:pPr>
        <w:spacing w:after="200" w:line="276" w:lineRule="auto"/>
        <w:jc w:val="center"/>
        <w:rPr>
          <w:b/>
          <w:bCs/>
          <w:sz w:val="28"/>
          <w:szCs w:val="28"/>
        </w:rPr>
      </w:pPr>
      <w:r w:rsidRPr="00EF1B3B">
        <w:rPr>
          <w:sz w:val="36"/>
          <w:szCs w:val="36"/>
        </w:rPr>
        <w:br w:type="page"/>
      </w:r>
      <w:r w:rsidR="00A357DB">
        <w:rPr>
          <w:b/>
          <w:bCs/>
          <w:sz w:val="28"/>
          <w:szCs w:val="28"/>
        </w:rPr>
        <w:lastRenderedPageBreak/>
        <w:t>EB-2016-0160 Hydro One Transmission</w:t>
      </w:r>
      <w:r w:rsidR="0053729E">
        <w:rPr>
          <w:b/>
          <w:bCs/>
          <w:sz w:val="28"/>
          <w:szCs w:val="28"/>
        </w:rPr>
        <w:t xml:space="preserve"> </w:t>
      </w:r>
      <w:r w:rsidR="00A357DB">
        <w:rPr>
          <w:b/>
          <w:bCs/>
          <w:sz w:val="28"/>
          <w:szCs w:val="28"/>
        </w:rPr>
        <w:t>Rates 2017-2018</w:t>
      </w:r>
    </w:p>
    <w:p w:rsidR="0053729E" w:rsidRDefault="00A357DB" w:rsidP="00A357DB">
      <w:pPr>
        <w:pStyle w:val="Heading8"/>
        <w:jc w:val="center"/>
        <w:rPr>
          <w:sz w:val="28"/>
          <w:szCs w:val="28"/>
        </w:rPr>
      </w:pPr>
      <w:r>
        <w:rPr>
          <w:sz w:val="28"/>
          <w:szCs w:val="28"/>
        </w:rPr>
        <w:t xml:space="preserve">Written </w:t>
      </w:r>
      <w:r w:rsidR="0053729E">
        <w:rPr>
          <w:sz w:val="28"/>
          <w:szCs w:val="28"/>
        </w:rPr>
        <w:t xml:space="preserve">TC </w:t>
      </w:r>
      <w:bookmarkStart w:id="0" w:name="_GoBack"/>
      <w:bookmarkEnd w:id="0"/>
      <w:r>
        <w:rPr>
          <w:sz w:val="28"/>
          <w:szCs w:val="28"/>
        </w:rPr>
        <w:t>Questions Energy Probe Research Foundation</w:t>
      </w:r>
    </w:p>
    <w:p w:rsidR="00281FC4" w:rsidRPr="0053729E" w:rsidRDefault="0053729E" w:rsidP="00A357DB">
      <w:pPr>
        <w:pStyle w:val="Heading8"/>
        <w:jc w:val="center"/>
        <w:rPr>
          <w:rFonts w:ascii="Times New Roman" w:hAnsi="Times New Roman"/>
          <w:sz w:val="24"/>
          <w:szCs w:val="24"/>
        </w:rPr>
      </w:pPr>
      <w:proofErr w:type="gramStart"/>
      <w:r w:rsidRPr="0053729E">
        <w:rPr>
          <w:rFonts w:ascii="Times New Roman" w:hAnsi="Times New Roman"/>
          <w:sz w:val="24"/>
          <w:szCs w:val="24"/>
        </w:rPr>
        <w:t>UNDERTAKING NO.</w:t>
      </w:r>
      <w:proofErr w:type="gramEnd"/>
      <w:r w:rsidRPr="0053729E">
        <w:rPr>
          <w:rFonts w:ascii="Times New Roman" w:hAnsi="Times New Roman"/>
          <w:sz w:val="24"/>
          <w:szCs w:val="24"/>
        </w:rPr>
        <w:t xml:space="preserve"> TCJ2.20</w:t>
      </w:r>
    </w:p>
    <w:p w:rsidR="00A357DB" w:rsidRDefault="00A357DB" w:rsidP="00A357DB"/>
    <w:p w:rsidR="00A357DB" w:rsidRPr="00F12D5B" w:rsidRDefault="00F12D5B" w:rsidP="00A357DB">
      <w:pPr>
        <w:rPr>
          <w:b/>
        </w:rPr>
      </w:pPr>
      <w:r w:rsidRPr="00F12D5B">
        <w:rPr>
          <w:b/>
        </w:rPr>
        <w:t>References</w:t>
      </w:r>
    </w:p>
    <w:p w:rsidR="00A357DB" w:rsidRDefault="00A357DB" w:rsidP="00E22454">
      <w:pPr>
        <w:spacing w:line="276" w:lineRule="auto"/>
        <w:rPr>
          <w:b/>
          <w:bCs/>
        </w:rPr>
      </w:pPr>
      <w:r>
        <w:rPr>
          <w:b/>
          <w:bCs/>
        </w:rPr>
        <w:t>Exhibit I Tab 11 Schedule 2</w:t>
      </w:r>
      <w:r w:rsidR="00E22454">
        <w:rPr>
          <w:b/>
          <w:bCs/>
        </w:rPr>
        <w:t xml:space="preserve"> IRR Parts a) and d)</w:t>
      </w:r>
    </w:p>
    <w:p w:rsidR="00E22454" w:rsidRDefault="00E22454" w:rsidP="00E22454">
      <w:pPr>
        <w:spacing w:line="276" w:lineRule="auto"/>
        <w:rPr>
          <w:color w:val="000000"/>
        </w:rPr>
      </w:pPr>
      <w:r w:rsidRPr="00BB794F">
        <w:rPr>
          <w:b/>
          <w:color w:val="000000"/>
        </w:rPr>
        <w:t>Exhibit I, Tab 1, Schedule 15</w:t>
      </w:r>
      <w:r>
        <w:rPr>
          <w:color w:val="000000"/>
        </w:rPr>
        <w:t xml:space="preserve"> </w:t>
      </w:r>
    </w:p>
    <w:p w:rsidR="00E22454" w:rsidRDefault="00E22454" w:rsidP="00E22454">
      <w:pPr>
        <w:spacing w:line="276" w:lineRule="auto"/>
        <w:rPr>
          <w:color w:val="000000"/>
        </w:rPr>
      </w:pPr>
      <w:r w:rsidRPr="008649F5">
        <w:rPr>
          <w:b/>
        </w:rPr>
        <w:t>Exhibit B1, Tab 2, Schedule 2, Attachment 2,</w:t>
      </w:r>
    </w:p>
    <w:p w:rsidR="00A357DB" w:rsidRDefault="00A357DB" w:rsidP="00E22454">
      <w:pPr>
        <w:spacing w:line="276" w:lineRule="auto"/>
        <w:rPr>
          <w:b/>
          <w:bCs/>
        </w:rPr>
      </w:pPr>
      <w:r>
        <w:rPr>
          <w:b/>
          <w:bCs/>
        </w:rPr>
        <w:t>E</w:t>
      </w:r>
      <w:r w:rsidR="00E22454">
        <w:rPr>
          <w:b/>
          <w:bCs/>
        </w:rPr>
        <w:t xml:space="preserve">xhibit </w:t>
      </w:r>
      <w:proofErr w:type="gramStart"/>
      <w:r w:rsidR="00E22454">
        <w:rPr>
          <w:b/>
          <w:bCs/>
        </w:rPr>
        <w:t>A</w:t>
      </w:r>
      <w:proofErr w:type="gramEnd"/>
      <w:r w:rsidR="00E22454">
        <w:rPr>
          <w:b/>
          <w:bCs/>
        </w:rPr>
        <w:t xml:space="preserve"> T</w:t>
      </w:r>
      <w:r>
        <w:rPr>
          <w:b/>
          <w:bCs/>
        </w:rPr>
        <w:t>ab</w:t>
      </w:r>
      <w:r w:rsidR="00253265">
        <w:rPr>
          <w:b/>
          <w:bCs/>
        </w:rPr>
        <w:t xml:space="preserve"> </w:t>
      </w:r>
      <w:r>
        <w:rPr>
          <w:b/>
          <w:bCs/>
        </w:rPr>
        <w:t>3 Schedule 1 Table 2 page 7</w:t>
      </w:r>
    </w:p>
    <w:p w:rsidR="000F0586" w:rsidRPr="00E75361" w:rsidRDefault="000F0586" w:rsidP="000F0586">
      <w:pPr>
        <w:autoSpaceDE w:val="0"/>
        <w:autoSpaceDN w:val="0"/>
        <w:adjustRightInd w:val="0"/>
        <w:rPr>
          <w:b/>
          <w:bCs/>
        </w:rPr>
      </w:pPr>
      <w:r>
        <w:rPr>
          <w:b/>
          <w:bCs/>
        </w:rPr>
        <w:t xml:space="preserve">Exhibit </w:t>
      </w:r>
      <w:r w:rsidRPr="00E75361">
        <w:rPr>
          <w:b/>
          <w:bCs/>
        </w:rPr>
        <w:t xml:space="preserve">B1 Tab2 Schedule 7 Table 6 </w:t>
      </w:r>
      <w:proofErr w:type="gramStart"/>
      <w:r w:rsidRPr="00E75361">
        <w:rPr>
          <w:b/>
          <w:bCs/>
        </w:rPr>
        <w:t>Page</w:t>
      </w:r>
      <w:proofErr w:type="gramEnd"/>
      <w:r w:rsidRPr="00E75361">
        <w:rPr>
          <w:b/>
          <w:bCs/>
        </w:rPr>
        <w:t xml:space="preserve"> 15.</w:t>
      </w:r>
    </w:p>
    <w:p w:rsidR="00A357DB" w:rsidRDefault="00A357DB" w:rsidP="00E22454">
      <w:pPr>
        <w:spacing w:line="276" w:lineRule="auto"/>
        <w:rPr>
          <w:b/>
          <w:bCs/>
        </w:rPr>
      </w:pPr>
      <w:r>
        <w:rPr>
          <w:b/>
          <w:bCs/>
        </w:rPr>
        <w:t>Exhibit B1 Tab3 Schedule 1 Page 1 Table 1</w:t>
      </w:r>
    </w:p>
    <w:p w:rsidR="003A4261" w:rsidRDefault="003A4261" w:rsidP="00A357DB">
      <w:pPr>
        <w:spacing w:after="200" w:line="276" w:lineRule="auto"/>
        <w:rPr>
          <w:b/>
          <w:bCs/>
        </w:rPr>
      </w:pPr>
    </w:p>
    <w:p w:rsidR="00E22454" w:rsidRDefault="00E22454" w:rsidP="00E22454">
      <w:pPr>
        <w:spacing w:after="200" w:line="276" w:lineRule="auto"/>
        <w:rPr>
          <w:b/>
          <w:bCs/>
        </w:rPr>
      </w:pPr>
    </w:p>
    <w:p w:rsidR="00E22454" w:rsidRDefault="00E22454" w:rsidP="00E22454">
      <w:pPr>
        <w:spacing w:after="200" w:line="276" w:lineRule="auto"/>
        <w:rPr>
          <w:b/>
          <w:bCs/>
        </w:rPr>
      </w:pPr>
      <w:r>
        <w:rPr>
          <w:b/>
          <w:bCs/>
        </w:rPr>
        <w:t>Exhibit I Tab 11 Schedule 2 IRR Parts a) and d)</w:t>
      </w:r>
    </w:p>
    <w:p w:rsidR="00E22454" w:rsidRPr="003A4261" w:rsidRDefault="00E22454" w:rsidP="00E22454">
      <w:pPr>
        <w:autoSpaceDE w:val="0"/>
        <w:autoSpaceDN w:val="0"/>
        <w:adjustRightInd w:val="0"/>
        <w:rPr>
          <w:b/>
          <w:bCs/>
          <w:color w:val="365F92"/>
          <w:sz w:val="28"/>
          <w:szCs w:val="28"/>
        </w:rPr>
      </w:pPr>
      <w:r w:rsidRPr="003A4261">
        <w:rPr>
          <w:b/>
          <w:bCs/>
          <w:color w:val="365F92"/>
          <w:sz w:val="28"/>
          <w:szCs w:val="28"/>
        </w:rPr>
        <w:t>Response:</w:t>
      </w:r>
    </w:p>
    <w:p w:rsidR="00E22454" w:rsidRPr="003A4261" w:rsidRDefault="00E22454" w:rsidP="00E22454">
      <w:pPr>
        <w:autoSpaceDE w:val="0"/>
        <w:autoSpaceDN w:val="0"/>
        <w:adjustRightInd w:val="0"/>
        <w:rPr>
          <w:color w:val="000000"/>
        </w:rPr>
      </w:pPr>
      <w:r w:rsidRPr="003A4261">
        <w:rPr>
          <w:color w:val="000000"/>
        </w:rPr>
        <w:t>Part a) The Reliability Risk Model provides an outcome measure to gauge the impact of investments on future transmission system reliability. It assesses the replacement impact of 3 asset types (i.e., lines, breakers and transformers) that are the most influential to reliability. In order to9 answer this interrogatory, numerous revisions to Hydro One’s investment plan would be required to determine the mixture of asset replacements required to reach the decrease in</w:t>
      </w:r>
    </w:p>
    <w:p w:rsidR="00E22454" w:rsidRPr="003A4261" w:rsidRDefault="00E22454" w:rsidP="00E22454">
      <w:pPr>
        <w:autoSpaceDE w:val="0"/>
        <w:autoSpaceDN w:val="0"/>
        <w:adjustRightInd w:val="0"/>
        <w:rPr>
          <w:color w:val="000000"/>
        </w:rPr>
      </w:pPr>
      <w:proofErr w:type="gramStart"/>
      <w:r w:rsidRPr="003A4261">
        <w:rPr>
          <w:color w:val="000000"/>
        </w:rPr>
        <w:t>reliability</w:t>
      </w:r>
      <w:proofErr w:type="gramEnd"/>
      <w:r w:rsidRPr="003A4261">
        <w:rPr>
          <w:color w:val="000000"/>
        </w:rPr>
        <w:t xml:space="preserve"> risk over the various time periods requested. The request would require</w:t>
      </w:r>
    </w:p>
    <w:p w:rsidR="00E22454" w:rsidRPr="003A4261" w:rsidRDefault="00E22454" w:rsidP="00E22454">
      <w:pPr>
        <w:autoSpaceDE w:val="0"/>
        <w:autoSpaceDN w:val="0"/>
        <w:adjustRightInd w:val="0"/>
        <w:rPr>
          <w:color w:val="000000"/>
        </w:rPr>
      </w:pPr>
      <w:proofErr w:type="gramStart"/>
      <w:r w:rsidRPr="003A4261">
        <w:rPr>
          <w:color w:val="000000"/>
        </w:rPr>
        <w:t>unreasonable</w:t>
      </w:r>
      <w:proofErr w:type="gramEnd"/>
      <w:r w:rsidRPr="003A4261">
        <w:rPr>
          <w:color w:val="000000"/>
        </w:rPr>
        <w:t xml:space="preserve"> effort to address in the timeframe available.</w:t>
      </w:r>
    </w:p>
    <w:p w:rsidR="00E22454" w:rsidRPr="003A4261" w:rsidRDefault="00E22454" w:rsidP="00E22454">
      <w:pPr>
        <w:autoSpaceDE w:val="0"/>
        <w:autoSpaceDN w:val="0"/>
        <w:adjustRightInd w:val="0"/>
        <w:rPr>
          <w:color w:val="000000"/>
        </w:rPr>
      </w:pPr>
      <w:r w:rsidRPr="003A4261">
        <w:rPr>
          <w:color w:val="000000"/>
        </w:rPr>
        <w:t>However, evidence regarding scenario comparison has been provided with this application.</w:t>
      </w:r>
    </w:p>
    <w:p w:rsidR="00E22454" w:rsidRPr="003A4261" w:rsidRDefault="00E22454" w:rsidP="00E22454">
      <w:pPr>
        <w:spacing w:after="200" w:line="276" w:lineRule="auto"/>
        <w:rPr>
          <w:color w:val="000000"/>
        </w:rPr>
      </w:pPr>
      <w:r w:rsidRPr="003A4261">
        <w:rPr>
          <w:color w:val="000000"/>
        </w:rPr>
        <w:t xml:space="preserve">Please refer to </w:t>
      </w:r>
      <w:r w:rsidRPr="003A4261">
        <w:rPr>
          <w:b/>
          <w:color w:val="000000"/>
        </w:rPr>
        <w:t>Exhibit I, Tab 1, Schedule 15</w:t>
      </w:r>
      <w:r w:rsidRPr="003A4261">
        <w:rPr>
          <w:color w:val="000000"/>
        </w:rPr>
        <w:t xml:space="preserve"> for additional information.</w:t>
      </w:r>
    </w:p>
    <w:p w:rsidR="003A4261" w:rsidRDefault="003A4261" w:rsidP="003A4261">
      <w:pPr>
        <w:autoSpaceDE w:val="0"/>
        <w:autoSpaceDN w:val="0"/>
        <w:adjustRightInd w:val="0"/>
      </w:pPr>
      <w:r>
        <w:t>d) Yes, Hydro One evaluated alternative investment scenarios, which were discussed as part of</w:t>
      </w:r>
    </w:p>
    <w:p w:rsidR="003A4261" w:rsidRDefault="003A4261" w:rsidP="003A4261">
      <w:pPr>
        <w:autoSpaceDE w:val="0"/>
        <w:autoSpaceDN w:val="0"/>
        <w:adjustRightInd w:val="0"/>
      </w:pPr>
      <w:r>
        <w:rPr>
          <w:sz w:val="16"/>
          <w:szCs w:val="16"/>
        </w:rPr>
        <w:t xml:space="preserve"> </w:t>
      </w:r>
      <w:r>
        <w:t xml:space="preserve">the customer engagement included in </w:t>
      </w:r>
      <w:r w:rsidRPr="008649F5">
        <w:rPr>
          <w:b/>
        </w:rPr>
        <w:t>Exhibit B1, Tab 2, Schedule 2, Attachment 2,</w:t>
      </w:r>
    </w:p>
    <w:p w:rsidR="003A4261" w:rsidRDefault="003A4261" w:rsidP="003A4261">
      <w:pPr>
        <w:autoSpaceDE w:val="0"/>
        <w:autoSpaceDN w:val="0"/>
        <w:adjustRightInd w:val="0"/>
      </w:pPr>
      <w:r>
        <w:rPr>
          <w:sz w:val="16"/>
          <w:szCs w:val="16"/>
        </w:rPr>
        <w:t xml:space="preserve"> </w:t>
      </w:r>
      <w:r>
        <w:t xml:space="preserve">Transmission Customer Engagement: Investing for </w:t>
      </w:r>
      <w:proofErr w:type="gramStart"/>
      <w:r>
        <w:t>The</w:t>
      </w:r>
      <w:proofErr w:type="gramEnd"/>
      <w:r>
        <w:t xml:space="preserve"> Future, Page 23. Three indicative</w:t>
      </w:r>
    </w:p>
    <w:p w:rsidR="003A4261" w:rsidRDefault="003A4261" w:rsidP="003A4261">
      <w:pPr>
        <w:autoSpaceDE w:val="0"/>
        <w:autoSpaceDN w:val="0"/>
        <w:adjustRightInd w:val="0"/>
      </w:pPr>
      <w:r>
        <w:rPr>
          <w:sz w:val="16"/>
          <w:szCs w:val="16"/>
        </w:rPr>
        <w:t xml:space="preserve"> </w:t>
      </w:r>
      <w:proofErr w:type="gramStart"/>
      <w:r>
        <w:t>investment</w:t>
      </w:r>
      <w:proofErr w:type="gramEnd"/>
      <w:r>
        <w:t xml:space="preserve"> scenarios over a 5 year planning period were discussed. </w:t>
      </w:r>
    </w:p>
    <w:p w:rsidR="00A357DB" w:rsidRPr="003A4261" w:rsidRDefault="00A357DB" w:rsidP="00A357DB">
      <w:pPr>
        <w:autoSpaceDE w:val="0"/>
        <w:autoSpaceDN w:val="0"/>
        <w:adjustRightInd w:val="0"/>
        <w:rPr>
          <w:b/>
        </w:rPr>
      </w:pPr>
      <w:r w:rsidRPr="003A4261">
        <w:rPr>
          <w:b/>
        </w:rPr>
        <w:t xml:space="preserve">Respective </w:t>
      </w:r>
      <w:proofErr w:type="gramStart"/>
      <w:r w:rsidRPr="003A4261">
        <w:rPr>
          <w:b/>
        </w:rPr>
        <w:t xml:space="preserve">reliability </w:t>
      </w:r>
      <w:r w:rsidRPr="003A4261">
        <w:rPr>
          <w:b/>
          <w:sz w:val="16"/>
          <w:szCs w:val="16"/>
        </w:rPr>
        <w:t xml:space="preserve"> </w:t>
      </w:r>
      <w:r w:rsidRPr="003A4261">
        <w:rPr>
          <w:b/>
        </w:rPr>
        <w:t>risk</w:t>
      </w:r>
      <w:proofErr w:type="gramEnd"/>
      <w:r w:rsidRPr="003A4261">
        <w:rPr>
          <w:b/>
        </w:rPr>
        <w:t xml:space="preserve"> associated with Scenario 1, 2 and 3 are increased by 9%, increased by 2% and reduced by 10%.</w:t>
      </w:r>
    </w:p>
    <w:p w:rsidR="00A357DB" w:rsidRPr="003A4261" w:rsidRDefault="00A357DB" w:rsidP="00A357DB">
      <w:pPr>
        <w:autoSpaceDE w:val="0"/>
        <w:autoSpaceDN w:val="0"/>
        <w:adjustRightInd w:val="0"/>
        <w:rPr>
          <w:b/>
        </w:rPr>
      </w:pPr>
    </w:p>
    <w:p w:rsidR="00A357DB" w:rsidRPr="003A4261" w:rsidRDefault="00A357DB" w:rsidP="00A357DB">
      <w:pPr>
        <w:autoSpaceDE w:val="0"/>
        <w:autoSpaceDN w:val="0"/>
        <w:adjustRightInd w:val="0"/>
        <w:rPr>
          <w:b/>
        </w:rPr>
      </w:pPr>
    </w:p>
    <w:p w:rsidR="003A4261" w:rsidRPr="0053729E" w:rsidRDefault="003A4261" w:rsidP="0053729E">
      <w:pPr>
        <w:pStyle w:val="ListParagraph"/>
        <w:numPr>
          <w:ilvl w:val="0"/>
          <w:numId w:val="3"/>
        </w:numPr>
        <w:spacing w:after="200" w:line="276" w:lineRule="auto"/>
        <w:rPr>
          <w:b/>
          <w:bCs/>
        </w:rPr>
      </w:pPr>
      <w:r w:rsidRPr="0053729E">
        <w:rPr>
          <w:b/>
          <w:bCs/>
        </w:rPr>
        <w:t>What does the Risk Reliability Model -cover just Sustainment Capital as indicated in response to part a) or any other classes of Capital Investment as well e.g. Control Centre?</w:t>
      </w:r>
    </w:p>
    <w:p w:rsidR="003A4261" w:rsidRDefault="003A4261" w:rsidP="003A4261">
      <w:pPr>
        <w:autoSpaceDE w:val="0"/>
        <w:autoSpaceDN w:val="0"/>
        <w:adjustRightInd w:val="0"/>
        <w:rPr>
          <w:b/>
        </w:rPr>
      </w:pPr>
      <w:r w:rsidRPr="003A4261">
        <w:rPr>
          <w:b/>
          <w:bCs/>
        </w:rPr>
        <w:t xml:space="preserve">Of the 3 Investment Scenarios </w:t>
      </w:r>
      <w:proofErr w:type="gramStart"/>
      <w:r w:rsidRPr="003A4261">
        <w:rPr>
          <w:b/>
        </w:rPr>
        <w:t>Attachment</w:t>
      </w:r>
      <w:proofErr w:type="gramEnd"/>
      <w:r w:rsidRPr="003A4261">
        <w:rPr>
          <w:b/>
        </w:rPr>
        <w:t xml:space="preserve"> 2, </w:t>
      </w:r>
      <w:proofErr w:type="spellStart"/>
      <w:r w:rsidRPr="003A4261">
        <w:rPr>
          <w:b/>
        </w:rPr>
        <w:t>Ipsos</w:t>
      </w:r>
      <w:proofErr w:type="spellEnd"/>
      <w:r w:rsidRPr="003A4261">
        <w:rPr>
          <w:b/>
        </w:rPr>
        <w:t xml:space="preserve"> Report page 24 </w:t>
      </w:r>
      <w:r w:rsidRPr="003A4261">
        <w:rPr>
          <w:b/>
          <w:bCs/>
        </w:rPr>
        <w:t xml:space="preserve">presented to the Consultation </w:t>
      </w:r>
      <w:r w:rsidRPr="003A4261">
        <w:rPr>
          <w:b/>
        </w:rPr>
        <w:t xml:space="preserve">Exhibit B1, Tab 2, Schedule 2, it says on Page 14 </w:t>
      </w:r>
    </w:p>
    <w:p w:rsidR="003A4261" w:rsidRPr="003A4261" w:rsidRDefault="003A4261" w:rsidP="003A4261">
      <w:pPr>
        <w:autoSpaceDE w:val="0"/>
        <w:autoSpaceDN w:val="0"/>
        <w:adjustRightInd w:val="0"/>
        <w:ind w:left="720"/>
      </w:pPr>
      <w:r>
        <w:rPr>
          <w:b/>
        </w:rPr>
        <w:t>“</w:t>
      </w:r>
      <w:proofErr w:type="gramStart"/>
      <w:r w:rsidRPr="003A4261">
        <w:t>the</w:t>
      </w:r>
      <w:proofErr w:type="gramEnd"/>
      <w:r w:rsidRPr="003A4261">
        <w:t xml:space="preserve"> majority of participants </w:t>
      </w:r>
      <w:r w:rsidRPr="003A4261">
        <w:rPr>
          <w:color w:val="000000"/>
        </w:rPr>
        <w:t xml:space="preserve">would be willing to support the investment required to at least maintain the current level of reliability risk. The general sentiment, overall, was that the right balance between reliability risk and rates is somewhere between Illustrative </w:t>
      </w:r>
      <w:r w:rsidRPr="003A4261">
        <w:rPr>
          <w:color w:val="000000"/>
        </w:rPr>
        <w:lastRenderedPageBreak/>
        <w:t xml:space="preserve">Scenario 2 (6.3% rate increase for an essentially unchanged reliability risk) and Scenario 3 (6.8%rate increase for approximately 10% improvement in reliability risk).” </w:t>
      </w:r>
    </w:p>
    <w:p w:rsidR="00253265" w:rsidRDefault="0053729E" w:rsidP="00A357DB">
      <w:pPr>
        <w:autoSpaceDE w:val="0"/>
        <w:autoSpaceDN w:val="0"/>
        <w:adjustRightInd w:val="0"/>
        <w:rPr>
          <w:b/>
          <w:bCs/>
        </w:rPr>
      </w:pPr>
      <w:r>
        <w:rPr>
          <w:b/>
        </w:rPr>
        <w:t xml:space="preserve">2. </w:t>
      </w:r>
      <w:r w:rsidR="000F0586">
        <w:rPr>
          <w:b/>
        </w:rPr>
        <w:t xml:space="preserve"> </w:t>
      </w:r>
      <w:r w:rsidR="00A357DB">
        <w:rPr>
          <w:b/>
        </w:rPr>
        <w:t>W</w:t>
      </w:r>
      <w:r w:rsidR="00A357DB">
        <w:rPr>
          <w:b/>
          <w:bCs/>
        </w:rPr>
        <w:t>hich</w:t>
      </w:r>
      <w:r w:rsidR="000F0586">
        <w:rPr>
          <w:b/>
          <w:bCs/>
        </w:rPr>
        <w:t xml:space="preserve"> </w:t>
      </w:r>
      <w:r w:rsidR="00A357DB">
        <w:rPr>
          <w:b/>
          <w:bCs/>
        </w:rPr>
        <w:t>(Sustaining?) Investment Scenario and Rate Increase presented in the Consultation is closest to</w:t>
      </w:r>
    </w:p>
    <w:p w:rsidR="00253265" w:rsidRDefault="00253265" w:rsidP="00A357DB">
      <w:pPr>
        <w:autoSpaceDE w:val="0"/>
        <w:autoSpaceDN w:val="0"/>
        <w:adjustRightInd w:val="0"/>
        <w:rPr>
          <w:b/>
          <w:bCs/>
        </w:rPr>
      </w:pPr>
      <w:r>
        <w:rPr>
          <w:b/>
          <w:bCs/>
        </w:rPr>
        <w:t xml:space="preserve"> a) </w:t>
      </w:r>
      <w:proofErr w:type="gramStart"/>
      <w:r w:rsidR="00A357DB">
        <w:rPr>
          <w:b/>
          <w:bCs/>
        </w:rPr>
        <w:t>the</w:t>
      </w:r>
      <w:proofErr w:type="gramEnd"/>
      <w:r w:rsidR="00A357DB">
        <w:rPr>
          <w:b/>
          <w:bCs/>
        </w:rPr>
        <w:t xml:space="preserve"> participant</w:t>
      </w:r>
      <w:r>
        <w:rPr>
          <w:b/>
          <w:bCs/>
        </w:rPr>
        <w:t>’</w:t>
      </w:r>
      <w:r w:rsidR="00A357DB">
        <w:rPr>
          <w:b/>
          <w:bCs/>
        </w:rPr>
        <w:t>s expressed preference</w:t>
      </w:r>
      <w:r>
        <w:rPr>
          <w:b/>
          <w:bCs/>
        </w:rPr>
        <w:t xml:space="preserve"> and</w:t>
      </w:r>
    </w:p>
    <w:p w:rsidR="00253265" w:rsidRDefault="00A357DB" w:rsidP="00A357DB">
      <w:pPr>
        <w:autoSpaceDE w:val="0"/>
        <w:autoSpaceDN w:val="0"/>
        <w:adjustRightInd w:val="0"/>
        <w:rPr>
          <w:b/>
          <w:bCs/>
        </w:rPr>
      </w:pPr>
      <w:r>
        <w:rPr>
          <w:b/>
          <w:bCs/>
        </w:rPr>
        <w:t xml:space="preserve"> </w:t>
      </w:r>
      <w:r w:rsidR="00253265">
        <w:rPr>
          <w:b/>
          <w:bCs/>
        </w:rPr>
        <w:t xml:space="preserve">b) </w:t>
      </w:r>
      <w:r>
        <w:rPr>
          <w:b/>
          <w:bCs/>
        </w:rPr>
        <w:t>Hydro One proposal</w:t>
      </w:r>
      <w:r w:rsidRPr="00A85F67">
        <w:rPr>
          <w:b/>
          <w:bCs/>
        </w:rPr>
        <w:t xml:space="preserve"> </w:t>
      </w:r>
      <w:r>
        <w:rPr>
          <w:b/>
          <w:bCs/>
        </w:rPr>
        <w:t xml:space="preserve">Preferred Scenario as shown Table 2  </w:t>
      </w:r>
      <w:r w:rsidR="00253265">
        <w:rPr>
          <w:b/>
          <w:bCs/>
        </w:rPr>
        <w:t xml:space="preserve"> </w:t>
      </w:r>
    </w:p>
    <w:p w:rsidR="00A357DB" w:rsidRDefault="00253265" w:rsidP="00A357DB">
      <w:pPr>
        <w:autoSpaceDE w:val="0"/>
        <w:autoSpaceDN w:val="0"/>
        <w:adjustRightInd w:val="0"/>
        <w:rPr>
          <w:b/>
          <w:bCs/>
        </w:rPr>
      </w:pPr>
      <w:r>
        <w:rPr>
          <w:b/>
          <w:bCs/>
        </w:rPr>
        <w:t xml:space="preserve">Include </w:t>
      </w:r>
      <w:r w:rsidR="00A357DB">
        <w:rPr>
          <w:b/>
          <w:bCs/>
        </w:rPr>
        <w:t>Investment amount</w:t>
      </w:r>
      <w:r>
        <w:rPr>
          <w:b/>
          <w:bCs/>
        </w:rPr>
        <w:t xml:space="preserve"> 2016-</w:t>
      </w:r>
      <w:proofErr w:type="gramStart"/>
      <w:r>
        <w:rPr>
          <w:b/>
          <w:bCs/>
        </w:rPr>
        <w:t xml:space="preserve">2020 </w:t>
      </w:r>
      <w:r w:rsidR="00A357DB">
        <w:rPr>
          <w:b/>
          <w:bCs/>
        </w:rPr>
        <w:t xml:space="preserve"> and</w:t>
      </w:r>
      <w:proofErr w:type="gramEnd"/>
      <w:r w:rsidR="00A357DB">
        <w:rPr>
          <w:b/>
          <w:bCs/>
        </w:rPr>
        <w:t xml:space="preserve"> </w:t>
      </w:r>
      <w:r w:rsidR="000F0586">
        <w:rPr>
          <w:b/>
          <w:bCs/>
        </w:rPr>
        <w:t xml:space="preserve">associated </w:t>
      </w:r>
      <w:r>
        <w:rPr>
          <w:b/>
          <w:bCs/>
        </w:rPr>
        <w:t>average “</w:t>
      </w:r>
      <w:r w:rsidR="00A357DB">
        <w:rPr>
          <w:b/>
          <w:bCs/>
        </w:rPr>
        <w:t>Rate Increase</w:t>
      </w:r>
      <w:r>
        <w:rPr>
          <w:b/>
          <w:bCs/>
        </w:rPr>
        <w:t>”</w:t>
      </w:r>
      <w:r w:rsidR="000F0586">
        <w:rPr>
          <w:b/>
          <w:bCs/>
        </w:rPr>
        <w:t>.</w:t>
      </w:r>
    </w:p>
    <w:p w:rsidR="00E75361" w:rsidRDefault="00E75361" w:rsidP="00A357DB">
      <w:pPr>
        <w:autoSpaceDE w:val="0"/>
        <w:autoSpaceDN w:val="0"/>
        <w:adjustRightInd w:val="0"/>
        <w:rPr>
          <w:b/>
          <w:bCs/>
        </w:rPr>
      </w:pPr>
    </w:p>
    <w:p w:rsidR="00E75361" w:rsidRPr="00E75361" w:rsidRDefault="0053729E" w:rsidP="00A357DB">
      <w:pPr>
        <w:autoSpaceDE w:val="0"/>
        <w:autoSpaceDN w:val="0"/>
        <w:adjustRightInd w:val="0"/>
        <w:rPr>
          <w:b/>
          <w:bCs/>
        </w:rPr>
      </w:pPr>
      <w:r>
        <w:rPr>
          <w:b/>
          <w:bCs/>
        </w:rPr>
        <w:t>3.</w:t>
      </w:r>
      <w:r w:rsidR="000F0586">
        <w:rPr>
          <w:b/>
          <w:bCs/>
        </w:rPr>
        <w:t xml:space="preserve"> </w:t>
      </w:r>
      <w:r w:rsidR="00E75361" w:rsidRPr="00E75361">
        <w:rPr>
          <w:b/>
          <w:bCs/>
        </w:rPr>
        <w:t>The Process for Optimization of the Capital Plan and Investment Portfolio (</w:t>
      </w:r>
      <w:r w:rsidR="00E75361" w:rsidRPr="00E75361">
        <w:rPr>
          <w:b/>
        </w:rPr>
        <w:t>B1Tab 3</w:t>
      </w:r>
      <w:r w:rsidR="000F0586">
        <w:rPr>
          <w:b/>
        </w:rPr>
        <w:t xml:space="preserve"> </w:t>
      </w:r>
      <w:r w:rsidR="00E75361" w:rsidRPr="00E75361">
        <w:rPr>
          <w:b/>
        </w:rPr>
        <w:t xml:space="preserve">Schedule 1Page 1) </w:t>
      </w:r>
      <w:r w:rsidR="00E75361" w:rsidRPr="00E75361">
        <w:rPr>
          <w:b/>
          <w:bCs/>
        </w:rPr>
        <w:t xml:space="preserve">using the Risk Reliability Model is shown at </w:t>
      </w:r>
      <w:r w:rsidR="007E519F">
        <w:rPr>
          <w:b/>
          <w:bCs/>
        </w:rPr>
        <w:t xml:space="preserve">Exhibit </w:t>
      </w:r>
      <w:r w:rsidR="00E75361" w:rsidRPr="00E75361">
        <w:rPr>
          <w:b/>
          <w:bCs/>
        </w:rPr>
        <w:t>B1 Tab2 Schedule 7 Table 6 Page 15.</w:t>
      </w:r>
    </w:p>
    <w:p w:rsidR="00E75361" w:rsidRDefault="00E75361" w:rsidP="00A357DB">
      <w:pPr>
        <w:autoSpaceDE w:val="0"/>
        <w:autoSpaceDN w:val="0"/>
        <w:adjustRightInd w:val="0"/>
        <w:rPr>
          <w:b/>
          <w:bCs/>
        </w:rPr>
      </w:pPr>
    </w:p>
    <w:p w:rsidR="00E75361" w:rsidRDefault="00E75361" w:rsidP="00E75361">
      <w:pPr>
        <w:autoSpaceDE w:val="0"/>
        <w:autoSpaceDN w:val="0"/>
        <w:adjustRightInd w:val="0"/>
        <w:rPr>
          <w:b/>
          <w:bCs/>
        </w:rPr>
      </w:pPr>
      <w:r>
        <w:rPr>
          <w:b/>
          <w:bCs/>
        </w:rPr>
        <w:t>How are the “asks” for each of the 5 major Capital Investment categories balanced particularly with the pressure for Sustaining reliability-related investments</w:t>
      </w:r>
    </w:p>
    <w:p w:rsidR="007E519F" w:rsidRDefault="007E519F" w:rsidP="00E75361">
      <w:pPr>
        <w:autoSpaceDE w:val="0"/>
        <w:autoSpaceDN w:val="0"/>
        <w:adjustRightInd w:val="0"/>
        <w:rPr>
          <w:b/>
          <w:bCs/>
        </w:rPr>
      </w:pPr>
    </w:p>
    <w:p w:rsidR="00E75361" w:rsidRDefault="00E75361" w:rsidP="00E75361">
      <w:pPr>
        <w:autoSpaceDE w:val="0"/>
        <w:autoSpaceDN w:val="0"/>
        <w:adjustRightInd w:val="0"/>
        <w:rPr>
          <w:b/>
          <w:bCs/>
        </w:rPr>
      </w:pPr>
      <w:r>
        <w:rPr>
          <w:b/>
          <w:bCs/>
        </w:rPr>
        <w:t xml:space="preserve">Specifically we would like to understand where and </w:t>
      </w:r>
      <w:r w:rsidR="007E519F">
        <w:rPr>
          <w:b/>
          <w:bCs/>
        </w:rPr>
        <w:t xml:space="preserve">approximately </w:t>
      </w:r>
      <w:r>
        <w:rPr>
          <w:b/>
          <w:bCs/>
        </w:rPr>
        <w:t xml:space="preserve">how the trade-offs were made in the other 4 areas of Capital </w:t>
      </w:r>
      <w:r w:rsidR="000F0586">
        <w:rPr>
          <w:b/>
          <w:bCs/>
        </w:rPr>
        <w:t xml:space="preserve">Investment </w:t>
      </w:r>
      <w:r>
        <w:rPr>
          <w:b/>
          <w:bCs/>
        </w:rPr>
        <w:t xml:space="preserve">to accommodate the </w:t>
      </w:r>
      <w:r w:rsidR="000F0586">
        <w:rPr>
          <w:b/>
          <w:bCs/>
        </w:rPr>
        <w:t xml:space="preserve">$400-500 million </w:t>
      </w:r>
      <w:r>
        <w:rPr>
          <w:b/>
          <w:bCs/>
        </w:rPr>
        <w:t>increased investments</w:t>
      </w:r>
      <w:r w:rsidR="007E519F">
        <w:rPr>
          <w:b/>
          <w:bCs/>
        </w:rPr>
        <w:t xml:space="preserve"> for R</w:t>
      </w:r>
      <w:r>
        <w:rPr>
          <w:b/>
          <w:bCs/>
        </w:rPr>
        <w:t>eliability.</w:t>
      </w:r>
    </w:p>
    <w:p w:rsidR="000F0586" w:rsidRDefault="000F0586" w:rsidP="007E519F">
      <w:pPr>
        <w:autoSpaceDE w:val="0"/>
        <w:autoSpaceDN w:val="0"/>
        <w:adjustRightInd w:val="0"/>
      </w:pPr>
    </w:p>
    <w:p w:rsidR="007E519F" w:rsidRPr="000F0586" w:rsidRDefault="000F0586" w:rsidP="007E519F">
      <w:pPr>
        <w:autoSpaceDE w:val="0"/>
        <w:autoSpaceDN w:val="0"/>
        <w:adjustRightInd w:val="0"/>
        <w:rPr>
          <w:b/>
          <w:bCs/>
        </w:rPr>
      </w:pPr>
      <w:r w:rsidRPr="000F0586">
        <w:rPr>
          <w:b/>
        </w:rPr>
        <w:t>Pl</w:t>
      </w:r>
      <w:r w:rsidR="007E519F" w:rsidRPr="000F0586">
        <w:rPr>
          <w:b/>
        </w:rPr>
        <w:t xml:space="preserve">ease provide </w:t>
      </w:r>
      <w:r w:rsidRPr="000F0586">
        <w:rPr>
          <w:b/>
        </w:rPr>
        <w:t xml:space="preserve">illustrative </w:t>
      </w:r>
      <w:r w:rsidR="007E519F" w:rsidRPr="000F0586">
        <w:rPr>
          <w:b/>
        </w:rPr>
        <w:t xml:space="preserve">high level Budgets for each step of </w:t>
      </w:r>
      <w:proofErr w:type="gramStart"/>
      <w:r w:rsidR="007E519F" w:rsidRPr="000F0586">
        <w:rPr>
          <w:b/>
        </w:rPr>
        <w:t xml:space="preserve">the  </w:t>
      </w:r>
      <w:r>
        <w:rPr>
          <w:b/>
        </w:rPr>
        <w:t>optimization</w:t>
      </w:r>
      <w:proofErr w:type="gramEnd"/>
      <w:r>
        <w:rPr>
          <w:b/>
        </w:rPr>
        <w:t xml:space="preserve"> </w:t>
      </w:r>
      <w:r w:rsidR="007E519F" w:rsidRPr="000F0586">
        <w:rPr>
          <w:b/>
        </w:rPr>
        <w:t xml:space="preserve">process </w:t>
      </w:r>
      <w:r w:rsidR="007E519F" w:rsidRPr="000F0586">
        <w:rPr>
          <w:b/>
          <w:bCs/>
        </w:rPr>
        <w:t>Exhibit  B1 Tab2 Schedule 7 Table 6 Page 15.</w:t>
      </w:r>
    </w:p>
    <w:p w:rsidR="00A357DB" w:rsidRPr="00A357DB" w:rsidRDefault="00A357DB" w:rsidP="00A357DB"/>
    <w:sectPr w:rsidR="00A357DB" w:rsidRPr="00A357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7C7F"/>
    <w:multiLevelType w:val="hybridMultilevel"/>
    <w:tmpl w:val="BE8A2C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0FF35D2"/>
    <w:multiLevelType w:val="hybridMultilevel"/>
    <w:tmpl w:val="B016AB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EBE1FD2"/>
    <w:multiLevelType w:val="hybridMultilevel"/>
    <w:tmpl w:val="F7C61FC0"/>
    <w:lvl w:ilvl="0" w:tplc="354E8298">
      <w:start w:val="1"/>
      <w:numFmt w:val="lowerLetter"/>
      <w:pStyle w:val="Heading2a"/>
      <w:lvlText w:val="(%1)"/>
      <w:lvlJc w:val="left"/>
      <w:pPr>
        <w:ind w:left="1636"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7DB"/>
    <w:rsid w:val="000157A5"/>
    <w:rsid w:val="000F0586"/>
    <w:rsid w:val="000F3F21"/>
    <w:rsid w:val="00221269"/>
    <w:rsid w:val="00253265"/>
    <w:rsid w:val="00281FC4"/>
    <w:rsid w:val="003A4261"/>
    <w:rsid w:val="004A2271"/>
    <w:rsid w:val="004E34D9"/>
    <w:rsid w:val="0053729E"/>
    <w:rsid w:val="00607F13"/>
    <w:rsid w:val="00653BC8"/>
    <w:rsid w:val="00742E9F"/>
    <w:rsid w:val="007C3F55"/>
    <w:rsid w:val="007E519F"/>
    <w:rsid w:val="00871712"/>
    <w:rsid w:val="008F5664"/>
    <w:rsid w:val="00965865"/>
    <w:rsid w:val="00A318EB"/>
    <w:rsid w:val="00A357DB"/>
    <w:rsid w:val="00CE7DE9"/>
    <w:rsid w:val="00CF497F"/>
    <w:rsid w:val="00D81470"/>
    <w:rsid w:val="00E22454"/>
    <w:rsid w:val="00E75361"/>
    <w:rsid w:val="00EE3A98"/>
    <w:rsid w:val="00F12D5B"/>
    <w:rsid w:val="00F41B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C4"/>
    <w:pPr>
      <w:spacing w:after="0" w:line="240" w:lineRule="auto"/>
    </w:pPr>
  </w:style>
  <w:style w:type="paragraph" w:styleId="Heading1">
    <w:name w:val="heading 1"/>
    <w:basedOn w:val="Normal"/>
    <w:next w:val="Normal"/>
    <w:link w:val="Heading1Char"/>
    <w:qFormat/>
    <w:rsid w:val="00281FC4"/>
    <w:pPr>
      <w:keepNext/>
      <w:jc w:val="center"/>
      <w:outlineLvl w:val="0"/>
    </w:pPr>
    <w:rPr>
      <w:rFonts w:ascii="Arial" w:hAnsi="Arial" w:cs="Arial"/>
      <w:b/>
      <w:bCs/>
      <w:sz w:val="48"/>
    </w:rPr>
  </w:style>
  <w:style w:type="paragraph" w:styleId="Heading8">
    <w:name w:val="heading 8"/>
    <w:basedOn w:val="Normal"/>
    <w:next w:val="Normal"/>
    <w:link w:val="Heading8Char"/>
    <w:qFormat/>
    <w:rsid w:val="00281FC4"/>
    <w:pPr>
      <w:keepNext/>
      <w:jc w:val="both"/>
      <w:outlineLvl w:val="7"/>
    </w:pPr>
    <w:rPr>
      <w:rFonts w:ascii="Arial" w:hAnsi="Arial"/>
      <w:b/>
      <w:b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FC4"/>
    <w:rPr>
      <w:rFonts w:ascii="Arial" w:eastAsia="Times New Roman" w:hAnsi="Arial" w:cs="Arial"/>
      <w:b/>
      <w:bCs/>
      <w:sz w:val="48"/>
      <w:szCs w:val="24"/>
      <w:lang w:val="en-US"/>
    </w:rPr>
  </w:style>
  <w:style w:type="character" w:customStyle="1" w:styleId="Heading8Char">
    <w:name w:val="Heading 8 Char"/>
    <w:basedOn w:val="DefaultParagraphFont"/>
    <w:link w:val="Heading8"/>
    <w:rsid w:val="00281FC4"/>
    <w:rPr>
      <w:rFonts w:ascii="Arial" w:eastAsia="Times New Roman" w:hAnsi="Arial" w:cs="Times New Roman"/>
      <w:b/>
      <w:bCs/>
      <w:spacing w:val="-5"/>
      <w:sz w:val="20"/>
      <w:szCs w:val="20"/>
      <w:lang w:val="en-US"/>
    </w:rPr>
  </w:style>
  <w:style w:type="paragraph" w:styleId="Header">
    <w:name w:val="header"/>
    <w:basedOn w:val="Normal"/>
    <w:link w:val="HeaderChar"/>
    <w:semiHidden/>
    <w:rsid w:val="00281FC4"/>
    <w:pPr>
      <w:tabs>
        <w:tab w:val="center" w:pos="4320"/>
        <w:tab w:val="right" w:pos="8640"/>
      </w:tabs>
      <w:jc w:val="both"/>
    </w:pPr>
    <w:rPr>
      <w:rFonts w:ascii="Arial" w:hAnsi="Arial"/>
      <w:spacing w:val="-5"/>
      <w:sz w:val="20"/>
      <w:szCs w:val="20"/>
    </w:rPr>
  </w:style>
  <w:style w:type="character" w:customStyle="1" w:styleId="HeaderChar">
    <w:name w:val="Header Char"/>
    <w:basedOn w:val="DefaultParagraphFont"/>
    <w:link w:val="Header"/>
    <w:semiHidden/>
    <w:rsid w:val="00281FC4"/>
    <w:rPr>
      <w:rFonts w:ascii="Arial" w:eastAsia="Times New Roman" w:hAnsi="Arial" w:cs="Times New Roman"/>
      <w:spacing w:val="-5"/>
      <w:sz w:val="20"/>
      <w:szCs w:val="20"/>
      <w:lang w:val="en-US"/>
    </w:rPr>
  </w:style>
  <w:style w:type="paragraph" w:styleId="Footer">
    <w:name w:val="footer"/>
    <w:basedOn w:val="Normal"/>
    <w:link w:val="FooterChar"/>
    <w:uiPriority w:val="99"/>
    <w:rsid w:val="00281FC4"/>
    <w:pPr>
      <w:tabs>
        <w:tab w:val="center" w:pos="4320"/>
        <w:tab w:val="right" w:pos="8640"/>
      </w:tabs>
    </w:pPr>
  </w:style>
  <w:style w:type="character" w:customStyle="1" w:styleId="FooterChar">
    <w:name w:val="Footer Char"/>
    <w:basedOn w:val="DefaultParagraphFont"/>
    <w:link w:val="Footer"/>
    <w:uiPriority w:val="99"/>
    <w:rsid w:val="00281FC4"/>
    <w:rPr>
      <w:rFonts w:ascii="Times New Roman" w:eastAsia="Times New Roman" w:hAnsi="Times New Roman" w:cs="Times New Roman"/>
      <w:sz w:val="24"/>
      <w:szCs w:val="24"/>
      <w:lang w:val="en-US"/>
    </w:rPr>
  </w:style>
  <w:style w:type="paragraph" w:customStyle="1" w:styleId="Default">
    <w:name w:val="Default"/>
    <w:rsid w:val="00281FC4"/>
    <w:pPr>
      <w:autoSpaceDE w:val="0"/>
      <w:autoSpaceDN w:val="0"/>
      <w:adjustRightInd w:val="0"/>
      <w:spacing w:after="0" w:line="240" w:lineRule="auto"/>
    </w:pPr>
    <w:rPr>
      <w:rFonts w:ascii="Arial" w:eastAsia="SimSun" w:hAnsi="Arial" w:cs="Arial"/>
      <w:color w:val="000000"/>
      <w:lang w:val="en-US" w:eastAsia="zh-CN"/>
    </w:rPr>
  </w:style>
  <w:style w:type="paragraph" w:customStyle="1" w:styleId="BLGLetterText">
    <w:name w:val="BLGLetterText"/>
    <w:basedOn w:val="Normal"/>
    <w:rsid w:val="008F5664"/>
    <w:pPr>
      <w:spacing w:before="240"/>
    </w:pPr>
    <w:rPr>
      <w:rFonts w:eastAsia="Calibri"/>
      <w:szCs w:val="22"/>
    </w:rPr>
  </w:style>
  <w:style w:type="paragraph" w:styleId="ListParagraph">
    <w:name w:val="List Paragraph"/>
    <w:basedOn w:val="Normal"/>
    <w:uiPriority w:val="34"/>
    <w:qFormat/>
    <w:rsid w:val="008F5664"/>
    <w:pPr>
      <w:ind w:left="720"/>
      <w:contextualSpacing/>
    </w:pPr>
  </w:style>
  <w:style w:type="paragraph" w:customStyle="1" w:styleId="Heading2a">
    <w:name w:val="Heading 2 (a)"/>
    <w:basedOn w:val="BLGLetterText"/>
    <w:qFormat/>
    <w:rsid w:val="00EE3A98"/>
    <w:pPr>
      <w:numPr>
        <w:numId w:val="2"/>
      </w:numPr>
      <w:tabs>
        <w:tab w:val="left" w:pos="1440"/>
      </w:tabs>
      <w:ind w:left="1440" w:hanging="720"/>
      <w:jc w:val="both"/>
    </w:pPr>
  </w:style>
  <w:style w:type="paragraph" w:styleId="BodyText">
    <w:name w:val="Body Text"/>
    <w:basedOn w:val="Normal"/>
    <w:link w:val="BodyTextChar"/>
    <w:semiHidden/>
    <w:rsid w:val="00742E9F"/>
    <w:pPr>
      <w:jc w:val="both"/>
    </w:pPr>
    <w:rPr>
      <w:sz w:val="22"/>
    </w:rPr>
  </w:style>
  <w:style w:type="character" w:customStyle="1" w:styleId="BodyTextChar">
    <w:name w:val="Body Text Char"/>
    <w:basedOn w:val="DefaultParagraphFont"/>
    <w:link w:val="BodyText"/>
    <w:semiHidden/>
    <w:rsid w:val="00742E9F"/>
    <w:rPr>
      <w:rFonts w:ascii="Times New Roman" w:hAnsi="Times New Roman" w:cs="Times New Roman"/>
      <w:szCs w:val="24"/>
    </w:rPr>
  </w:style>
  <w:style w:type="paragraph" w:customStyle="1" w:styleId="DoubleIndent">
    <w:name w:val="Double Indent"/>
    <w:aliases w:val="di"/>
    <w:basedOn w:val="BodyText"/>
    <w:next w:val="BodyText"/>
    <w:rsid w:val="00742E9F"/>
    <w:pPr>
      <w:spacing w:after="240"/>
      <w:ind w:left="1440" w:right="1440"/>
    </w:pPr>
    <w:rPr>
      <w:rFonts w:eastAsia="Calibr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C4"/>
    <w:pPr>
      <w:spacing w:after="0" w:line="240" w:lineRule="auto"/>
    </w:pPr>
  </w:style>
  <w:style w:type="paragraph" w:styleId="Heading1">
    <w:name w:val="heading 1"/>
    <w:basedOn w:val="Normal"/>
    <w:next w:val="Normal"/>
    <w:link w:val="Heading1Char"/>
    <w:qFormat/>
    <w:rsid w:val="00281FC4"/>
    <w:pPr>
      <w:keepNext/>
      <w:jc w:val="center"/>
      <w:outlineLvl w:val="0"/>
    </w:pPr>
    <w:rPr>
      <w:rFonts w:ascii="Arial" w:hAnsi="Arial" w:cs="Arial"/>
      <w:b/>
      <w:bCs/>
      <w:sz w:val="48"/>
    </w:rPr>
  </w:style>
  <w:style w:type="paragraph" w:styleId="Heading8">
    <w:name w:val="heading 8"/>
    <w:basedOn w:val="Normal"/>
    <w:next w:val="Normal"/>
    <w:link w:val="Heading8Char"/>
    <w:qFormat/>
    <w:rsid w:val="00281FC4"/>
    <w:pPr>
      <w:keepNext/>
      <w:jc w:val="both"/>
      <w:outlineLvl w:val="7"/>
    </w:pPr>
    <w:rPr>
      <w:rFonts w:ascii="Arial" w:hAnsi="Arial"/>
      <w:b/>
      <w:b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FC4"/>
    <w:rPr>
      <w:rFonts w:ascii="Arial" w:eastAsia="Times New Roman" w:hAnsi="Arial" w:cs="Arial"/>
      <w:b/>
      <w:bCs/>
      <w:sz w:val="48"/>
      <w:szCs w:val="24"/>
      <w:lang w:val="en-US"/>
    </w:rPr>
  </w:style>
  <w:style w:type="character" w:customStyle="1" w:styleId="Heading8Char">
    <w:name w:val="Heading 8 Char"/>
    <w:basedOn w:val="DefaultParagraphFont"/>
    <w:link w:val="Heading8"/>
    <w:rsid w:val="00281FC4"/>
    <w:rPr>
      <w:rFonts w:ascii="Arial" w:eastAsia="Times New Roman" w:hAnsi="Arial" w:cs="Times New Roman"/>
      <w:b/>
      <w:bCs/>
      <w:spacing w:val="-5"/>
      <w:sz w:val="20"/>
      <w:szCs w:val="20"/>
      <w:lang w:val="en-US"/>
    </w:rPr>
  </w:style>
  <w:style w:type="paragraph" w:styleId="Header">
    <w:name w:val="header"/>
    <w:basedOn w:val="Normal"/>
    <w:link w:val="HeaderChar"/>
    <w:semiHidden/>
    <w:rsid w:val="00281FC4"/>
    <w:pPr>
      <w:tabs>
        <w:tab w:val="center" w:pos="4320"/>
        <w:tab w:val="right" w:pos="8640"/>
      </w:tabs>
      <w:jc w:val="both"/>
    </w:pPr>
    <w:rPr>
      <w:rFonts w:ascii="Arial" w:hAnsi="Arial"/>
      <w:spacing w:val="-5"/>
      <w:sz w:val="20"/>
      <w:szCs w:val="20"/>
    </w:rPr>
  </w:style>
  <w:style w:type="character" w:customStyle="1" w:styleId="HeaderChar">
    <w:name w:val="Header Char"/>
    <w:basedOn w:val="DefaultParagraphFont"/>
    <w:link w:val="Header"/>
    <w:semiHidden/>
    <w:rsid w:val="00281FC4"/>
    <w:rPr>
      <w:rFonts w:ascii="Arial" w:eastAsia="Times New Roman" w:hAnsi="Arial" w:cs="Times New Roman"/>
      <w:spacing w:val="-5"/>
      <w:sz w:val="20"/>
      <w:szCs w:val="20"/>
      <w:lang w:val="en-US"/>
    </w:rPr>
  </w:style>
  <w:style w:type="paragraph" w:styleId="Footer">
    <w:name w:val="footer"/>
    <w:basedOn w:val="Normal"/>
    <w:link w:val="FooterChar"/>
    <w:uiPriority w:val="99"/>
    <w:rsid w:val="00281FC4"/>
    <w:pPr>
      <w:tabs>
        <w:tab w:val="center" w:pos="4320"/>
        <w:tab w:val="right" w:pos="8640"/>
      </w:tabs>
    </w:pPr>
  </w:style>
  <w:style w:type="character" w:customStyle="1" w:styleId="FooterChar">
    <w:name w:val="Footer Char"/>
    <w:basedOn w:val="DefaultParagraphFont"/>
    <w:link w:val="Footer"/>
    <w:uiPriority w:val="99"/>
    <w:rsid w:val="00281FC4"/>
    <w:rPr>
      <w:rFonts w:ascii="Times New Roman" w:eastAsia="Times New Roman" w:hAnsi="Times New Roman" w:cs="Times New Roman"/>
      <w:sz w:val="24"/>
      <w:szCs w:val="24"/>
      <w:lang w:val="en-US"/>
    </w:rPr>
  </w:style>
  <w:style w:type="paragraph" w:customStyle="1" w:styleId="Default">
    <w:name w:val="Default"/>
    <w:rsid w:val="00281FC4"/>
    <w:pPr>
      <w:autoSpaceDE w:val="0"/>
      <w:autoSpaceDN w:val="0"/>
      <w:adjustRightInd w:val="0"/>
      <w:spacing w:after="0" w:line="240" w:lineRule="auto"/>
    </w:pPr>
    <w:rPr>
      <w:rFonts w:ascii="Arial" w:eastAsia="SimSun" w:hAnsi="Arial" w:cs="Arial"/>
      <w:color w:val="000000"/>
      <w:lang w:val="en-US" w:eastAsia="zh-CN"/>
    </w:rPr>
  </w:style>
  <w:style w:type="paragraph" w:customStyle="1" w:styleId="BLGLetterText">
    <w:name w:val="BLGLetterText"/>
    <w:basedOn w:val="Normal"/>
    <w:rsid w:val="008F5664"/>
    <w:pPr>
      <w:spacing w:before="240"/>
    </w:pPr>
    <w:rPr>
      <w:rFonts w:eastAsia="Calibri"/>
      <w:szCs w:val="22"/>
    </w:rPr>
  </w:style>
  <w:style w:type="paragraph" w:styleId="ListParagraph">
    <w:name w:val="List Paragraph"/>
    <w:basedOn w:val="Normal"/>
    <w:uiPriority w:val="34"/>
    <w:qFormat/>
    <w:rsid w:val="008F5664"/>
    <w:pPr>
      <w:ind w:left="720"/>
      <w:contextualSpacing/>
    </w:pPr>
  </w:style>
  <w:style w:type="paragraph" w:customStyle="1" w:styleId="Heading2a">
    <w:name w:val="Heading 2 (a)"/>
    <w:basedOn w:val="BLGLetterText"/>
    <w:qFormat/>
    <w:rsid w:val="00EE3A98"/>
    <w:pPr>
      <w:numPr>
        <w:numId w:val="2"/>
      </w:numPr>
      <w:tabs>
        <w:tab w:val="left" w:pos="1440"/>
      </w:tabs>
      <w:ind w:left="1440" w:hanging="720"/>
      <w:jc w:val="both"/>
    </w:pPr>
  </w:style>
  <w:style w:type="paragraph" w:styleId="BodyText">
    <w:name w:val="Body Text"/>
    <w:basedOn w:val="Normal"/>
    <w:link w:val="BodyTextChar"/>
    <w:semiHidden/>
    <w:rsid w:val="00742E9F"/>
    <w:pPr>
      <w:jc w:val="both"/>
    </w:pPr>
    <w:rPr>
      <w:sz w:val="22"/>
    </w:rPr>
  </w:style>
  <w:style w:type="character" w:customStyle="1" w:styleId="BodyTextChar">
    <w:name w:val="Body Text Char"/>
    <w:basedOn w:val="DefaultParagraphFont"/>
    <w:link w:val="BodyText"/>
    <w:semiHidden/>
    <w:rsid w:val="00742E9F"/>
    <w:rPr>
      <w:rFonts w:ascii="Times New Roman" w:hAnsi="Times New Roman" w:cs="Times New Roman"/>
      <w:szCs w:val="24"/>
    </w:rPr>
  </w:style>
  <w:style w:type="paragraph" w:customStyle="1" w:styleId="DoubleIndent">
    <w:name w:val="Double Indent"/>
    <w:aliases w:val="di"/>
    <w:basedOn w:val="BodyText"/>
    <w:next w:val="BodyText"/>
    <w:rsid w:val="00742E9F"/>
    <w:pPr>
      <w:spacing w:after="240"/>
      <w:ind w:left="1440" w:right="1440"/>
    </w:pPr>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2016-09-26T03:14:00Z</dcterms:created>
  <dcterms:modified xsi:type="dcterms:W3CDTF">2016-09-26T03:14:00Z</dcterms:modified>
</cp:coreProperties>
</file>