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957301" w:rsidRDefault="00957301" w:rsidP="00957301">
      <w:pPr>
        <w:jc w:val="center"/>
        <w:rPr>
          <w:rFonts w:ascii="Arial" w:hAnsi="Arial" w:cs="Arial"/>
          <w:b/>
          <w:sz w:val="28"/>
          <w:szCs w:val="28"/>
        </w:rPr>
      </w:pPr>
      <w:r w:rsidRPr="00957301">
        <w:rPr>
          <w:rFonts w:ascii="Arial" w:hAnsi="Arial" w:cs="Arial"/>
          <w:b/>
          <w:sz w:val="28"/>
          <w:szCs w:val="28"/>
        </w:rPr>
        <w:t>Cooperative Hydro Embrun Inc. (EB-2015-0063)</w:t>
      </w:r>
    </w:p>
    <w:p w:rsidR="00957301" w:rsidRDefault="00957301" w:rsidP="00957301">
      <w:pPr>
        <w:jc w:val="center"/>
        <w:rPr>
          <w:rFonts w:ascii="Arial" w:hAnsi="Arial" w:cs="Arial"/>
          <w:b/>
          <w:sz w:val="28"/>
          <w:szCs w:val="28"/>
        </w:rPr>
      </w:pPr>
      <w:r w:rsidRPr="00957301">
        <w:rPr>
          <w:rFonts w:ascii="Arial" w:hAnsi="Arial" w:cs="Arial"/>
          <w:b/>
          <w:sz w:val="28"/>
          <w:szCs w:val="28"/>
        </w:rPr>
        <w:t>Application Analysis</w:t>
      </w:r>
    </w:p>
    <w:p w:rsidR="00957301" w:rsidRDefault="00957301" w:rsidP="00957301">
      <w:pPr>
        <w:rPr>
          <w:rFonts w:ascii="Arial" w:hAnsi="Arial" w:cs="Arial"/>
          <w:sz w:val="24"/>
          <w:szCs w:val="24"/>
        </w:rPr>
      </w:pPr>
    </w:p>
    <w:p w:rsidR="000F638C" w:rsidRPr="00E76F46" w:rsidRDefault="00FB3DBF" w:rsidP="000F638C">
      <w:pPr>
        <w:pStyle w:val="ListParagraph"/>
        <w:numPr>
          <w:ilvl w:val="0"/>
          <w:numId w:val="1"/>
        </w:numPr>
        <w:rPr>
          <w:rFonts w:ascii="Arial" w:hAnsi="Arial" w:cs="Arial"/>
          <w:b/>
          <w:sz w:val="24"/>
          <w:szCs w:val="24"/>
        </w:rPr>
      </w:pPr>
      <w:r>
        <w:rPr>
          <w:rFonts w:ascii="Arial" w:hAnsi="Arial" w:cs="Arial"/>
          <w:b/>
          <w:sz w:val="24"/>
          <w:szCs w:val="24"/>
        </w:rPr>
        <w:t>Manager’s Summary -</w:t>
      </w:r>
      <w:r w:rsidR="00E76F46" w:rsidRPr="00E76F46">
        <w:rPr>
          <w:rFonts w:ascii="Arial" w:hAnsi="Arial" w:cs="Arial"/>
          <w:b/>
          <w:sz w:val="24"/>
          <w:szCs w:val="24"/>
        </w:rPr>
        <w:t xml:space="preserve"> Appendix 1: Current Tariff Sheet</w:t>
      </w:r>
    </w:p>
    <w:p w:rsidR="00E76F46" w:rsidRDefault="0074368A" w:rsidP="00E76F46">
      <w:pPr>
        <w:pStyle w:val="ListParagraph"/>
        <w:ind w:left="360"/>
        <w:rPr>
          <w:rFonts w:ascii="Arial" w:hAnsi="Arial" w:cs="Arial"/>
          <w:sz w:val="24"/>
          <w:szCs w:val="24"/>
        </w:rPr>
      </w:pPr>
      <w:r>
        <w:rPr>
          <w:rFonts w:ascii="Arial" w:hAnsi="Arial" w:cs="Arial"/>
          <w:sz w:val="24"/>
          <w:szCs w:val="24"/>
        </w:rPr>
        <w:t xml:space="preserve">It appears the current Tariff sheet </w:t>
      </w:r>
      <w:r w:rsidR="00E76F46">
        <w:rPr>
          <w:rFonts w:ascii="Arial" w:hAnsi="Arial" w:cs="Arial"/>
          <w:sz w:val="24"/>
          <w:szCs w:val="24"/>
        </w:rPr>
        <w:t>attached to the Manager’s Summary in Appendix 1</w:t>
      </w:r>
      <w:r>
        <w:rPr>
          <w:rFonts w:ascii="Arial" w:hAnsi="Arial" w:cs="Arial"/>
          <w:sz w:val="24"/>
          <w:szCs w:val="24"/>
        </w:rPr>
        <w:t xml:space="preserve"> is the incorrect version</w:t>
      </w:r>
      <w:r w:rsidR="00497674">
        <w:rPr>
          <w:rFonts w:ascii="Arial" w:hAnsi="Arial" w:cs="Arial"/>
          <w:sz w:val="24"/>
          <w:szCs w:val="24"/>
        </w:rPr>
        <w:t xml:space="preserve"> (not the most recent version)</w:t>
      </w:r>
      <w:r>
        <w:rPr>
          <w:rFonts w:ascii="Arial" w:hAnsi="Arial" w:cs="Arial"/>
          <w:sz w:val="24"/>
          <w:szCs w:val="24"/>
        </w:rPr>
        <w:t>. Please provide</w:t>
      </w:r>
      <w:r w:rsidR="00E76F46">
        <w:rPr>
          <w:rFonts w:ascii="Arial" w:hAnsi="Arial" w:cs="Arial"/>
          <w:sz w:val="24"/>
          <w:szCs w:val="24"/>
        </w:rPr>
        <w:t xml:space="preserve"> the correct current Tariff </w:t>
      </w:r>
      <w:r>
        <w:rPr>
          <w:rFonts w:ascii="Arial" w:hAnsi="Arial" w:cs="Arial"/>
          <w:sz w:val="24"/>
          <w:szCs w:val="24"/>
        </w:rPr>
        <w:t xml:space="preserve">EB-2014-0066 </w:t>
      </w:r>
      <w:r w:rsidR="00E76F46">
        <w:rPr>
          <w:rFonts w:ascii="Arial" w:hAnsi="Arial" w:cs="Arial"/>
          <w:sz w:val="24"/>
          <w:szCs w:val="24"/>
        </w:rPr>
        <w:t>sheet.</w:t>
      </w:r>
    </w:p>
    <w:p w:rsidR="009043EB" w:rsidRDefault="009043EB" w:rsidP="00E76F46">
      <w:pPr>
        <w:pStyle w:val="ListParagraph"/>
        <w:ind w:left="360"/>
        <w:rPr>
          <w:rFonts w:ascii="Arial" w:hAnsi="Arial" w:cs="Arial"/>
          <w:sz w:val="24"/>
          <w:szCs w:val="24"/>
        </w:rPr>
      </w:pPr>
    </w:p>
    <w:p w:rsidR="009043EB" w:rsidRPr="009043EB" w:rsidRDefault="009043EB" w:rsidP="00E76F46">
      <w:pPr>
        <w:pStyle w:val="ListParagraph"/>
        <w:ind w:left="360"/>
        <w:rPr>
          <w:rFonts w:ascii="Arial" w:hAnsi="Arial" w:cs="Arial"/>
          <w:color w:val="0070C0"/>
          <w:sz w:val="24"/>
          <w:szCs w:val="24"/>
        </w:rPr>
      </w:pPr>
      <w:r w:rsidRPr="009043EB">
        <w:rPr>
          <w:rFonts w:ascii="Arial" w:hAnsi="Arial" w:cs="Arial"/>
          <w:color w:val="0070C0"/>
          <w:sz w:val="24"/>
          <w:szCs w:val="24"/>
        </w:rPr>
        <w:t>Response:</w:t>
      </w:r>
      <w:r w:rsidR="00D00BF4">
        <w:rPr>
          <w:rFonts w:ascii="Arial" w:hAnsi="Arial" w:cs="Arial"/>
          <w:color w:val="0070C0"/>
          <w:sz w:val="24"/>
          <w:szCs w:val="24"/>
        </w:rPr>
        <w:t xml:space="preserve"> the tariff sheet from the OEB’s website is presented at Appendix A</w:t>
      </w:r>
    </w:p>
    <w:p w:rsidR="00E76F46" w:rsidRDefault="00E76F46" w:rsidP="00E76F46">
      <w:pPr>
        <w:pStyle w:val="ListParagraph"/>
        <w:ind w:left="360"/>
        <w:rPr>
          <w:rFonts w:ascii="Arial" w:hAnsi="Arial" w:cs="Arial"/>
          <w:sz w:val="24"/>
          <w:szCs w:val="24"/>
        </w:rPr>
      </w:pPr>
    </w:p>
    <w:p w:rsidR="00D95DDE" w:rsidRDefault="00D95DDE" w:rsidP="00E76F46">
      <w:pPr>
        <w:pStyle w:val="ListParagraph"/>
        <w:ind w:left="360"/>
        <w:rPr>
          <w:rFonts w:ascii="Arial" w:hAnsi="Arial" w:cs="Arial"/>
          <w:color w:val="FF0000"/>
          <w:sz w:val="24"/>
          <w:szCs w:val="24"/>
        </w:rPr>
      </w:pPr>
      <w:r>
        <w:rPr>
          <w:rFonts w:ascii="Arial" w:hAnsi="Arial" w:cs="Arial"/>
          <w:color w:val="FF0000"/>
          <w:sz w:val="24"/>
          <w:szCs w:val="24"/>
        </w:rPr>
        <w:t xml:space="preserve">Staff: </w:t>
      </w:r>
      <w:r w:rsidR="009A0243">
        <w:rPr>
          <w:rFonts w:ascii="Arial" w:hAnsi="Arial" w:cs="Arial"/>
          <w:color w:val="FF0000"/>
          <w:sz w:val="24"/>
          <w:szCs w:val="24"/>
        </w:rPr>
        <w:t>Please note t</w:t>
      </w:r>
      <w:r>
        <w:rPr>
          <w:rFonts w:ascii="Arial" w:hAnsi="Arial" w:cs="Arial"/>
          <w:color w:val="FF0000"/>
          <w:sz w:val="24"/>
          <w:szCs w:val="24"/>
        </w:rPr>
        <w:t>he current tariff sheet presented at Appendix 1</w:t>
      </w:r>
      <w:r w:rsidR="009A0243">
        <w:rPr>
          <w:rFonts w:ascii="Arial" w:hAnsi="Arial" w:cs="Arial"/>
          <w:color w:val="FF0000"/>
          <w:sz w:val="24"/>
          <w:szCs w:val="24"/>
        </w:rPr>
        <w:t xml:space="preserve"> of the Manager’s Summary is an</w:t>
      </w:r>
      <w:r>
        <w:rPr>
          <w:rFonts w:ascii="Arial" w:hAnsi="Arial" w:cs="Arial"/>
          <w:color w:val="FF0000"/>
          <w:sz w:val="24"/>
          <w:szCs w:val="24"/>
        </w:rPr>
        <w:t xml:space="preserve"> incorrect version. </w:t>
      </w:r>
    </w:p>
    <w:p w:rsidR="009A0243" w:rsidRPr="00D95DDE" w:rsidRDefault="009A0243" w:rsidP="00E76F46">
      <w:pPr>
        <w:pStyle w:val="ListParagraph"/>
        <w:ind w:left="360"/>
        <w:rPr>
          <w:rFonts w:ascii="Arial" w:hAnsi="Arial" w:cs="Arial"/>
          <w:color w:val="FF0000"/>
          <w:sz w:val="24"/>
          <w:szCs w:val="24"/>
        </w:rPr>
      </w:pPr>
    </w:p>
    <w:p w:rsidR="007E5D0C" w:rsidRPr="007E5D0C" w:rsidRDefault="007E5D0C" w:rsidP="007E5D0C">
      <w:pPr>
        <w:pStyle w:val="ListParagraph"/>
        <w:numPr>
          <w:ilvl w:val="0"/>
          <w:numId w:val="1"/>
        </w:numPr>
        <w:rPr>
          <w:rFonts w:ascii="Arial" w:hAnsi="Arial" w:cs="Arial"/>
          <w:b/>
          <w:sz w:val="24"/>
          <w:szCs w:val="24"/>
          <w:lang w:val="en-US"/>
        </w:rPr>
      </w:pPr>
      <w:r w:rsidRPr="007E5D0C">
        <w:rPr>
          <w:rFonts w:ascii="Arial" w:hAnsi="Arial" w:cs="Arial"/>
          <w:b/>
          <w:sz w:val="24"/>
          <w:szCs w:val="24"/>
          <w:lang w:val="en-US"/>
        </w:rPr>
        <w:t>Deferral and Variance Account Disposition</w:t>
      </w:r>
      <w:r w:rsidR="002F6893">
        <w:rPr>
          <w:rFonts w:ascii="Arial" w:hAnsi="Arial" w:cs="Arial"/>
          <w:b/>
          <w:sz w:val="24"/>
          <w:szCs w:val="24"/>
          <w:lang w:val="en-US"/>
        </w:rPr>
        <w:t xml:space="preserve"> (Manager’s Summary &amp; Model)</w:t>
      </w:r>
    </w:p>
    <w:p w:rsidR="00130CF7" w:rsidRDefault="00130CF7" w:rsidP="00130CF7">
      <w:pPr>
        <w:pStyle w:val="ListParagraph"/>
        <w:ind w:left="360"/>
        <w:rPr>
          <w:rFonts w:ascii="Arial" w:hAnsi="Arial" w:cs="Arial"/>
          <w:sz w:val="24"/>
          <w:szCs w:val="24"/>
        </w:rPr>
      </w:pPr>
      <w:r>
        <w:rPr>
          <w:rFonts w:ascii="Arial" w:hAnsi="Arial" w:cs="Arial"/>
          <w:sz w:val="24"/>
          <w:szCs w:val="24"/>
        </w:rPr>
        <w:t>Section 3.2.5</w:t>
      </w:r>
      <w:r w:rsidR="006418F5">
        <w:rPr>
          <w:rFonts w:ascii="Arial" w:hAnsi="Arial" w:cs="Arial"/>
          <w:sz w:val="24"/>
          <w:szCs w:val="24"/>
        </w:rPr>
        <w:t>.1</w:t>
      </w:r>
      <w:r>
        <w:rPr>
          <w:rFonts w:ascii="Arial" w:hAnsi="Arial" w:cs="Arial"/>
          <w:sz w:val="24"/>
          <w:szCs w:val="24"/>
        </w:rPr>
        <w:t xml:space="preserve"> of </w:t>
      </w:r>
      <w:r w:rsidRPr="00130CF7">
        <w:rPr>
          <w:rFonts w:ascii="Arial" w:hAnsi="Arial" w:cs="Arial"/>
          <w:sz w:val="24"/>
          <w:szCs w:val="24"/>
        </w:rPr>
        <w:t>Chapter 3 of the Filing Requirements for Electricity Transmission</w:t>
      </w:r>
      <w:r w:rsidR="006418F5">
        <w:rPr>
          <w:rFonts w:ascii="Arial" w:hAnsi="Arial" w:cs="Arial"/>
          <w:sz w:val="24"/>
          <w:szCs w:val="24"/>
        </w:rPr>
        <w:t xml:space="preserve"> and Distribution Applications dated July 16, 2015 (Chapter 3) </w:t>
      </w:r>
      <w:r w:rsidRPr="00130CF7">
        <w:rPr>
          <w:rFonts w:ascii="Arial" w:hAnsi="Arial" w:cs="Arial"/>
          <w:sz w:val="24"/>
          <w:szCs w:val="24"/>
        </w:rPr>
        <w:t>states that</w:t>
      </w:r>
      <w:r w:rsidR="001E1442">
        <w:rPr>
          <w:rFonts w:ascii="Arial" w:hAnsi="Arial" w:cs="Arial"/>
          <w:sz w:val="24"/>
          <w:szCs w:val="24"/>
        </w:rPr>
        <w:t>:</w:t>
      </w:r>
    </w:p>
    <w:p w:rsidR="001E1442" w:rsidRDefault="001E1442" w:rsidP="00130CF7">
      <w:pPr>
        <w:pStyle w:val="ListParagraph"/>
        <w:ind w:left="360"/>
        <w:rPr>
          <w:rFonts w:ascii="Arial" w:hAnsi="Arial" w:cs="Arial"/>
          <w:sz w:val="24"/>
          <w:szCs w:val="24"/>
        </w:rPr>
      </w:pPr>
    </w:p>
    <w:p w:rsidR="001E1442" w:rsidRPr="006418F5" w:rsidRDefault="001E1442" w:rsidP="001E1442">
      <w:pPr>
        <w:pStyle w:val="ListParagraph"/>
        <w:ind w:left="360"/>
        <w:rPr>
          <w:rFonts w:ascii="Arial" w:hAnsi="Arial" w:cs="Arial"/>
          <w:i/>
        </w:rPr>
      </w:pPr>
      <w:r w:rsidRPr="006418F5">
        <w:rPr>
          <w:rFonts w:ascii="Arial" w:hAnsi="Arial" w:cs="Arial"/>
          <w:i/>
        </w:rPr>
        <w:t>“A wholesale market participant refers to any entity that participates directly in any of the IESO-administered markets. These participants settle commodity and market-related charges with the IESO even if they are embedded in a distributor’s distribution system. As a consequence, a distributor must not allocate any account balances in Account 1588 RSVA - Power, Account 1580 RSVA - Wholesale Market Services Charge and Account 1589 RSVA - Global Adjustment to a wholesale market participant.</w:t>
      </w:r>
    </w:p>
    <w:p w:rsidR="001E1442" w:rsidRPr="006418F5" w:rsidRDefault="001E1442" w:rsidP="001E1442">
      <w:pPr>
        <w:pStyle w:val="ListParagraph"/>
        <w:ind w:left="360"/>
        <w:rPr>
          <w:rFonts w:ascii="Arial" w:hAnsi="Arial" w:cs="Arial"/>
          <w:i/>
        </w:rPr>
      </w:pPr>
    </w:p>
    <w:p w:rsidR="001E1442" w:rsidRPr="006418F5" w:rsidRDefault="001E1442" w:rsidP="006418F5">
      <w:pPr>
        <w:pStyle w:val="ListParagraph"/>
        <w:ind w:left="360"/>
        <w:rPr>
          <w:rFonts w:ascii="Arial" w:hAnsi="Arial" w:cs="Arial"/>
          <w:i/>
        </w:rPr>
      </w:pPr>
      <w:r w:rsidRPr="006418F5">
        <w:rPr>
          <w:rFonts w:ascii="Arial" w:hAnsi="Arial" w:cs="Arial"/>
          <w:i/>
        </w:rPr>
        <w:t>A distributor must also ensure that rate riders are appropriately calculated for the following remaining charges that are still settled with a distributor. These include Account 1584 RSVA – Retail Transmission Network Charge, Account 1586 RSVA – Retail Transmission Connection Charge and Account 1595 – Disposition/Refund of Regulatory Balances.”</w:t>
      </w:r>
    </w:p>
    <w:p w:rsidR="006418F5" w:rsidRPr="007E5D0C" w:rsidRDefault="006418F5" w:rsidP="006418F5">
      <w:pPr>
        <w:numPr>
          <w:ilvl w:val="0"/>
          <w:numId w:val="2"/>
        </w:numPr>
        <w:spacing w:after="0" w:line="240" w:lineRule="auto"/>
        <w:rPr>
          <w:rFonts w:ascii="Arial" w:hAnsi="Arial" w:cs="Arial"/>
          <w:sz w:val="24"/>
          <w:szCs w:val="24"/>
          <w:lang w:val="en-US"/>
        </w:rPr>
      </w:pPr>
      <w:r w:rsidRPr="007E5D0C">
        <w:rPr>
          <w:rFonts w:ascii="Arial" w:hAnsi="Arial" w:cs="Arial"/>
          <w:sz w:val="24"/>
          <w:szCs w:val="24"/>
          <w:lang w:val="en-US"/>
        </w:rPr>
        <w:t>Please confirm whether or not Cooperative Hydro Embrun serves any consumers that are WMPs.</w:t>
      </w:r>
      <w:r>
        <w:rPr>
          <w:rFonts w:ascii="Arial" w:hAnsi="Arial" w:cs="Arial"/>
          <w:sz w:val="24"/>
          <w:szCs w:val="24"/>
          <w:lang w:val="en-US"/>
        </w:rPr>
        <w:t xml:space="preserve"> </w:t>
      </w:r>
      <w:r w:rsidRPr="006418F5">
        <w:rPr>
          <w:rFonts w:ascii="Arial" w:hAnsi="Arial" w:cs="Arial"/>
          <w:sz w:val="24"/>
          <w:szCs w:val="24"/>
          <w:lang w:val="en-US"/>
        </w:rPr>
        <w:t>(Tab 4 – column G &amp; H)</w:t>
      </w:r>
    </w:p>
    <w:p w:rsidR="006418F5" w:rsidRPr="007E5D0C" w:rsidRDefault="006418F5" w:rsidP="006418F5">
      <w:pPr>
        <w:spacing w:after="0" w:line="240" w:lineRule="auto"/>
        <w:ind w:firstLine="720"/>
        <w:rPr>
          <w:rFonts w:ascii="Arial" w:hAnsi="Arial" w:cs="Arial"/>
          <w:sz w:val="24"/>
          <w:szCs w:val="24"/>
          <w:lang w:val="en-US"/>
        </w:rPr>
      </w:pPr>
      <w:r w:rsidRPr="007E5D0C">
        <w:rPr>
          <w:rFonts w:ascii="Arial" w:hAnsi="Arial" w:cs="Arial"/>
          <w:sz w:val="24"/>
          <w:szCs w:val="24"/>
          <w:lang w:val="en-US"/>
        </w:rPr>
        <w:t>If yes:</w:t>
      </w:r>
    </w:p>
    <w:p w:rsidR="006418F5" w:rsidRPr="007E5D0C" w:rsidRDefault="006418F5" w:rsidP="006418F5">
      <w:pPr>
        <w:numPr>
          <w:ilvl w:val="2"/>
          <w:numId w:val="2"/>
        </w:numPr>
        <w:spacing w:after="0" w:line="240" w:lineRule="auto"/>
        <w:rPr>
          <w:rFonts w:ascii="Arial" w:hAnsi="Arial" w:cs="Arial"/>
          <w:sz w:val="24"/>
          <w:szCs w:val="24"/>
          <w:lang w:val="en-US"/>
        </w:rPr>
      </w:pPr>
      <w:r w:rsidRPr="007E5D0C">
        <w:rPr>
          <w:rFonts w:ascii="Arial" w:hAnsi="Arial" w:cs="Arial"/>
          <w:sz w:val="24"/>
          <w:szCs w:val="24"/>
          <w:lang w:val="en-US"/>
        </w:rPr>
        <w:t>Have these consumers been WMPs throughout the entire time over which variances accumulated in the RSVA accounts proposed for disposition?</w:t>
      </w:r>
    </w:p>
    <w:p w:rsidR="006418F5" w:rsidRDefault="006418F5" w:rsidP="006418F5">
      <w:pPr>
        <w:numPr>
          <w:ilvl w:val="2"/>
          <w:numId w:val="2"/>
        </w:numPr>
        <w:spacing w:after="0" w:line="240" w:lineRule="auto"/>
        <w:rPr>
          <w:rFonts w:ascii="Arial" w:hAnsi="Arial" w:cs="Arial"/>
          <w:sz w:val="24"/>
          <w:szCs w:val="24"/>
          <w:lang w:val="en-US"/>
        </w:rPr>
      </w:pPr>
      <w:r w:rsidRPr="007E5D0C">
        <w:rPr>
          <w:rFonts w:ascii="Arial" w:hAnsi="Arial" w:cs="Arial"/>
          <w:sz w:val="24"/>
          <w:szCs w:val="24"/>
          <w:lang w:val="en-US"/>
        </w:rPr>
        <w:t>Please confirm that RSVA account balances have not been allocated to WMP customers as they settle these charges directly with the IESO.</w:t>
      </w:r>
    </w:p>
    <w:p w:rsidR="0075420B" w:rsidRDefault="0075420B" w:rsidP="0075420B">
      <w:pPr>
        <w:spacing w:after="0" w:line="240" w:lineRule="auto"/>
        <w:ind w:left="1980"/>
        <w:rPr>
          <w:rFonts w:ascii="Arial" w:hAnsi="Arial" w:cs="Arial"/>
          <w:sz w:val="24"/>
          <w:szCs w:val="24"/>
          <w:lang w:val="en-US"/>
        </w:rPr>
      </w:pPr>
      <w:r>
        <w:rPr>
          <w:noProof/>
          <w:lang w:eastAsia="en-CA"/>
        </w:rPr>
        <w:lastRenderedPageBreak/>
        <w:drawing>
          <wp:inline distT="0" distB="0" distL="0" distR="0" wp14:anchorId="4638F265" wp14:editId="567B67EE">
            <wp:extent cx="2666667" cy="275238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66667" cy="2752381"/>
                    </a:xfrm>
                    <a:prstGeom prst="rect">
                      <a:avLst/>
                    </a:prstGeom>
                  </pic:spPr>
                </pic:pic>
              </a:graphicData>
            </a:graphic>
          </wp:inline>
        </w:drawing>
      </w:r>
    </w:p>
    <w:p w:rsidR="006418F5" w:rsidRDefault="006418F5" w:rsidP="001E1442">
      <w:pPr>
        <w:pStyle w:val="ListParagraph"/>
        <w:ind w:left="360"/>
        <w:rPr>
          <w:rFonts w:ascii="Arial" w:hAnsi="Arial" w:cs="Arial"/>
          <w:sz w:val="24"/>
          <w:szCs w:val="24"/>
        </w:rPr>
      </w:pPr>
    </w:p>
    <w:p w:rsidR="006418F5" w:rsidRDefault="0021269E" w:rsidP="001E1442">
      <w:pPr>
        <w:pStyle w:val="ListParagraph"/>
        <w:ind w:left="360"/>
        <w:rPr>
          <w:rFonts w:ascii="Arial" w:hAnsi="Arial" w:cs="Arial"/>
          <w:sz w:val="24"/>
          <w:szCs w:val="24"/>
        </w:rPr>
      </w:pPr>
      <w:r>
        <w:rPr>
          <w:rFonts w:ascii="Arial" w:hAnsi="Arial" w:cs="Arial"/>
          <w:sz w:val="24"/>
          <w:szCs w:val="24"/>
        </w:rPr>
        <w:t>Section 3.2.5.2 of Chapter 3</w:t>
      </w:r>
      <w:r w:rsidR="006418F5">
        <w:rPr>
          <w:rFonts w:ascii="Arial" w:hAnsi="Arial" w:cs="Arial"/>
          <w:sz w:val="24"/>
          <w:szCs w:val="24"/>
        </w:rPr>
        <w:t xml:space="preserve"> states that: </w:t>
      </w:r>
    </w:p>
    <w:p w:rsidR="006418F5" w:rsidRPr="006418F5" w:rsidRDefault="006418F5" w:rsidP="001E1442">
      <w:pPr>
        <w:pStyle w:val="ListParagraph"/>
        <w:ind w:left="360"/>
        <w:rPr>
          <w:rFonts w:ascii="Arial" w:hAnsi="Arial" w:cs="Arial"/>
        </w:rPr>
      </w:pPr>
    </w:p>
    <w:p w:rsidR="00130CF7" w:rsidRDefault="00130CF7" w:rsidP="001E1442">
      <w:pPr>
        <w:pStyle w:val="ListParagraph"/>
        <w:ind w:left="360"/>
        <w:rPr>
          <w:rFonts w:ascii="Arial" w:hAnsi="Arial" w:cs="Arial"/>
          <w:i/>
          <w:sz w:val="24"/>
          <w:szCs w:val="24"/>
        </w:rPr>
      </w:pPr>
      <w:r w:rsidRPr="006418F5">
        <w:rPr>
          <w:rFonts w:ascii="Arial" w:hAnsi="Arial" w:cs="Arial"/>
          <w:i/>
        </w:rPr>
        <w:t xml:space="preserve">“As a new addition for 2016 applications, a distributor must now provide a description of its settlement process with the IESO or host distributor. It must specify the GA rate it uses when billing its customers (1st estimate, 2nd estimate or actual) for each rate class, itemize its process for providing consumption estimates to the IESO, and describe the true-up process to </w:t>
      </w:r>
      <w:r w:rsidRPr="00F26A85">
        <w:rPr>
          <w:rFonts w:ascii="Arial" w:hAnsi="Arial" w:cs="Arial"/>
          <w:i/>
        </w:rPr>
        <w:t>reconcile estimates of RPP and non-RPP consumption once actuals are</w:t>
      </w:r>
      <w:r w:rsidRPr="00C05D98">
        <w:rPr>
          <w:rFonts w:ascii="Arial" w:hAnsi="Arial" w:cs="Arial"/>
          <w:i/>
          <w:sz w:val="24"/>
          <w:szCs w:val="24"/>
        </w:rPr>
        <w:t xml:space="preserve"> </w:t>
      </w:r>
      <w:r w:rsidRPr="006418F5">
        <w:rPr>
          <w:rFonts w:ascii="Arial" w:hAnsi="Arial" w:cs="Arial"/>
          <w:i/>
        </w:rPr>
        <w:t>known. The description should detail the distributor’s method for estimating RPP and non-RPP consumption, as well as its treatment of embedded generation or any embedded distribution customers. Distributors are reminded that they are expected to use accrual accounting.”</w:t>
      </w:r>
    </w:p>
    <w:p w:rsidR="00F26A85" w:rsidRDefault="00F26A85" w:rsidP="00F26A85">
      <w:pPr>
        <w:numPr>
          <w:ilvl w:val="0"/>
          <w:numId w:val="2"/>
        </w:numPr>
        <w:spacing w:after="0" w:line="240" w:lineRule="auto"/>
        <w:rPr>
          <w:rFonts w:ascii="Arial" w:hAnsi="Arial" w:cs="Arial"/>
          <w:sz w:val="24"/>
          <w:szCs w:val="24"/>
          <w:lang w:val="en-US"/>
        </w:rPr>
      </w:pPr>
      <w:r>
        <w:rPr>
          <w:rFonts w:ascii="Arial" w:hAnsi="Arial" w:cs="Arial"/>
          <w:sz w:val="24"/>
          <w:szCs w:val="24"/>
          <w:lang w:val="en-US"/>
        </w:rPr>
        <w:t>Cooperative Hydro Embrun has not filed the above required settlement process description with its 2016 rate application.  Please provide this settlement process description with the required</w:t>
      </w:r>
      <w:r w:rsidR="0021269E">
        <w:rPr>
          <w:rFonts w:ascii="Arial" w:hAnsi="Arial" w:cs="Arial"/>
          <w:sz w:val="24"/>
          <w:szCs w:val="24"/>
          <w:lang w:val="en-US"/>
        </w:rPr>
        <w:t xml:space="preserve"> information.</w:t>
      </w:r>
    </w:p>
    <w:p w:rsidR="00F26A85" w:rsidRPr="0021269E" w:rsidRDefault="00F26A85" w:rsidP="00130CF7">
      <w:pPr>
        <w:tabs>
          <w:tab w:val="left" w:pos="284"/>
        </w:tabs>
        <w:ind w:left="284"/>
        <w:rPr>
          <w:rFonts w:ascii="Arial" w:hAnsi="Arial" w:cs="Arial"/>
          <w:sz w:val="24"/>
          <w:szCs w:val="24"/>
          <w:lang w:val="en-US"/>
        </w:rPr>
      </w:pPr>
    </w:p>
    <w:p w:rsidR="0021269E" w:rsidRPr="0021269E" w:rsidRDefault="0021269E" w:rsidP="00130CF7">
      <w:pPr>
        <w:tabs>
          <w:tab w:val="left" w:pos="284"/>
        </w:tabs>
        <w:ind w:left="284"/>
        <w:rPr>
          <w:rFonts w:ascii="Arial" w:hAnsi="Arial" w:cs="Arial"/>
          <w:sz w:val="24"/>
          <w:szCs w:val="24"/>
          <w:lang w:val="en-US"/>
        </w:rPr>
      </w:pPr>
      <w:r w:rsidRPr="0021269E">
        <w:rPr>
          <w:rFonts w:ascii="Arial" w:hAnsi="Arial" w:cs="Arial"/>
          <w:sz w:val="24"/>
          <w:szCs w:val="24"/>
          <w:lang w:val="en-US"/>
        </w:rPr>
        <w:t>Section 3.2.5.2 of Chapter 3 also states that:</w:t>
      </w:r>
    </w:p>
    <w:p w:rsidR="0021269E" w:rsidRDefault="0021269E" w:rsidP="001E1442">
      <w:pPr>
        <w:pStyle w:val="ListParagraph"/>
        <w:ind w:left="360"/>
        <w:rPr>
          <w:rFonts w:ascii="Arial" w:hAnsi="Arial" w:cs="Arial"/>
          <w:i/>
        </w:rPr>
      </w:pPr>
      <w:r w:rsidRPr="0021269E">
        <w:rPr>
          <w:rFonts w:ascii="Arial" w:hAnsi="Arial" w:cs="Arial"/>
          <w:i/>
        </w:rPr>
        <w:t xml:space="preserve"> </w:t>
      </w:r>
      <w:r>
        <w:rPr>
          <w:rFonts w:ascii="Arial" w:hAnsi="Arial" w:cs="Arial"/>
          <w:i/>
        </w:rPr>
        <w:t>“</w:t>
      </w:r>
      <w:r w:rsidRPr="0021269E">
        <w:rPr>
          <w:rFonts w:ascii="Arial" w:hAnsi="Arial" w:cs="Arial"/>
          <w:i/>
        </w:rPr>
        <w:t xml:space="preserve">As of July 1, 2015, per </w:t>
      </w:r>
      <w:proofErr w:type="spellStart"/>
      <w:r w:rsidRPr="0021269E">
        <w:rPr>
          <w:rFonts w:ascii="Arial" w:hAnsi="Arial" w:cs="Arial"/>
          <w:i/>
        </w:rPr>
        <w:t>O.Reg</w:t>
      </w:r>
      <w:proofErr w:type="spellEnd"/>
      <w:r w:rsidRPr="0021269E">
        <w:rPr>
          <w:rFonts w:ascii="Arial" w:hAnsi="Arial" w:cs="Arial"/>
          <w:i/>
        </w:rPr>
        <w:t xml:space="preserve"> 429/04, an eligible customer with a maximum hourly demand over three megawatts, but less than five megawatts, can elect to become a Class A for an applicable adjustment period of one year.</w:t>
      </w:r>
    </w:p>
    <w:p w:rsidR="0021269E" w:rsidRDefault="0021269E" w:rsidP="001E1442">
      <w:pPr>
        <w:pStyle w:val="ListParagraph"/>
        <w:ind w:left="360"/>
        <w:rPr>
          <w:rFonts w:ascii="Arial" w:hAnsi="Arial" w:cs="Arial"/>
          <w:i/>
        </w:rPr>
      </w:pPr>
    </w:p>
    <w:p w:rsidR="00130CF7" w:rsidRDefault="00130CF7" w:rsidP="001E1442">
      <w:pPr>
        <w:pStyle w:val="ListParagraph"/>
        <w:ind w:left="360"/>
        <w:rPr>
          <w:rFonts w:ascii="Arial" w:hAnsi="Arial" w:cs="Arial"/>
          <w:i/>
        </w:rPr>
      </w:pPr>
      <w:r w:rsidRPr="0021269E">
        <w:rPr>
          <w:rFonts w:ascii="Arial" w:hAnsi="Arial" w:cs="Arial"/>
          <w:i/>
        </w:rPr>
        <w:t xml:space="preserve">Any distributor who serves any eligible Class A customers is asked to identify the number of Class A customers it served in 2014 and is serving as of July 1, 2015, if different. If more than two Class A customers are served, the distributor must report the combined peak demand factor of its Class </w:t>
      </w:r>
      <w:proofErr w:type="gramStart"/>
      <w:r w:rsidRPr="0021269E">
        <w:rPr>
          <w:rFonts w:ascii="Arial" w:hAnsi="Arial" w:cs="Arial"/>
          <w:i/>
        </w:rPr>
        <w:t>A</w:t>
      </w:r>
      <w:proofErr w:type="gramEnd"/>
      <w:r w:rsidRPr="0021269E">
        <w:rPr>
          <w:rFonts w:ascii="Arial" w:hAnsi="Arial" w:cs="Arial"/>
          <w:i/>
        </w:rPr>
        <w:t xml:space="preserve"> customers for each period. </w:t>
      </w:r>
    </w:p>
    <w:p w:rsidR="0021269E" w:rsidRPr="0021269E" w:rsidRDefault="0021269E" w:rsidP="001E1442">
      <w:pPr>
        <w:pStyle w:val="ListParagraph"/>
        <w:ind w:left="360"/>
        <w:rPr>
          <w:rFonts w:ascii="Arial" w:hAnsi="Arial" w:cs="Arial"/>
          <w:i/>
        </w:rPr>
      </w:pPr>
    </w:p>
    <w:p w:rsidR="007E5D0C" w:rsidRPr="0021269E" w:rsidRDefault="00130CF7" w:rsidP="0021269E">
      <w:pPr>
        <w:pStyle w:val="ListParagraph"/>
        <w:ind w:left="360"/>
        <w:rPr>
          <w:rFonts w:ascii="Arial" w:hAnsi="Arial" w:cs="Arial"/>
          <w:i/>
        </w:rPr>
      </w:pPr>
      <w:r w:rsidRPr="0021269E">
        <w:rPr>
          <w:rFonts w:ascii="Arial" w:hAnsi="Arial" w:cs="Arial"/>
          <w:i/>
        </w:rPr>
        <w:t xml:space="preserve">A distributor with one of these newly Class A-eligible customers should also propose an appropriate allocation for the recovery of the global adjustment variance balance based on </w:t>
      </w:r>
      <w:r w:rsidRPr="0021269E">
        <w:rPr>
          <w:rFonts w:ascii="Arial" w:hAnsi="Arial" w:cs="Arial"/>
          <w:i/>
        </w:rPr>
        <w:lastRenderedPageBreak/>
        <w:t>their settlement process with the IESO or host distributor for any residual GA variance balances that might have accrued prior to those customers being classified as Class A customers. This information will be used to inform future disposition of GA variance account balances.</w:t>
      </w:r>
      <w:r w:rsidR="0021269E">
        <w:rPr>
          <w:rFonts w:ascii="Arial" w:hAnsi="Arial" w:cs="Arial"/>
          <w:i/>
        </w:rPr>
        <w:t>”</w:t>
      </w:r>
    </w:p>
    <w:p w:rsidR="0021269E" w:rsidRDefault="007E5D0C" w:rsidP="007E5D0C">
      <w:pPr>
        <w:numPr>
          <w:ilvl w:val="0"/>
          <w:numId w:val="2"/>
        </w:numPr>
        <w:spacing w:after="0" w:line="240" w:lineRule="auto"/>
        <w:rPr>
          <w:rFonts w:ascii="Arial" w:hAnsi="Arial" w:cs="Arial"/>
          <w:sz w:val="24"/>
          <w:szCs w:val="24"/>
          <w:lang w:val="en-US"/>
        </w:rPr>
      </w:pPr>
      <w:r w:rsidRPr="007E5D0C">
        <w:rPr>
          <w:rFonts w:ascii="Arial" w:hAnsi="Arial" w:cs="Arial"/>
          <w:sz w:val="24"/>
          <w:szCs w:val="24"/>
          <w:lang w:val="en-US"/>
        </w:rPr>
        <w:t xml:space="preserve">Please confirm whether or not Cooperative Hydro Embrun serves any class </w:t>
      </w:r>
      <w:proofErr w:type="gramStart"/>
      <w:r w:rsidRPr="007E5D0C">
        <w:rPr>
          <w:rFonts w:ascii="Arial" w:hAnsi="Arial" w:cs="Arial"/>
          <w:sz w:val="24"/>
          <w:szCs w:val="24"/>
          <w:lang w:val="en-US"/>
        </w:rPr>
        <w:t>A</w:t>
      </w:r>
      <w:proofErr w:type="gramEnd"/>
      <w:r w:rsidRPr="007E5D0C">
        <w:rPr>
          <w:rFonts w:ascii="Arial" w:hAnsi="Arial" w:cs="Arial"/>
          <w:sz w:val="24"/>
          <w:szCs w:val="24"/>
          <w:lang w:val="en-US"/>
        </w:rPr>
        <w:t xml:space="preserve"> consumers that settle energy charges</w:t>
      </w:r>
      <w:r>
        <w:rPr>
          <w:rFonts w:ascii="Arial" w:hAnsi="Arial" w:cs="Arial"/>
          <w:sz w:val="24"/>
          <w:szCs w:val="24"/>
          <w:lang w:val="en-US"/>
        </w:rPr>
        <w:t xml:space="preserve"> directly with Cooperative Hydro Embrun</w:t>
      </w:r>
      <w:r w:rsidR="00130CF7">
        <w:rPr>
          <w:rFonts w:ascii="Arial" w:hAnsi="Arial" w:cs="Arial"/>
          <w:sz w:val="24"/>
          <w:szCs w:val="24"/>
          <w:lang w:val="en-US"/>
        </w:rPr>
        <w:t xml:space="preserve">. </w:t>
      </w:r>
    </w:p>
    <w:p w:rsidR="00130CF7" w:rsidRDefault="00130CF7" w:rsidP="0021269E">
      <w:pPr>
        <w:spacing w:after="0" w:line="240" w:lineRule="auto"/>
        <w:ind w:left="720"/>
        <w:rPr>
          <w:rFonts w:ascii="Arial" w:hAnsi="Arial" w:cs="Arial"/>
          <w:sz w:val="24"/>
          <w:szCs w:val="24"/>
          <w:lang w:val="en-US"/>
        </w:rPr>
      </w:pPr>
      <w:r>
        <w:rPr>
          <w:rFonts w:ascii="Arial" w:hAnsi="Arial" w:cs="Arial"/>
          <w:sz w:val="24"/>
          <w:szCs w:val="24"/>
          <w:lang w:val="en-US"/>
        </w:rPr>
        <w:t>If yes:</w:t>
      </w:r>
    </w:p>
    <w:p w:rsidR="00130CF7" w:rsidRDefault="00130CF7" w:rsidP="00130CF7">
      <w:pPr>
        <w:pStyle w:val="ListParagraph"/>
        <w:numPr>
          <w:ilvl w:val="0"/>
          <w:numId w:val="22"/>
        </w:numPr>
        <w:spacing w:after="0" w:line="240" w:lineRule="auto"/>
        <w:rPr>
          <w:rFonts w:ascii="Arial" w:hAnsi="Arial" w:cs="Arial"/>
          <w:sz w:val="24"/>
          <w:szCs w:val="24"/>
          <w:lang w:val="en-US"/>
        </w:rPr>
      </w:pPr>
      <w:r>
        <w:rPr>
          <w:rFonts w:ascii="Arial" w:hAnsi="Arial" w:cs="Arial"/>
          <w:sz w:val="24"/>
          <w:szCs w:val="24"/>
          <w:lang w:val="en-US"/>
        </w:rPr>
        <w:t>Please identify the number of Class A customers Cooperative Hydro Embrun served in 2014 and was serving as of July 1, 2015, if different.</w:t>
      </w:r>
    </w:p>
    <w:p w:rsidR="007E5D0C" w:rsidRPr="00130CF7" w:rsidRDefault="00130CF7" w:rsidP="00130CF7">
      <w:pPr>
        <w:pStyle w:val="ListParagraph"/>
        <w:numPr>
          <w:ilvl w:val="0"/>
          <w:numId w:val="22"/>
        </w:numPr>
        <w:spacing w:after="0" w:line="240" w:lineRule="auto"/>
        <w:rPr>
          <w:rFonts w:ascii="Arial" w:hAnsi="Arial" w:cs="Arial"/>
          <w:sz w:val="24"/>
          <w:szCs w:val="24"/>
          <w:lang w:val="en-US"/>
        </w:rPr>
      </w:pPr>
      <w:r>
        <w:rPr>
          <w:rFonts w:ascii="Arial" w:hAnsi="Arial" w:cs="Arial"/>
          <w:sz w:val="24"/>
          <w:szCs w:val="24"/>
          <w:lang w:val="en-US"/>
        </w:rPr>
        <w:t>P</w:t>
      </w:r>
      <w:r w:rsidR="007E5D0C" w:rsidRPr="00130CF7">
        <w:rPr>
          <w:rFonts w:ascii="Arial" w:hAnsi="Arial" w:cs="Arial"/>
          <w:sz w:val="24"/>
          <w:szCs w:val="24"/>
          <w:lang w:val="en-US"/>
        </w:rPr>
        <w:t xml:space="preserve">lease explain how balances in Account 1589 (Global Adjustment) have been allocated to these </w:t>
      </w:r>
      <w:r w:rsidR="0021269E">
        <w:rPr>
          <w:rFonts w:ascii="Arial" w:hAnsi="Arial" w:cs="Arial"/>
          <w:sz w:val="24"/>
          <w:szCs w:val="24"/>
          <w:lang w:val="en-US"/>
        </w:rPr>
        <w:t>Class A customers</w:t>
      </w:r>
      <w:r w:rsidR="0075420B">
        <w:rPr>
          <w:rFonts w:ascii="Arial" w:hAnsi="Arial" w:cs="Arial"/>
          <w:sz w:val="24"/>
          <w:szCs w:val="24"/>
          <w:lang w:val="en-US"/>
        </w:rPr>
        <w:t>, and provide the figures to be entered on Tab 4 – column K to M.</w:t>
      </w:r>
    </w:p>
    <w:p w:rsidR="007E5D0C" w:rsidRPr="007E5D0C" w:rsidRDefault="0021269E" w:rsidP="007E5D0C">
      <w:pPr>
        <w:pStyle w:val="ListParagraph"/>
        <w:ind w:left="360"/>
        <w:rPr>
          <w:rFonts w:ascii="Arial" w:hAnsi="Arial" w:cs="Arial"/>
          <w:sz w:val="24"/>
          <w:szCs w:val="24"/>
        </w:rPr>
      </w:pPr>
      <w:r>
        <w:rPr>
          <w:noProof/>
          <w:lang w:eastAsia="en-CA"/>
        </w:rPr>
        <w:t xml:space="preserve">                       </w:t>
      </w:r>
      <w:r>
        <w:rPr>
          <w:noProof/>
          <w:lang w:eastAsia="en-CA"/>
        </w:rPr>
        <w:drawing>
          <wp:inline distT="0" distB="0" distL="0" distR="0" wp14:anchorId="03A92918" wp14:editId="37580613">
            <wp:extent cx="3600000" cy="2590476"/>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00000" cy="2590476"/>
                    </a:xfrm>
                    <a:prstGeom prst="rect">
                      <a:avLst/>
                    </a:prstGeom>
                  </pic:spPr>
                </pic:pic>
              </a:graphicData>
            </a:graphic>
          </wp:inline>
        </w:drawing>
      </w:r>
    </w:p>
    <w:p w:rsidR="009043EB" w:rsidRPr="009043EB" w:rsidRDefault="009043EB" w:rsidP="009043EB">
      <w:pPr>
        <w:pStyle w:val="ListParagraph"/>
        <w:ind w:left="360"/>
        <w:rPr>
          <w:rFonts w:ascii="Arial" w:hAnsi="Arial" w:cs="Arial"/>
          <w:color w:val="0070C0"/>
          <w:sz w:val="24"/>
          <w:szCs w:val="24"/>
        </w:rPr>
      </w:pPr>
      <w:r w:rsidRPr="009043EB">
        <w:rPr>
          <w:rFonts w:ascii="Arial" w:hAnsi="Arial" w:cs="Arial"/>
          <w:color w:val="0070C0"/>
          <w:sz w:val="24"/>
          <w:szCs w:val="24"/>
        </w:rPr>
        <w:t>Response:</w:t>
      </w:r>
      <w:r w:rsidR="00D00BF4">
        <w:rPr>
          <w:rFonts w:ascii="Arial" w:hAnsi="Arial" w:cs="Arial"/>
          <w:color w:val="0070C0"/>
          <w:sz w:val="24"/>
          <w:szCs w:val="24"/>
        </w:rPr>
        <w:t xml:space="preserve"> CHE confirms that it does not have any </w:t>
      </w:r>
      <w:r w:rsidR="00D00BF4" w:rsidRPr="00D00BF4">
        <w:rPr>
          <w:rFonts w:ascii="Arial" w:hAnsi="Arial" w:cs="Arial"/>
          <w:color w:val="0070C0"/>
          <w:sz w:val="24"/>
          <w:szCs w:val="24"/>
        </w:rPr>
        <w:t>wholesale market participant</w:t>
      </w:r>
      <w:r w:rsidR="00D00BF4">
        <w:rPr>
          <w:rFonts w:ascii="Arial" w:hAnsi="Arial" w:cs="Arial"/>
          <w:color w:val="0070C0"/>
          <w:sz w:val="24"/>
          <w:szCs w:val="24"/>
        </w:rPr>
        <w:t xml:space="preserve"> nor does it have any Class </w:t>
      </w:r>
      <w:proofErr w:type="gramStart"/>
      <w:r w:rsidR="00D00BF4">
        <w:rPr>
          <w:rFonts w:ascii="Arial" w:hAnsi="Arial" w:cs="Arial"/>
          <w:color w:val="0070C0"/>
          <w:sz w:val="24"/>
          <w:szCs w:val="24"/>
        </w:rPr>
        <w:t>A</w:t>
      </w:r>
      <w:proofErr w:type="gramEnd"/>
      <w:r w:rsidR="00D00BF4">
        <w:rPr>
          <w:rFonts w:ascii="Arial" w:hAnsi="Arial" w:cs="Arial"/>
          <w:color w:val="0070C0"/>
          <w:sz w:val="24"/>
          <w:szCs w:val="24"/>
        </w:rPr>
        <w:t xml:space="preserve"> Customers </w:t>
      </w:r>
    </w:p>
    <w:p w:rsidR="007E5D0C" w:rsidRDefault="007E5D0C" w:rsidP="007E5D0C">
      <w:pPr>
        <w:pStyle w:val="ListParagraph"/>
        <w:ind w:left="360"/>
        <w:rPr>
          <w:rFonts w:ascii="Arial" w:hAnsi="Arial" w:cs="Arial"/>
          <w:color w:val="FF0000"/>
          <w:sz w:val="24"/>
          <w:szCs w:val="24"/>
        </w:rPr>
      </w:pPr>
    </w:p>
    <w:p w:rsidR="00AA641B" w:rsidRDefault="00D95DDE" w:rsidP="00AA641B">
      <w:pPr>
        <w:pStyle w:val="ListParagraph"/>
        <w:ind w:left="360"/>
        <w:rPr>
          <w:rFonts w:ascii="Arial" w:hAnsi="Arial" w:cs="Arial"/>
          <w:color w:val="FF0000"/>
          <w:sz w:val="24"/>
          <w:szCs w:val="24"/>
        </w:rPr>
      </w:pPr>
      <w:r>
        <w:rPr>
          <w:rFonts w:ascii="Arial" w:hAnsi="Arial" w:cs="Arial"/>
          <w:color w:val="FF0000"/>
          <w:sz w:val="24"/>
          <w:szCs w:val="24"/>
        </w:rPr>
        <w:t xml:space="preserve">Staff: </w:t>
      </w:r>
    </w:p>
    <w:p w:rsidR="00AA641B" w:rsidRDefault="00AA641B" w:rsidP="00AA641B">
      <w:pPr>
        <w:pStyle w:val="ListParagraph"/>
        <w:ind w:left="360"/>
        <w:rPr>
          <w:rFonts w:ascii="Arial" w:hAnsi="Arial" w:cs="Arial"/>
          <w:color w:val="FF0000"/>
          <w:sz w:val="24"/>
          <w:szCs w:val="24"/>
        </w:rPr>
      </w:pPr>
      <w:r>
        <w:rPr>
          <w:rFonts w:ascii="Arial" w:hAnsi="Arial" w:cs="Arial"/>
          <w:color w:val="FF0000"/>
          <w:sz w:val="24"/>
          <w:szCs w:val="24"/>
        </w:rPr>
        <w:t xml:space="preserve">Part a): As confirmed, Cooperative </w:t>
      </w:r>
      <w:proofErr w:type="spellStart"/>
      <w:r>
        <w:rPr>
          <w:rFonts w:ascii="Arial" w:hAnsi="Arial" w:cs="Arial"/>
          <w:color w:val="FF0000"/>
          <w:sz w:val="24"/>
          <w:szCs w:val="24"/>
        </w:rPr>
        <w:t>Embrun</w:t>
      </w:r>
      <w:proofErr w:type="spellEnd"/>
      <w:r>
        <w:rPr>
          <w:rFonts w:ascii="Arial" w:hAnsi="Arial" w:cs="Arial"/>
          <w:color w:val="FF0000"/>
          <w:sz w:val="24"/>
          <w:szCs w:val="24"/>
        </w:rPr>
        <w:t xml:space="preserve"> does not have any WMP customers.</w:t>
      </w:r>
      <w:r w:rsidRPr="00D95DDE">
        <w:t xml:space="preserve"> </w:t>
      </w:r>
      <w:r>
        <w:rPr>
          <w:rFonts w:ascii="Arial" w:hAnsi="Arial" w:cs="Arial"/>
          <w:color w:val="FF0000"/>
          <w:sz w:val="24"/>
          <w:szCs w:val="24"/>
        </w:rPr>
        <w:t xml:space="preserve">Cooperative </w:t>
      </w:r>
      <w:proofErr w:type="spellStart"/>
      <w:r>
        <w:rPr>
          <w:rFonts w:ascii="Arial" w:hAnsi="Arial" w:cs="Arial"/>
          <w:color w:val="FF0000"/>
          <w:sz w:val="24"/>
          <w:szCs w:val="24"/>
        </w:rPr>
        <w:t>Embrun</w:t>
      </w:r>
      <w:proofErr w:type="spellEnd"/>
      <w:r>
        <w:rPr>
          <w:rFonts w:ascii="Arial" w:hAnsi="Arial" w:cs="Arial"/>
          <w:color w:val="FF0000"/>
          <w:sz w:val="24"/>
          <w:szCs w:val="24"/>
        </w:rPr>
        <w:t xml:space="preserve"> will have to request the</w:t>
      </w:r>
      <w:r w:rsidRPr="00D95DDE">
        <w:rPr>
          <w:rFonts w:ascii="Arial" w:hAnsi="Arial" w:cs="Arial"/>
          <w:color w:val="FF0000"/>
          <w:sz w:val="24"/>
          <w:szCs w:val="24"/>
        </w:rPr>
        <w:t xml:space="preserve"> adjustment </w:t>
      </w:r>
      <w:r>
        <w:rPr>
          <w:rFonts w:ascii="Arial" w:hAnsi="Arial" w:cs="Arial"/>
          <w:color w:val="FF0000"/>
          <w:sz w:val="24"/>
          <w:szCs w:val="24"/>
        </w:rPr>
        <w:t>be completed through OEB’s</w:t>
      </w:r>
      <w:r w:rsidRPr="00D95DDE">
        <w:rPr>
          <w:rFonts w:ascii="Arial" w:hAnsi="Arial" w:cs="Arial"/>
          <w:color w:val="FF0000"/>
          <w:sz w:val="24"/>
          <w:szCs w:val="24"/>
        </w:rPr>
        <w:t xml:space="preserve"> Performance Assessment group</w:t>
      </w:r>
      <w:r>
        <w:rPr>
          <w:rFonts w:ascii="Arial" w:hAnsi="Arial" w:cs="Arial"/>
          <w:color w:val="FF0000"/>
          <w:sz w:val="24"/>
          <w:szCs w:val="24"/>
        </w:rPr>
        <w:t xml:space="preserve">.  </w:t>
      </w:r>
      <w:r w:rsidRPr="00D95DDE">
        <w:rPr>
          <w:rFonts w:ascii="Arial" w:hAnsi="Arial" w:cs="Arial"/>
          <w:color w:val="FF0000"/>
          <w:sz w:val="24"/>
          <w:szCs w:val="24"/>
        </w:rPr>
        <w:t>This does not have an effect on the processing of this applica</w:t>
      </w:r>
      <w:r>
        <w:rPr>
          <w:rFonts w:ascii="Arial" w:hAnsi="Arial" w:cs="Arial"/>
          <w:color w:val="FF0000"/>
          <w:sz w:val="24"/>
          <w:szCs w:val="24"/>
        </w:rPr>
        <w:t>tion; however, Cooperative</w:t>
      </w:r>
      <w:r w:rsidRPr="00D95DDE">
        <w:rPr>
          <w:rFonts w:ascii="Arial" w:hAnsi="Arial" w:cs="Arial"/>
          <w:color w:val="FF0000"/>
          <w:sz w:val="24"/>
          <w:szCs w:val="24"/>
        </w:rPr>
        <w:t xml:space="preserve"> </w:t>
      </w:r>
      <w:proofErr w:type="spellStart"/>
      <w:r w:rsidRPr="00D95DDE">
        <w:rPr>
          <w:rFonts w:ascii="Arial" w:hAnsi="Arial" w:cs="Arial"/>
          <w:color w:val="FF0000"/>
          <w:sz w:val="24"/>
          <w:szCs w:val="24"/>
        </w:rPr>
        <w:t>Embrun</w:t>
      </w:r>
      <w:proofErr w:type="spellEnd"/>
      <w:r w:rsidRPr="00D95DDE">
        <w:rPr>
          <w:rFonts w:ascii="Arial" w:hAnsi="Arial" w:cs="Arial"/>
          <w:color w:val="FF0000"/>
          <w:sz w:val="24"/>
          <w:szCs w:val="24"/>
        </w:rPr>
        <w:t xml:space="preserve"> should request this change as soon as possible.</w:t>
      </w:r>
    </w:p>
    <w:p w:rsidR="00AA641B" w:rsidRPr="00AA641B" w:rsidRDefault="00AA641B" w:rsidP="00AA641B">
      <w:pPr>
        <w:pStyle w:val="ListParagraph"/>
        <w:ind w:left="360"/>
        <w:rPr>
          <w:rFonts w:ascii="Arial" w:hAnsi="Arial" w:cs="Arial"/>
          <w:color w:val="FF0000"/>
          <w:sz w:val="24"/>
          <w:szCs w:val="24"/>
        </w:rPr>
      </w:pPr>
      <w:r w:rsidRPr="00AA641B">
        <w:rPr>
          <w:rFonts w:ascii="Arial" w:hAnsi="Arial" w:cs="Arial"/>
          <w:color w:val="FF0000"/>
          <w:sz w:val="24"/>
          <w:szCs w:val="24"/>
        </w:rPr>
        <w:t xml:space="preserve">Part b): </w:t>
      </w:r>
      <w:r w:rsidR="00D95DDE" w:rsidRPr="00AA641B">
        <w:rPr>
          <w:rFonts w:ascii="Arial" w:hAnsi="Arial" w:cs="Arial"/>
          <w:color w:val="FF0000"/>
          <w:sz w:val="24"/>
          <w:szCs w:val="24"/>
        </w:rPr>
        <w:t xml:space="preserve">Cooperative </w:t>
      </w:r>
      <w:proofErr w:type="spellStart"/>
      <w:r w:rsidR="00D95DDE" w:rsidRPr="00AA641B">
        <w:rPr>
          <w:rFonts w:ascii="Arial" w:hAnsi="Arial" w:cs="Arial"/>
          <w:color w:val="FF0000"/>
          <w:sz w:val="24"/>
          <w:szCs w:val="24"/>
        </w:rPr>
        <w:t>Embrun</w:t>
      </w:r>
      <w:proofErr w:type="spellEnd"/>
      <w:r w:rsidR="00D95DDE" w:rsidRPr="00AA641B">
        <w:rPr>
          <w:rFonts w:ascii="Arial" w:hAnsi="Arial" w:cs="Arial"/>
          <w:color w:val="FF0000"/>
          <w:sz w:val="24"/>
          <w:szCs w:val="24"/>
        </w:rPr>
        <w:t xml:space="preserve"> will need to provide </w:t>
      </w:r>
      <w:r w:rsidR="00915A64">
        <w:rPr>
          <w:rFonts w:ascii="Arial" w:hAnsi="Arial" w:cs="Arial"/>
          <w:color w:val="FF0000"/>
          <w:sz w:val="24"/>
          <w:szCs w:val="24"/>
        </w:rPr>
        <w:t xml:space="preserve">the Settlement Process information </w:t>
      </w:r>
      <w:bookmarkStart w:id="0" w:name="_GoBack"/>
      <w:bookmarkEnd w:id="0"/>
      <w:r w:rsidR="00D95DDE" w:rsidRPr="00AA641B">
        <w:rPr>
          <w:rFonts w:ascii="Arial" w:hAnsi="Arial" w:cs="Arial"/>
          <w:color w:val="FF0000"/>
          <w:sz w:val="24"/>
          <w:szCs w:val="24"/>
        </w:rPr>
        <w:t>required in part b).</w:t>
      </w:r>
    </w:p>
    <w:p w:rsidR="00AA641B" w:rsidRDefault="00AA641B" w:rsidP="007E5D0C">
      <w:pPr>
        <w:pStyle w:val="ListParagraph"/>
        <w:ind w:left="360"/>
        <w:rPr>
          <w:rFonts w:ascii="Arial" w:hAnsi="Arial" w:cs="Arial"/>
          <w:color w:val="FF0000"/>
          <w:sz w:val="24"/>
          <w:szCs w:val="24"/>
        </w:rPr>
      </w:pPr>
      <w:r>
        <w:rPr>
          <w:rFonts w:ascii="Arial" w:hAnsi="Arial" w:cs="Arial"/>
          <w:color w:val="FF0000"/>
          <w:sz w:val="24"/>
          <w:szCs w:val="24"/>
        </w:rPr>
        <w:t xml:space="preserve">Part c): As confirmed, Cooperative </w:t>
      </w:r>
      <w:proofErr w:type="spellStart"/>
      <w:r>
        <w:rPr>
          <w:rFonts w:ascii="Arial" w:hAnsi="Arial" w:cs="Arial"/>
          <w:color w:val="FF0000"/>
          <w:sz w:val="24"/>
          <w:szCs w:val="24"/>
        </w:rPr>
        <w:t>Embrun</w:t>
      </w:r>
      <w:proofErr w:type="spellEnd"/>
      <w:r>
        <w:rPr>
          <w:rFonts w:ascii="Arial" w:hAnsi="Arial" w:cs="Arial"/>
          <w:color w:val="FF0000"/>
          <w:sz w:val="24"/>
          <w:szCs w:val="24"/>
        </w:rPr>
        <w:t xml:space="preserve"> does not have any Class A customers.</w:t>
      </w:r>
    </w:p>
    <w:p w:rsidR="00AA641B" w:rsidRDefault="00AA641B" w:rsidP="007E5D0C">
      <w:pPr>
        <w:pStyle w:val="ListParagraph"/>
        <w:ind w:left="360"/>
        <w:rPr>
          <w:rFonts w:ascii="Arial" w:hAnsi="Arial" w:cs="Arial"/>
          <w:color w:val="FF0000"/>
          <w:sz w:val="24"/>
          <w:szCs w:val="24"/>
        </w:rPr>
      </w:pPr>
    </w:p>
    <w:p w:rsidR="005964DD" w:rsidRPr="005964DD" w:rsidRDefault="003A4275" w:rsidP="005964DD">
      <w:pPr>
        <w:pStyle w:val="ListParagraph"/>
        <w:numPr>
          <w:ilvl w:val="0"/>
          <w:numId w:val="1"/>
        </w:numPr>
        <w:rPr>
          <w:rFonts w:ascii="Arial" w:hAnsi="Arial" w:cs="Arial"/>
          <w:sz w:val="24"/>
          <w:szCs w:val="24"/>
        </w:rPr>
      </w:pPr>
      <w:r>
        <w:rPr>
          <w:rFonts w:ascii="Arial" w:hAnsi="Arial" w:cs="Arial"/>
          <w:b/>
          <w:sz w:val="24"/>
          <w:szCs w:val="24"/>
        </w:rPr>
        <w:t xml:space="preserve">Tab 3 – 2015 Continuity Schedule </w:t>
      </w:r>
    </w:p>
    <w:p w:rsidR="003A4275" w:rsidRDefault="005964DD" w:rsidP="005964DD">
      <w:pPr>
        <w:pStyle w:val="ListParagraph"/>
        <w:ind w:left="360"/>
        <w:rPr>
          <w:rFonts w:ascii="Arial" w:hAnsi="Arial" w:cs="Arial"/>
          <w:sz w:val="24"/>
          <w:szCs w:val="24"/>
        </w:rPr>
      </w:pPr>
      <w:r>
        <w:rPr>
          <w:rFonts w:ascii="Arial" w:hAnsi="Arial" w:cs="Arial"/>
          <w:sz w:val="24"/>
          <w:szCs w:val="24"/>
        </w:rPr>
        <w:t xml:space="preserve">OEB staff notes that at </w:t>
      </w:r>
      <w:r w:rsidR="003A4275" w:rsidRPr="005964DD">
        <w:rPr>
          <w:rFonts w:ascii="Arial" w:hAnsi="Arial" w:cs="Arial"/>
          <w:sz w:val="24"/>
          <w:szCs w:val="24"/>
        </w:rPr>
        <w:t>column Q “Board-Approved Disposition during 2012”</w:t>
      </w:r>
      <w:r w:rsidR="00112AE3" w:rsidRPr="005964DD">
        <w:rPr>
          <w:rFonts w:ascii="Arial" w:hAnsi="Arial" w:cs="Arial"/>
          <w:sz w:val="24"/>
          <w:szCs w:val="24"/>
        </w:rPr>
        <w:t>(principal)</w:t>
      </w:r>
      <w:r w:rsidR="003A4275" w:rsidRPr="005964DD">
        <w:rPr>
          <w:rFonts w:ascii="Arial" w:hAnsi="Arial" w:cs="Arial"/>
          <w:sz w:val="24"/>
          <w:szCs w:val="24"/>
        </w:rPr>
        <w:t xml:space="preserve">, </w:t>
      </w:r>
      <w:r>
        <w:rPr>
          <w:rFonts w:ascii="Arial" w:hAnsi="Arial" w:cs="Arial"/>
          <w:sz w:val="24"/>
          <w:szCs w:val="24"/>
        </w:rPr>
        <w:t>row 29 and 30 (A</w:t>
      </w:r>
      <w:r w:rsidR="003A4275" w:rsidRPr="005964DD">
        <w:rPr>
          <w:rFonts w:ascii="Arial" w:hAnsi="Arial" w:cs="Arial"/>
          <w:sz w:val="24"/>
          <w:szCs w:val="24"/>
        </w:rPr>
        <w:t>cco</w:t>
      </w:r>
      <w:r w:rsidR="00112AE3" w:rsidRPr="005964DD">
        <w:rPr>
          <w:rFonts w:ascii="Arial" w:hAnsi="Arial" w:cs="Arial"/>
          <w:sz w:val="24"/>
          <w:szCs w:val="24"/>
        </w:rPr>
        <w:t>unt 1588 and 1589</w:t>
      </w:r>
      <w:r>
        <w:rPr>
          <w:rFonts w:ascii="Arial" w:hAnsi="Arial" w:cs="Arial"/>
          <w:sz w:val="24"/>
          <w:szCs w:val="24"/>
        </w:rPr>
        <w:t xml:space="preserve">) – the amounts entered do </w:t>
      </w:r>
      <w:r>
        <w:rPr>
          <w:rFonts w:ascii="Arial" w:hAnsi="Arial" w:cs="Arial"/>
          <w:sz w:val="24"/>
          <w:szCs w:val="24"/>
        </w:rPr>
        <w:lastRenderedPageBreak/>
        <w:t>not match the table on</w:t>
      </w:r>
      <w:r w:rsidR="00112AE3" w:rsidRPr="005964DD">
        <w:rPr>
          <w:rFonts w:ascii="Arial" w:hAnsi="Arial" w:cs="Arial"/>
          <w:sz w:val="24"/>
          <w:szCs w:val="24"/>
        </w:rPr>
        <w:t xml:space="preserve"> page 8 of the Decision and Order issued in March 2012</w:t>
      </w:r>
      <w:r>
        <w:rPr>
          <w:rFonts w:ascii="Arial" w:hAnsi="Arial" w:cs="Arial"/>
          <w:sz w:val="24"/>
          <w:szCs w:val="24"/>
        </w:rPr>
        <w:t xml:space="preserve"> in Cooperative Hydro Embrun’s 2012 rates application (EB – 2011 – 0164)</w:t>
      </w:r>
      <w:r w:rsidR="00112AE3" w:rsidRPr="005964DD">
        <w:rPr>
          <w:rFonts w:ascii="Arial" w:hAnsi="Arial" w:cs="Arial"/>
          <w:sz w:val="24"/>
          <w:szCs w:val="24"/>
        </w:rPr>
        <w:t xml:space="preserve">. </w:t>
      </w:r>
      <w:r>
        <w:rPr>
          <w:rFonts w:ascii="Arial" w:hAnsi="Arial" w:cs="Arial"/>
          <w:sz w:val="24"/>
          <w:szCs w:val="24"/>
        </w:rPr>
        <w:t>OEB staff notes that the figures should be -$24,450 for Account 1588 and $27,114 for Account 1589.</w:t>
      </w:r>
    </w:p>
    <w:p w:rsidR="00124543" w:rsidRDefault="00124543" w:rsidP="00124543">
      <w:pPr>
        <w:pStyle w:val="ListParagraph"/>
        <w:numPr>
          <w:ilvl w:val="0"/>
          <w:numId w:val="7"/>
        </w:numPr>
        <w:rPr>
          <w:rFonts w:ascii="Arial" w:hAnsi="Arial" w:cs="Arial"/>
          <w:sz w:val="24"/>
          <w:szCs w:val="24"/>
        </w:rPr>
      </w:pPr>
      <w:r>
        <w:rPr>
          <w:rFonts w:ascii="Arial" w:hAnsi="Arial" w:cs="Arial"/>
          <w:sz w:val="24"/>
          <w:szCs w:val="24"/>
        </w:rPr>
        <w:t>Please confirm if Cooperative Hydro Embrun agrees, and staff will update the model.</w:t>
      </w:r>
    </w:p>
    <w:p w:rsidR="00124543" w:rsidRPr="00FB3DBF" w:rsidRDefault="00124543" w:rsidP="00124543">
      <w:pPr>
        <w:pStyle w:val="ListParagraph"/>
        <w:numPr>
          <w:ilvl w:val="0"/>
          <w:numId w:val="7"/>
        </w:numPr>
        <w:rPr>
          <w:rFonts w:ascii="Arial" w:hAnsi="Arial" w:cs="Arial"/>
          <w:sz w:val="24"/>
          <w:szCs w:val="24"/>
        </w:rPr>
      </w:pPr>
      <w:r>
        <w:rPr>
          <w:rFonts w:ascii="Arial" w:hAnsi="Arial" w:cs="Arial"/>
          <w:sz w:val="24"/>
          <w:szCs w:val="24"/>
        </w:rPr>
        <w:t>If answer to a) is no, please provide an explanation for the discrepancy.</w:t>
      </w:r>
    </w:p>
    <w:p w:rsidR="00CE2339" w:rsidRPr="00CE2339" w:rsidRDefault="00CE2339" w:rsidP="00CE2339">
      <w:pPr>
        <w:ind w:left="360"/>
        <w:rPr>
          <w:rFonts w:ascii="Arial" w:hAnsi="Arial" w:cs="Arial"/>
          <w:color w:val="0070C0"/>
          <w:sz w:val="24"/>
          <w:szCs w:val="24"/>
        </w:rPr>
      </w:pPr>
      <w:r w:rsidRPr="00CE2339">
        <w:rPr>
          <w:rFonts w:ascii="Arial" w:hAnsi="Arial" w:cs="Arial"/>
          <w:color w:val="0070C0"/>
          <w:sz w:val="24"/>
          <w:szCs w:val="24"/>
        </w:rPr>
        <w:t xml:space="preserve">Response: </w:t>
      </w:r>
      <w:r>
        <w:rPr>
          <w:rFonts w:ascii="Arial" w:hAnsi="Arial" w:cs="Arial"/>
          <w:color w:val="0070C0"/>
          <w:sz w:val="24"/>
          <w:szCs w:val="24"/>
        </w:rPr>
        <w:t>a) Please make the necessary adjustment to Board approved dispositions for 2012.</w:t>
      </w:r>
      <w:r w:rsidRPr="00CE2339">
        <w:rPr>
          <w:rFonts w:ascii="Arial" w:hAnsi="Arial" w:cs="Arial"/>
          <w:color w:val="0070C0"/>
          <w:sz w:val="24"/>
          <w:szCs w:val="24"/>
        </w:rPr>
        <w:t xml:space="preserve"> </w:t>
      </w:r>
    </w:p>
    <w:p w:rsidR="00112AE3" w:rsidRPr="00AA641B" w:rsidRDefault="00AA641B" w:rsidP="003A4275">
      <w:pPr>
        <w:pStyle w:val="ListParagraph"/>
        <w:ind w:left="360"/>
        <w:rPr>
          <w:rFonts w:ascii="Arial" w:hAnsi="Arial" w:cs="Arial"/>
          <w:color w:val="FF0000"/>
          <w:sz w:val="24"/>
          <w:szCs w:val="24"/>
        </w:rPr>
      </w:pPr>
      <w:r>
        <w:rPr>
          <w:rFonts w:ascii="Arial" w:hAnsi="Arial" w:cs="Arial"/>
          <w:color w:val="FF0000"/>
          <w:sz w:val="24"/>
          <w:szCs w:val="24"/>
        </w:rPr>
        <w:t xml:space="preserve">Staff: Adjustment made in the model. Cooperative </w:t>
      </w:r>
      <w:proofErr w:type="spellStart"/>
      <w:r>
        <w:rPr>
          <w:rFonts w:ascii="Arial" w:hAnsi="Arial" w:cs="Arial"/>
          <w:color w:val="FF0000"/>
          <w:sz w:val="24"/>
          <w:szCs w:val="24"/>
        </w:rPr>
        <w:t>Embrun</w:t>
      </w:r>
      <w:proofErr w:type="spellEnd"/>
      <w:r>
        <w:rPr>
          <w:rFonts w:ascii="Arial" w:hAnsi="Arial" w:cs="Arial"/>
          <w:color w:val="FF0000"/>
          <w:sz w:val="24"/>
          <w:szCs w:val="24"/>
        </w:rPr>
        <w:t xml:space="preserve"> will need to verify if the same adjustment is necessary on its RRR filing. If so, </w:t>
      </w:r>
      <w:r w:rsidRPr="00AA641B">
        <w:rPr>
          <w:rFonts w:ascii="Arial" w:hAnsi="Arial" w:cs="Arial"/>
          <w:color w:val="FF0000"/>
          <w:sz w:val="24"/>
          <w:szCs w:val="24"/>
        </w:rPr>
        <w:t xml:space="preserve">Cooperative </w:t>
      </w:r>
      <w:proofErr w:type="spellStart"/>
      <w:r w:rsidRPr="00AA641B">
        <w:rPr>
          <w:rFonts w:ascii="Arial" w:hAnsi="Arial" w:cs="Arial"/>
          <w:color w:val="FF0000"/>
          <w:sz w:val="24"/>
          <w:szCs w:val="24"/>
        </w:rPr>
        <w:t>Embrun</w:t>
      </w:r>
      <w:proofErr w:type="spellEnd"/>
      <w:r w:rsidRPr="00AA641B">
        <w:rPr>
          <w:rFonts w:ascii="Arial" w:hAnsi="Arial" w:cs="Arial"/>
          <w:color w:val="FF0000"/>
          <w:sz w:val="24"/>
          <w:szCs w:val="24"/>
        </w:rPr>
        <w:t xml:space="preserve"> will have to request the adjustment be completed through OEB’s Performance Assessment group.  This does not have an effect on the processing of this application; however, Cooperative </w:t>
      </w:r>
      <w:proofErr w:type="spellStart"/>
      <w:r w:rsidRPr="00AA641B">
        <w:rPr>
          <w:rFonts w:ascii="Arial" w:hAnsi="Arial" w:cs="Arial"/>
          <w:color w:val="FF0000"/>
          <w:sz w:val="24"/>
          <w:szCs w:val="24"/>
        </w:rPr>
        <w:t>Embrun</w:t>
      </w:r>
      <w:proofErr w:type="spellEnd"/>
      <w:r w:rsidRPr="00AA641B">
        <w:rPr>
          <w:rFonts w:ascii="Arial" w:hAnsi="Arial" w:cs="Arial"/>
          <w:color w:val="FF0000"/>
          <w:sz w:val="24"/>
          <w:szCs w:val="24"/>
        </w:rPr>
        <w:t xml:space="preserve"> should request this change as soon as possible.</w:t>
      </w:r>
    </w:p>
    <w:p w:rsidR="005964DD" w:rsidRPr="00124543" w:rsidRDefault="00112AE3" w:rsidP="00124543">
      <w:pPr>
        <w:pStyle w:val="ListParagraph"/>
        <w:ind w:left="360"/>
        <w:rPr>
          <w:rFonts w:ascii="Arial" w:hAnsi="Arial" w:cs="Arial"/>
          <w:sz w:val="24"/>
          <w:szCs w:val="24"/>
        </w:rPr>
      </w:pPr>
      <w:r>
        <w:rPr>
          <w:noProof/>
          <w:lang w:eastAsia="en-CA"/>
        </w:rPr>
        <w:drawing>
          <wp:inline distT="0" distB="0" distL="0" distR="0" wp14:anchorId="109789B6" wp14:editId="208ACDCE">
            <wp:extent cx="5781675" cy="477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80953" cy="4771429"/>
                    </a:xfrm>
                    <a:prstGeom prst="rect">
                      <a:avLst/>
                    </a:prstGeom>
                  </pic:spPr>
                </pic:pic>
              </a:graphicData>
            </a:graphic>
          </wp:inline>
        </w:drawing>
      </w:r>
    </w:p>
    <w:p w:rsidR="005964DD" w:rsidRDefault="005964DD" w:rsidP="003A4275">
      <w:pPr>
        <w:pStyle w:val="ListParagraph"/>
        <w:ind w:left="360"/>
        <w:rPr>
          <w:rFonts w:ascii="Arial" w:hAnsi="Arial" w:cs="Arial"/>
          <w:sz w:val="24"/>
          <w:szCs w:val="24"/>
        </w:rPr>
      </w:pPr>
    </w:p>
    <w:p w:rsidR="00112AE3" w:rsidRDefault="00112AE3" w:rsidP="003A4275">
      <w:pPr>
        <w:pStyle w:val="ListParagraph"/>
        <w:ind w:left="360"/>
        <w:rPr>
          <w:rFonts w:ascii="Arial" w:hAnsi="Arial" w:cs="Arial"/>
          <w:sz w:val="24"/>
          <w:szCs w:val="24"/>
        </w:rPr>
      </w:pPr>
      <w:r>
        <w:rPr>
          <w:noProof/>
          <w:lang w:eastAsia="en-CA"/>
        </w:rPr>
        <w:lastRenderedPageBreak/>
        <w:drawing>
          <wp:inline distT="0" distB="0" distL="0" distR="0" wp14:anchorId="3DAA9AB3" wp14:editId="1D0F7D23">
            <wp:extent cx="5943600" cy="3463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463290"/>
                    </a:xfrm>
                    <a:prstGeom prst="rect">
                      <a:avLst/>
                    </a:prstGeom>
                  </pic:spPr>
                </pic:pic>
              </a:graphicData>
            </a:graphic>
          </wp:inline>
        </w:drawing>
      </w:r>
    </w:p>
    <w:p w:rsidR="00112AE3" w:rsidRPr="00112AE3" w:rsidRDefault="00112AE3" w:rsidP="003A4275">
      <w:pPr>
        <w:pStyle w:val="ListParagraph"/>
        <w:ind w:left="360"/>
        <w:rPr>
          <w:rFonts w:ascii="Arial" w:hAnsi="Arial" w:cs="Arial"/>
          <w:b/>
          <w:sz w:val="24"/>
          <w:szCs w:val="24"/>
        </w:rPr>
      </w:pPr>
    </w:p>
    <w:p w:rsidR="00FB3DBF" w:rsidRPr="00FB3DBF" w:rsidRDefault="00112AE3" w:rsidP="00FB3DBF">
      <w:pPr>
        <w:pStyle w:val="ListParagraph"/>
        <w:numPr>
          <w:ilvl w:val="0"/>
          <w:numId w:val="1"/>
        </w:numPr>
        <w:rPr>
          <w:rFonts w:ascii="Arial" w:hAnsi="Arial" w:cs="Arial"/>
          <w:b/>
          <w:sz w:val="24"/>
          <w:szCs w:val="24"/>
        </w:rPr>
      </w:pPr>
      <w:r w:rsidRPr="00112AE3">
        <w:rPr>
          <w:rFonts w:ascii="Arial" w:hAnsi="Arial" w:cs="Arial"/>
          <w:b/>
          <w:sz w:val="24"/>
          <w:szCs w:val="24"/>
        </w:rPr>
        <w:t xml:space="preserve">Tab 4 – Billing Det. For </w:t>
      </w:r>
      <w:proofErr w:type="spellStart"/>
      <w:r w:rsidRPr="00112AE3">
        <w:rPr>
          <w:rFonts w:ascii="Arial" w:hAnsi="Arial" w:cs="Arial"/>
          <w:b/>
          <w:sz w:val="24"/>
          <w:szCs w:val="24"/>
        </w:rPr>
        <w:t>Def-Var</w:t>
      </w:r>
      <w:proofErr w:type="spellEnd"/>
    </w:p>
    <w:p w:rsidR="00CD564D" w:rsidRDefault="00124543" w:rsidP="00CD564D">
      <w:pPr>
        <w:pStyle w:val="ListParagraph"/>
        <w:ind w:left="360"/>
        <w:rPr>
          <w:rFonts w:ascii="Arial" w:hAnsi="Arial" w:cs="Arial"/>
          <w:sz w:val="24"/>
          <w:szCs w:val="24"/>
        </w:rPr>
      </w:pPr>
      <w:r>
        <w:rPr>
          <w:rFonts w:ascii="Arial" w:hAnsi="Arial" w:cs="Arial"/>
          <w:sz w:val="24"/>
          <w:szCs w:val="24"/>
        </w:rPr>
        <w:t xml:space="preserve">The </w:t>
      </w:r>
      <w:r w:rsidR="00CD564D">
        <w:rPr>
          <w:rFonts w:ascii="Arial" w:hAnsi="Arial" w:cs="Arial"/>
          <w:sz w:val="24"/>
          <w:szCs w:val="24"/>
        </w:rPr>
        <w:t xml:space="preserve">proportion </w:t>
      </w:r>
      <w:r>
        <w:rPr>
          <w:rFonts w:ascii="Arial" w:hAnsi="Arial" w:cs="Arial"/>
          <w:sz w:val="24"/>
          <w:szCs w:val="24"/>
        </w:rPr>
        <w:t>figures entered in</w:t>
      </w:r>
      <w:r w:rsidR="00CD564D">
        <w:rPr>
          <w:rFonts w:ascii="Arial" w:hAnsi="Arial" w:cs="Arial"/>
          <w:sz w:val="24"/>
          <w:szCs w:val="24"/>
        </w:rPr>
        <w:t xml:space="preserve"> “</w:t>
      </w:r>
      <w:r w:rsidR="00367043">
        <w:rPr>
          <w:rFonts w:ascii="Arial" w:hAnsi="Arial" w:cs="Arial"/>
          <w:sz w:val="24"/>
          <w:szCs w:val="24"/>
        </w:rPr>
        <w:t>1595 Recovery Share Proportion</w:t>
      </w:r>
      <w:r w:rsidR="00CD564D">
        <w:rPr>
          <w:rFonts w:ascii="Arial" w:hAnsi="Arial" w:cs="Arial"/>
          <w:sz w:val="24"/>
          <w:szCs w:val="24"/>
        </w:rPr>
        <w:t>”</w:t>
      </w:r>
      <w:r w:rsidR="00367043">
        <w:rPr>
          <w:rFonts w:ascii="Arial" w:hAnsi="Arial" w:cs="Arial"/>
          <w:sz w:val="24"/>
          <w:szCs w:val="24"/>
        </w:rPr>
        <w:t xml:space="preserve"> fields</w:t>
      </w:r>
      <w:r>
        <w:rPr>
          <w:rFonts w:ascii="Arial" w:hAnsi="Arial" w:cs="Arial"/>
          <w:sz w:val="24"/>
          <w:szCs w:val="24"/>
        </w:rPr>
        <w:t xml:space="preserve"> (column P to V)</w:t>
      </w:r>
      <w:r w:rsidR="00CD564D">
        <w:rPr>
          <w:rFonts w:ascii="Arial" w:hAnsi="Arial" w:cs="Arial"/>
          <w:sz w:val="24"/>
          <w:szCs w:val="24"/>
        </w:rPr>
        <w:t xml:space="preserve"> </w:t>
      </w:r>
      <w:r w:rsidR="00367043">
        <w:rPr>
          <w:rFonts w:ascii="Arial" w:hAnsi="Arial" w:cs="Arial"/>
          <w:sz w:val="24"/>
          <w:szCs w:val="24"/>
        </w:rPr>
        <w:t>are to be used to allocate the residual account balance of 1595 in Tab 5.</w:t>
      </w:r>
      <w:r w:rsidR="00FE1AF5">
        <w:rPr>
          <w:rFonts w:ascii="Arial" w:hAnsi="Arial" w:cs="Arial"/>
          <w:sz w:val="24"/>
          <w:szCs w:val="24"/>
        </w:rPr>
        <w:t xml:space="preserve"> </w:t>
      </w:r>
      <w:r w:rsidR="00CD564D">
        <w:rPr>
          <w:rFonts w:ascii="Arial" w:hAnsi="Arial" w:cs="Arial"/>
          <w:sz w:val="24"/>
          <w:szCs w:val="24"/>
        </w:rPr>
        <w:t>As Cooperative Hydro Embrun is s</w:t>
      </w:r>
      <w:r w:rsidR="00497674">
        <w:rPr>
          <w:rFonts w:ascii="Arial" w:hAnsi="Arial" w:cs="Arial"/>
          <w:sz w:val="24"/>
          <w:szCs w:val="24"/>
        </w:rPr>
        <w:t>eeking disposition of Account 1595(2010) and 1595</w:t>
      </w:r>
      <w:r w:rsidR="00CD564D">
        <w:rPr>
          <w:rFonts w:ascii="Arial" w:hAnsi="Arial" w:cs="Arial"/>
          <w:sz w:val="24"/>
          <w:szCs w:val="24"/>
        </w:rPr>
        <w:t xml:space="preserve">(2012), please provide “1595 Recovery Share Proportion” figures for year 2010 (column R) and 2012 (column T). </w:t>
      </w:r>
      <w:r w:rsidR="00FB3DBF">
        <w:rPr>
          <w:rFonts w:ascii="Arial" w:hAnsi="Arial" w:cs="Arial"/>
          <w:sz w:val="24"/>
          <w:szCs w:val="24"/>
        </w:rPr>
        <w:t>OEB staff will update the model using the figures provided.</w:t>
      </w:r>
    </w:p>
    <w:p w:rsidR="00A40014" w:rsidRDefault="00A40014" w:rsidP="00CD564D">
      <w:pPr>
        <w:pStyle w:val="ListParagraph"/>
        <w:ind w:left="360"/>
        <w:rPr>
          <w:rFonts w:ascii="Arial" w:hAnsi="Arial" w:cs="Arial"/>
          <w:sz w:val="24"/>
          <w:szCs w:val="24"/>
        </w:rPr>
      </w:pPr>
    </w:p>
    <w:p w:rsidR="00A40014" w:rsidRDefault="00A40014" w:rsidP="00CD564D">
      <w:pPr>
        <w:pStyle w:val="ListParagraph"/>
        <w:ind w:left="360"/>
        <w:rPr>
          <w:rFonts w:ascii="Arial" w:hAnsi="Arial" w:cs="Arial"/>
          <w:sz w:val="24"/>
          <w:szCs w:val="24"/>
        </w:rPr>
      </w:pPr>
      <w:r>
        <w:rPr>
          <w:noProof/>
          <w:lang w:eastAsia="en-CA"/>
        </w:rPr>
        <w:drawing>
          <wp:inline distT="0" distB="0" distL="0" distR="0" wp14:anchorId="04C711F7" wp14:editId="55C09237">
            <wp:extent cx="5943600" cy="18999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899920"/>
                    </a:xfrm>
                    <a:prstGeom prst="rect">
                      <a:avLst/>
                    </a:prstGeom>
                  </pic:spPr>
                </pic:pic>
              </a:graphicData>
            </a:graphic>
          </wp:inline>
        </w:drawing>
      </w:r>
    </w:p>
    <w:p w:rsidR="00CE2339" w:rsidRPr="00CE2339" w:rsidRDefault="00CE2339" w:rsidP="00CE2339">
      <w:pPr>
        <w:ind w:left="360"/>
        <w:rPr>
          <w:rFonts w:ascii="Arial" w:hAnsi="Arial" w:cs="Arial"/>
          <w:color w:val="0070C0"/>
          <w:sz w:val="24"/>
          <w:szCs w:val="24"/>
        </w:rPr>
      </w:pPr>
      <w:r w:rsidRPr="00CE2339">
        <w:rPr>
          <w:rFonts w:ascii="Arial" w:hAnsi="Arial" w:cs="Arial"/>
          <w:color w:val="0070C0"/>
          <w:sz w:val="24"/>
          <w:szCs w:val="24"/>
        </w:rPr>
        <w:t xml:space="preserve">Response: Please make the necessary adjustment to 1595 Recovery Share Proportion. </w:t>
      </w:r>
    </w:p>
    <w:p w:rsidR="00FB3DBF" w:rsidRDefault="00AA641B" w:rsidP="00CD564D">
      <w:pPr>
        <w:pStyle w:val="ListParagraph"/>
        <w:ind w:left="360"/>
        <w:rPr>
          <w:rFonts w:ascii="Arial" w:hAnsi="Arial" w:cs="Arial"/>
          <w:color w:val="FF0000"/>
          <w:sz w:val="24"/>
          <w:szCs w:val="24"/>
        </w:rPr>
      </w:pPr>
      <w:r>
        <w:rPr>
          <w:rFonts w:ascii="Arial" w:hAnsi="Arial" w:cs="Arial"/>
          <w:color w:val="FF0000"/>
          <w:sz w:val="24"/>
          <w:szCs w:val="24"/>
        </w:rPr>
        <w:lastRenderedPageBreak/>
        <w:t xml:space="preserve">Staff: Cooperative </w:t>
      </w:r>
      <w:proofErr w:type="spellStart"/>
      <w:r>
        <w:rPr>
          <w:rFonts w:ascii="Arial" w:hAnsi="Arial" w:cs="Arial"/>
          <w:color w:val="FF0000"/>
          <w:sz w:val="24"/>
          <w:szCs w:val="24"/>
        </w:rPr>
        <w:t>Embrun</w:t>
      </w:r>
      <w:proofErr w:type="spellEnd"/>
      <w:r>
        <w:rPr>
          <w:rFonts w:ascii="Arial" w:hAnsi="Arial" w:cs="Arial"/>
          <w:color w:val="FF0000"/>
          <w:sz w:val="24"/>
          <w:szCs w:val="24"/>
        </w:rPr>
        <w:t xml:space="preserve"> provided the following 1595 Recovery Share Proportion numbers </w:t>
      </w:r>
      <w:r w:rsidR="000F22F4">
        <w:rPr>
          <w:rFonts w:ascii="Arial" w:hAnsi="Arial" w:cs="Arial"/>
          <w:color w:val="FF0000"/>
          <w:sz w:val="24"/>
          <w:szCs w:val="24"/>
        </w:rPr>
        <w:t xml:space="preserve">for year 2010 and 2012 </w:t>
      </w:r>
      <w:r>
        <w:rPr>
          <w:rFonts w:ascii="Arial" w:hAnsi="Arial" w:cs="Arial"/>
          <w:color w:val="FF0000"/>
          <w:sz w:val="24"/>
          <w:szCs w:val="24"/>
        </w:rPr>
        <w:t xml:space="preserve">as per email </w:t>
      </w:r>
      <w:r w:rsidR="000F22F4">
        <w:rPr>
          <w:rFonts w:ascii="Arial" w:hAnsi="Arial" w:cs="Arial"/>
          <w:color w:val="FF0000"/>
          <w:sz w:val="24"/>
          <w:szCs w:val="24"/>
        </w:rPr>
        <w:t>date September 28, 2015. These proportion numbers have been applied into the model.</w:t>
      </w:r>
    </w:p>
    <w:p w:rsidR="00AA641B" w:rsidRDefault="00AA641B" w:rsidP="00CD564D">
      <w:pPr>
        <w:pStyle w:val="ListParagraph"/>
        <w:ind w:left="360"/>
        <w:rPr>
          <w:rFonts w:ascii="Arial" w:hAnsi="Arial" w:cs="Arial"/>
          <w:color w:val="FF0000"/>
          <w:sz w:val="24"/>
          <w:szCs w:val="24"/>
        </w:rPr>
      </w:pPr>
    </w:p>
    <w:tbl>
      <w:tblPr>
        <w:tblW w:w="2880" w:type="dxa"/>
        <w:tblCellMar>
          <w:left w:w="0" w:type="dxa"/>
          <w:right w:w="0" w:type="dxa"/>
        </w:tblCellMar>
        <w:tblLook w:val="04A0" w:firstRow="1" w:lastRow="0" w:firstColumn="1" w:lastColumn="0" w:noHBand="0" w:noVBand="1"/>
      </w:tblPr>
      <w:tblGrid>
        <w:gridCol w:w="1282"/>
        <w:gridCol w:w="960"/>
        <w:gridCol w:w="875"/>
      </w:tblGrid>
      <w:tr w:rsidR="00AA641B" w:rsidTr="00AA641B">
        <w:trPr>
          <w:trHeight w:val="300"/>
        </w:trPr>
        <w:tc>
          <w:tcPr>
            <w:tcW w:w="960" w:type="dxa"/>
            <w:tcMar>
              <w:top w:w="0" w:type="dxa"/>
              <w:left w:w="108" w:type="dxa"/>
              <w:bottom w:w="0" w:type="dxa"/>
              <w:right w:w="108" w:type="dxa"/>
            </w:tcMar>
            <w:vAlign w:val="center"/>
          </w:tcPr>
          <w:p w:rsidR="00AA641B" w:rsidRDefault="00AA641B">
            <w:pPr>
              <w:jc w:val="center"/>
              <w:rPr>
                <w:rFonts w:ascii="Calibri" w:hAnsi="Calibri"/>
                <w:color w:val="000000"/>
                <w:lang w:eastAsia="en-CA"/>
              </w:rPr>
            </w:pPr>
          </w:p>
        </w:tc>
        <w:tc>
          <w:tcPr>
            <w:tcW w:w="960" w:type="dxa"/>
            <w:noWrap/>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2010</w:t>
            </w:r>
          </w:p>
        </w:tc>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2012</w:t>
            </w:r>
          </w:p>
        </w:tc>
      </w:tr>
      <w:tr w:rsidR="00AA641B" w:rsidTr="00AA641B">
        <w:trPr>
          <w:trHeight w:val="300"/>
        </w:trPr>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Res</w:t>
            </w:r>
          </w:p>
        </w:tc>
        <w:tc>
          <w:tcPr>
            <w:tcW w:w="960" w:type="dxa"/>
            <w:noWrap/>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69.06%</w:t>
            </w:r>
          </w:p>
        </w:tc>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68.19%</w:t>
            </w:r>
          </w:p>
        </w:tc>
      </w:tr>
      <w:tr w:rsidR="00AA641B" w:rsidTr="00AA641B">
        <w:trPr>
          <w:trHeight w:val="300"/>
        </w:trPr>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GS&lt;50</w:t>
            </w:r>
          </w:p>
        </w:tc>
        <w:tc>
          <w:tcPr>
            <w:tcW w:w="960" w:type="dxa"/>
            <w:noWrap/>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15.35%</w:t>
            </w:r>
          </w:p>
        </w:tc>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16.23%</w:t>
            </w:r>
          </w:p>
        </w:tc>
      </w:tr>
      <w:tr w:rsidR="00AA641B" w:rsidTr="00AA641B">
        <w:trPr>
          <w:trHeight w:val="300"/>
        </w:trPr>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GS&gt;50</w:t>
            </w:r>
          </w:p>
        </w:tc>
        <w:tc>
          <w:tcPr>
            <w:tcW w:w="960" w:type="dxa"/>
            <w:noWrap/>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14.24%</w:t>
            </w:r>
          </w:p>
        </w:tc>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14.03%</w:t>
            </w:r>
          </w:p>
        </w:tc>
      </w:tr>
      <w:tr w:rsidR="00AA641B" w:rsidTr="00AA641B">
        <w:trPr>
          <w:trHeight w:val="300"/>
        </w:trPr>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USL</w:t>
            </w:r>
          </w:p>
        </w:tc>
        <w:tc>
          <w:tcPr>
            <w:tcW w:w="960" w:type="dxa"/>
            <w:noWrap/>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0.34%</w:t>
            </w:r>
          </w:p>
        </w:tc>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0.30%</w:t>
            </w:r>
          </w:p>
        </w:tc>
      </w:tr>
      <w:tr w:rsidR="00AA641B" w:rsidTr="00AA641B">
        <w:trPr>
          <w:trHeight w:val="300"/>
        </w:trPr>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proofErr w:type="spellStart"/>
            <w:r>
              <w:rPr>
                <w:color w:val="000000"/>
                <w:lang w:eastAsia="en-CA"/>
              </w:rPr>
              <w:t>StreetLights</w:t>
            </w:r>
            <w:proofErr w:type="spellEnd"/>
          </w:p>
        </w:tc>
        <w:tc>
          <w:tcPr>
            <w:tcW w:w="960" w:type="dxa"/>
            <w:noWrap/>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1.03%</w:t>
            </w:r>
          </w:p>
        </w:tc>
        <w:tc>
          <w:tcPr>
            <w:tcW w:w="960" w:type="dxa"/>
            <w:tcMar>
              <w:top w:w="0" w:type="dxa"/>
              <w:left w:w="108" w:type="dxa"/>
              <w:bottom w:w="0" w:type="dxa"/>
              <w:right w:w="108" w:type="dxa"/>
            </w:tcMar>
            <w:vAlign w:val="center"/>
            <w:hideMark/>
          </w:tcPr>
          <w:p w:rsidR="00AA641B" w:rsidRDefault="00AA641B">
            <w:pPr>
              <w:jc w:val="center"/>
              <w:rPr>
                <w:rFonts w:ascii="Calibri" w:hAnsi="Calibri"/>
                <w:color w:val="000000"/>
                <w:lang w:eastAsia="en-CA"/>
              </w:rPr>
            </w:pPr>
            <w:r>
              <w:rPr>
                <w:color w:val="000000"/>
                <w:lang w:eastAsia="en-CA"/>
              </w:rPr>
              <w:t>1.23%</w:t>
            </w:r>
          </w:p>
        </w:tc>
      </w:tr>
    </w:tbl>
    <w:p w:rsidR="00AA641B" w:rsidRPr="00AA641B" w:rsidRDefault="00AA641B" w:rsidP="00CD564D">
      <w:pPr>
        <w:pStyle w:val="ListParagraph"/>
        <w:ind w:left="360"/>
        <w:rPr>
          <w:rFonts w:ascii="Arial" w:hAnsi="Arial" w:cs="Arial"/>
          <w:color w:val="FF0000"/>
          <w:sz w:val="24"/>
          <w:szCs w:val="24"/>
        </w:rPr>
      </w:pPr>
    </w:p>
    <w:p w:rsidR="00FB3DBF" w:rsidRPr="00AE49B6" w:rsidRDefault="00AE49B6" w:rsidP="00AE49B6">
      <w:pPr>
        <w:pStyle w:val="ListParagraph"/>
        <w:numPr>
          <w:ilvl w:val="0"/>
          <w:numId w:val="1"/>
        </w:numPr>
        <w:rPr>
          <w:rFonts w:ascii="Arial" w:hAnsi="Arial" w:cs="Arial"/>
          <w:sz w:val="24"/>
          <w:szCs w:val="24"/>
        </w:rPr>
      </w:pPr>
      <w:r>
        <w:rPr>
          <w:rFonts w:ascii="Arial" w:hAnsi="Arial" w:cs="Arial"/>
          <w:b/>
          <w:sz w:val="24"/>
          <w:szCs w:val="24"/>
        </w:rPr>
        <w:t>Manager’s Summary – Section 6. Rate Design For Residential Electricity</w:t>
      </w:r>
    </w:p>
    <w:p w:rsidR="00AE49B6" w:rsidRDefault="00AE49B6" w:rsidP="00AE49B6">
      <w:pPr>
        <w:pStyle w:val="ListParagraph"/>
        <w:ind w:left="360"/>
        <w:rPr>
          <w:rFonts w:ascii="Arial" w:hAnsi="Arial" w:cs="Arial"/>
          <w:sz w:val="24"/>
          <w:szCs w:val="24"/>
        </w:rPr>
      </w:pPr>
      <w:r>
        <w:rPr>
          <w:rFonts w:ascii="Arial" w:hAnsi="Arial" w:cs="Arial"/>
          <w:sz w:val="24"/>
          <w:szCs w:val="24"/>
        </w:rPr>
        <w:t xml:space="preserve">In Table 2 </w:t>
      </w:r>
      <w:r w:rsidR="00497674">
        <w:rPr>
          <w:rFonts w:ascii="Arial" w:hAnsi="Arial" w:cs="Arial"/>
          <w:sz w:val="24"/>
          <w:szCs w:val="24"/>
        </w:rPr>
        <w:t xml:space="preserve">of the application </w:t>
      </w:r>
      <w:r>
        <w:rPr>
          <w:rFonts w:ascii="Arial" w:hAnsi="Arial" w:cs="Arial"/>
          <w:sz w:val="24"/>
          <w:szCs w:val="24"/>
        </w:rPr>
        <w:t xml:space="preserve">- </w:t>
      </w:r>
      <w:r w:rsidRPr="00AE49B6">
        <w:rPr>
          <w:rFonts w:ascii="Arial" w:hAnsi="Arial" w:cs="Arial"/>
          <w:sz w:val="24"/>
          <w:szCs w:val="24"/>
        </w:rPr>
        <w:t>Current VS Proposed Distribution Rates</w:t>
      </w:r>
      <w:r>
        <w:rPr>
          <w:rFonts w:ascii="Arial" w:hAnsi="Arial" w:cs="Arial"/>
          <w:sz w:val="24"/>
          <w:szCs w:val="24"/>
        </w:rPr>
        <w:t>,</w:t>
      </w:r>
      <w:r w:rsidRPr="00AE49B6">
        <w:rPr>
          <w:rFonts w:ascii="Arial" w:hAnsi="Arial" w:cs="Arial"/>
          <w:sz w:val="24"/>
          <w:szCs w:val="24"/>
        </w:rPr>
        <w:t xml:space="preserve"> </w:t>
      </w:r>
      <w:r>
        <w:rPr>
          <w:rFonts w:ascii="Arial" w:hAnsi="Arial" w:cs="Arial"/>
          <w:sz w:val="24"/>
          <w:szCs w:val="24"/>
        </w:rPr>
        <w:t>the title of the 5</w:t>
      </w:r>
      <w:r w:rsidRPr="00AE49B6">
        <w:rPr>
          <w:rFonts w:ascii="Arial" w:hAnsi="Arial" w:cs="Arial"/>
          <w:sz w:val="24"/>
          <w:szCs w:val="24"/>
          <w:vertAlign w:val="superscript"/>
        </w:rPr>
        <w:t>th</w:t>
      </w:r>
      <w:r>
        <w:rPr>
          <w:rFonts w:ascii="Arial" w:hAnsi="Arial" w:cs="Arial"/>
          <w:sz w:val="24"/>
          <w:szCs w:val="24"/>
        </w:rPr>
        <w:t xml:space="preserve"> column reads “2014 Board Approved </w:t>
      </w:r>
      <w:r w:rsidRPr="00AE49B6">
        <w:rPr>
          <w:rFonts w:ascii="Arial" w:hAnsi="Arial" w:cs="Arial"/>
          <w:sz w:val="24"/>
          <w:szCs w:val="24"/>
          <w:u w:val="single"/>
        </w:rPr>
        <w:t>Fixed</w:t>
      </w:r>
      <w:r w:rsidR="0075420B">
        <w:rPr>
          <w:rFonts w:ascii="Arial" w:hAnsi="Arial" w:cs="Arial"/>
          <w:sz w:val="24"/>
          <w:szCs w:val="24"/>
        </w:rPr>
        <w:t xml:space="preserve"> Ratio”. P</w:t>
      </w:r>
      <w:r w:rsidR="001C7CFD">
        <w:rPr>
          <w:rFonts w:ascii="Arial" w:hAnsi="Arial" w:cs="Arial"/>
          <w:sz w:val="24"/>
          <w:szCs w:val="24"/>
        </w:rPr>
        <w:t xml:space="preserve">lease confirm the title </w:t>
      </w:r>
      <w:r>
        <w:rPr>
          <w:rFonts w:ascii="Arial" w:hAnsi="Arial" w:cs="Arial"/>
          <w:sz w:val="24"/>
          <w:szCs w:val="24"/>
        </w:rPr>
        <w:t xml:space="preserve">should be “2014 </w:t>
      </w:r>
      <w:r w:rsidR="001C7CFD">
        <w:rPr>
          <w:rFonts w:ascii="Arial" w:hAnsi="Arial" w:cs="Arial"/>
          <w:sz w:val="24"/>
          <w:szCs w:val="24"/>
        </w:rPr>
        <w:t>Board Approved Variable Ratio”.</w:t>
      </w:r>
    </w:p>
    <w:p w:rsidR="00497674" w:rsidRPr="00AE49B6" w:rsidRDefault="00497674" w:rsidP="00AE49B6">
      <w:pPr>
        <w:pStyle w:val="ListParagraph"/>
        <w:ind w:left="360"/>
        <w:rPr>
          <w:rFonts w:ascii="Arial" w:hAnsi="Arial" w:cs="Arial"/>
          <w:sz w:val="24"/>
          <w:szCs w:val="24"/>
        </w:rPr>
      </w:pPr>
      <w:r>
        <w:rPr>
          <w:noProof/>
          <w:lang w:eastAsia="en-CA"/>
        </w:rPr>
        <w:drawing>
          <wp:inline distT="0" distB="0" distL="0" distR="0" wp14:anchorId="673B7049" wp14:editId="78D1A6FD">
            <wp:extent cx="5943600" cy="21482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148205"/>
                    </a:xfrm>
                    <a:prstGeom prst="rect">
                      <a:avLst/>
                    </a:prstGeom>
                  </pic:spPr>
                </pic:pic>
              </a:graphicData>
            </a:graphic>
          </wp:inline>
        </w:drawing>
      </w:r>
    </w:p>
    <w:p w:rsidR="009761FE" w:rsidRPr="0075420B" w:rsidRDefault="009761FE" w:rsidP="0075420B">
      <w:pPr>
        <w:pStyle w:val="ListParagraph"/>
        <w:ind w:left="360"/>
        <w:rPr>
          <w:rFonts w:ascii="Arial" w:hAnsi="Arial" w:cs="Arial"/>
          <w:sz w:val="24"/>
          <w:szCs w:val="24"/>
        </w:rPr>
      </w:pPr>
    </w:p>
    <w:p w:rsidR="00CE2339" w:rsidRPr="00CE2339" w:rsidRDefault="00CE2339" w:rsidP="00CE2339">
      <w:pPr>
        <w:ind w:left="360"/>
        <w:rPr>
          <w:rFonts w:ascii="Arial" w:hAnsi="Arial" w:cs="Arial"/>
          <w:color w:val="0070C0"/>
          <w:sz w:val="24"/>
          <w:szCs w:val="24"/>
        </w:rPr>
      </w:pPr>
      <w:r w:rsidRPr="00CE2339">
        <w:rPr>
          <w:rFonts w:ascii="Arial" w:hAnsi="Arial" w:cs="Arial"/>
          <w:color w:val="0070C0"/>
          <w:sz w:val="24"/>
          <w:szCs w:val="24"/>
        </w:rPr>
        <w:t xml:space="preserve">Response: </w:t>
      </w:r>
      <w:r>
        <w:rPr>
          <w:rFonts w:ascii="Arial" w:hAnsi="Arial" w:cs="Arial"/>
          <w:color w:val="0070C0"/>
          <w:sz w:val="24"/>
          <w:szCs w:val="24"/>
        </w:rPr>
        <w:t>Correct, the column heading should say Variable rather than Fixed</w:t>
      </w:r>
      <w:r w:rsidRPr="00CE2339">
        <w:rPr>
          <w:rFonts w:ascii="Arial" w:hAnsi="Arial" w:cs="Arial"/>
          <w:color w:val="0070C0"/>
          <w:sz w:val="24"/>
          <w:szCs w:val="24"/>
        </w:rPr>
        <w:t xml:space="preserve">. </w:t>
      </w:r>
    </w:p>
    <w:p w:rsidR="00BD08B8" w:rsidRPr="000F22F4" w:rsidRDefault="000F22F4" w:rsidP="00BD08B8">
      <w:pPr>
        <w:pStyle w:val="ListParagraph"/>
        <w:spacing w:line="360" w:lineRule="auto"/>
        <w:ind w:left="360"/>
        <w:jc w:val="both"/>
        <w:rPr>
          <w:rFonts w:ascii="Arial" w:hAnsi="Arial" w:cs="Arial"/>
          <w:color w:val="FF0000"/>
          <w:sz w:val="24"/>
          <w:szCs w:val="24"/>
        </w:rPr>
      </w:pPr>
      <w:r>
        <w:rPr>
          <w:rFonts w:ascii="Arial" w:hAnsi="Arial" w:cs="Arial"/>
          <w:color w:val="FF0000"/>
          <w:sz w:val="24"/>
          <w:szCs w:val="24"/>
        </w:rPr>
        <w:t>Staff: Corrected.</w:t>
      </w:r>
    </w:p>
    <w:p w:rsidR="00BD08B8" w:rsidRPr="00AE49B6" w:rsidRDefault="00BD08B8" w:rsidP="00AE49B6">
      <w:pPr>
        <w:pStyle w:val="ListParagraph"/>
        <w:ind w:left="360"/>
        <w:rPr>
          <w:rFonts w:ascii="Arial" w:hAnsi="Arial" w:cs="Arial"/>
          <w:sz w:val="24"/>
          <w:szCs w:val="24"/>
        </w:rPr>
      </w:pPr>
    </w:p>
    <w:p w:rsidR="00FB3DBF" w:rsidRDefault="00FB3DBF" w:rsidP="00CD564D">
      <w:pPr>
        <w:pStyle w:val="ListParagraph"/>
        <w:ind w:left="360"/>
        <w:rPr>
          <w:rFonts w:ascii="Arial" w:hAnsi="Arial" w:cs="Arial"/>
          <w:sz w:val="24"/>
          <w:szCs w:val="24"/>
        </w:rPr>
      </w:pPr>
    </w:p>
    <w:p w:rsidR="00FB3DBF" w:rsidRDefault="00FB3DBF" w:rsidP="00FB3DBF">
      <w:pPr>
        <w:pStyle w:val="ListParagraph"/>
        <w:ind w:left="360"/>
        <w:rPr>
          <w:rFonts w:ascii="Arial" w:hAnsi="Arial" w:cs="Arial"/>
          <w:sz w:val="24"/>
          <w:szCs w:val="24"/>
        </w:rPr>
      </w:pPr>
    </w:p>
    <w:p w:rsidR="00FB3DBF" w:rsidRPr="00FB3DBF" w:rsidRDefault="00FB3DBF" w:rsidP="00FB3DBF">
      <w:pPr>
        <w:pStyle w:val="ListParagraph"/>
        <w:rPr>
          <w:rFonts w:ascii="Arial" w:hAnsi="Arial" w:cs="Arial"/>
          <w:sz w:val="24"/>
          <w:szCs w:val="24"/>
        </w:rPr>
      </w:pPr>
    </w:p>
    <w:p w:rsidR="00FB3DBF" w:rsidRDefault="00FB3DBF" w:rsidP="00CD564D">
      <w:pPr>
        <w:pStyle w:val="ListParagraph"/>
        <w:ind w:left="360"/>
        <w:rPr>
          <w:rFonts w:ascii="Arial" w:hAnsi="Arial" w:cs="Arial"/>
          <w:sz w:val="24"/>
          <w:szCs w:val="24"/>
        </w:rPr>
      </w:pPr>
    </w:p>
    <w:p w:rsidR="00FB3DBF" w:rsidRDefault="00FB3DBF" w:rsidP="00CD564D">
      <w:pPr>
        <w:pStyle w:val="ListParagraph"/>
        <w:ind w:left="360"/>
        <w:rPr>
          <w:rFonts w:ascii="Arial" w:hAnsi="Arial" w:cs="Arial"/>
          <w:sz w:val="24"/>
          <w:szCs w:val="24"/>
        </w:rPr>
      </w:pPr>
    </w:p>
    <w:p w:rsidR="00FB3DBF" w:rsidRDefault="00FA07E0" w:rsidP="00FA07E0">
      <w:pPr>
        <w:rPr>
          <w:rFonts w:ascii="Arial" w:hAnsi="Arial" w:cs="Arial"/>
          <w:b/>
          <w:sz w:val="24"/>
          <w:szCs w:val="24"/>
          <w:u w:val="single"/>
        </w:rPr>
      </w:pPr>
      <w:r w:rsidRPr="00FA07E0">
        <w:rPr>
          <w:rFonts w:ascii="Arial" w:hAnsi="Arial" w:cs="Arial"/>
          <w:b/>
          <w:sz w:val="24"/>
          <w:szCs w:val="24"/>
          <w:u w:val="single"/>
        </w:rPr>
        <w:lastRenderedPageBreak/>
        <w:t>Other updates to the model:</w:t>
      </w:r>
    </w:p>
    <w:p w:rsidR="00984553" w:rsidRPr="000D1C27" w:rsidRDefault="00FA07E0" w:rsidP="000D1C27">
      <w:pPr>
        <w:pStyle w:val="ListParagraph"/>
        <w:numPr>
          <w:ilvl w:val="0"/>
          <w:numId w:val="25"/>
        </w:numPr>
        <w:rPr>
          <w:rFonts w:ascii="Arial" w:hAnsi="Arial" w:cs="Arial"/>
          <w:szCs w:val="24"/>
        </w:rPr>
      </w:pPr>
      <w:r w:rsidRPr="000D1C27">
        <w:rPr>
          <w:rFonts w:ascii="Arial" w:hAnsi="Arial" w:cs="Arial"/>
          <w:sz w:val="24"/>
          <w:szCs w:val="24"/>
        </w:rPr>
        <w:t xml:space="preserve">The OEB has calculated the value of the inflation factor for the incentive rate setting under the Price Cap IR and Annual Index plans, for rate changes effective in 2016, to be 2.1%. The derivation of this is shown on  </w:t>
      </w:r>
      <w:r w:rsidR="000D1C27" w:rsidRPr="000D1C27">
        <w:rPr>
          <w:rFonts w:ascii="Arial" w:hAnsi="Arial" w:cs="Arial"/>
          <w:sz w:val="24"/>
          <w:szCs w:val="24"/>
        </w:rPr>
        <w:t xml:space="preserve">OEB’s webpage: </w:t>
      </w:r>
      <w:hyperlink r:id="rId12" w:history="1">
        <w:r w:rsidR="00984553" w:rsidRPr="000D1C27">
          <w:rPr>
            <w:rStyle w:val="Hyperlink"/>
            <w:rFonts w:ascii="Arial" w:hAnsi="Arial" w:cs="Arial"/>
            <w:szCs w:val="24"/>
          </w:rPr>
          <w:t>http://www.ontarioenergyboard.ca/oeb/Industry/Regulatory%20Proceedings/Applications%20Before%20the%20Board/Electricity%20Distribution%20Rates/2016%20Electricity%20Distribution%20Rate%20Applications</w:t>
        </w:r>
      </w:hyperlink>
    </w:p>
    <w:p w:rsidR="00FA07E0" w:rsidRPr="000D1C27" w:rsidRDefault="000D1C27" w:rsidP="00984553">
      <w:pPr>
        <w:pStyle w:val="ListParagraph"/>
        <w:rPr>
          <w:rFonts w:ascii="Arial" w:hAnsi="Arial" w:cs="Arial"/>
          <w:sz w:val="24"/>
          <w:szCs w:val="24"/>
        </w:rPr>
      </w:pPr>
      <w:r>
        <w:rPr>
          <w:rFonts w:ascii="Arial" w:hAnsi="Arial" w:cs="Arial"/>
          <w:sz w:val="24"/>
          <w:szCs w:val="24"/>
        </w:rPr>
        <w:t>This new inflation factor has been applied to Tab 15 of the model as the Price Escalator.</w:t>
      </w:r>
    </w:p>
    <w:p w:rsidR="00CD564D" w:rsidRDefault="00CD564D" w:rsidP="00112AE3">
      <w:pPr>
        <w:pStyle w:val="ListParagraph"/>
        <w:ind w:left="360"/>
        <w:rPr>
          <w:rFonts w:ascii="Arial" w:hAnsi="Arial" w:cs="Arial"/>
          <w:sz w:val="24"/>
          <w:szCs w:val="24"/>
        </w:rPr>
      </w:pPr>
    </w:p>
    <w:p w:rsidR="00CD564D" w:rsidRDefault="00CD564D" w:rsidP="00112AE3">
      <w:pPr>
        <w:pStyle w:val="ListParagraph"/>
        <w:ind w:left="360"/>
        <w:rPr>
          <w:rFonts w:ascii="Arial" w:hAnsi="Arial" w:cs="Arial"/>
          <w:sz w:val="24"/>
          <w:szCs w:val="24"/>
        </w:rPr>
      </w:pPr>
    </w:p>
    <w:p w:rsidR="0079791B" w:rsidRPr="00FB3DBF" w:rsidRDefault="0079791B" w:rsidP="00FB3DBF">
      <w:pPr>
        <w:rPr>
          <w:rFonts w:ascii="Arial" w:hAnsi="Arial" w:cs="Arial"/>
          <w:sz w:val="24"/>
          <w:szCs w:val="24"/>
        </w:rPr>
      </w:pPr>
    </w:p>
    <w:p w:rsidR="00FE1AF5" w:rsidRPr="00FE1AF5" w:rsidRDefault="00FE1AF5" w:rsidP="00FE1AF5">
      <w:pPr>
        <w:pStyle w:val="ListParagraph"/>
        <w:ind w:left="360"/>
        <w:rPr>
          <w:rFonts w:ascii="Arial" w:hAnsi="Arial" w:cs="Arial"/>
          <w:sz w:val="24"/>
          <w:szCs w:val="24"/>
        </w:rPr>
      </w:pPr>
    </w:p>
    <w:p w:rsidR="00FE1AF5" w:rsidRPr="00FE1AF5" w:rsidRDefault="00FE1AF5" w:rsidP="00FE1AF5">
      <w:pPr>
        <w:rPr>
          <w:rFonts w:ascii="Arial" w:hAnsi="Arial" w:cs="Arial"/>
          <w:sz w:val="24"/>
          <w:szCs w:val="24"/>
        </w:rPr>
      </w:pPr>
    </w:p>
    <w:sectPr w:rsidR="00FE1AF5" w:rsidRPr="00FE1AF5"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B3A"/>
    <w:multiLevelType w:val="hybridMultilevel"/>
    <w:tmpl w:val="305ED1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9005F9"/>
    <w:multiLevelType w:val="hybridMultilevel"/>
    <w:tmpl w:val="BF3C00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B44087"/>
    <w:multiLevelType w:val="hybridMultilevel"/>
    <w:tmpl w:val="643824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DE4534"/>
    <w:multiLevelType w:val="hybridMultilevel"/>
    <w:tmpl w:val="1D58374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28B0968"/>
    <w:multiLevelType w:val="hybridMultilevel"/>
    <w:tmpl w:val="24E84A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1EE86D3A"/>
    <w:multiLevelType w:val="hybridMultilevel"/>
    <w:tmpl w:val="53FEBD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1CC426C"/>
    <w:multiLevelType w:val="hybridMultilevel"/>
    <w:tmpl w:val="C470890C"/>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71C70F8"/>
    <w:multiLevelType w:val="hybridMultilevel"/>
    <w:tmpl w:val="27C0477C"/>
    <w:lvl w:ilvl="0" w:tplc="9760E85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3D3301F4"/>
    <w:multiLevelType w:val="hybridMultilevel"/>
    <w:tmpl w:val="24A416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41A8076D"/>
    <w:multiLevelType w:val="hybridMultilevel"/>
    <w:tmpl w:val="4772752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456A2957"/>
    <w:multiLevelType w:val="hybridMultilevel"/>
    <w:tmpl w:val="670A71B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547B3240"/>
    <w:multiLevelType w:val="hybridMultilevel"/>
    <w:tmpl w:val="056435C4"/>
    <w:lvl w:ilvl="0" w:tplc="1009001B">
      <w:start w:val="1"/>
      <w:numFmt w:val="lowerRoman"/>
      <w:lvlText w:val="%1."/>
      <w:lvlJc w:val="right"/>
      <w:pPr>
        <w:ind w:left="1500" w:hanging="360"/>
      </w:pPr>
    </w:lvl>
    <w:lvl w:ilvl="1" w:tplc="10090019" w:tentative="1">
      <w:start w:val="1"/>
      <w:numFmt w:val="lowerLetter"/>
      <w:lvlText w:val="%2."/>
      <w:lvlJc w:val="left"/>
      <w:pPr>
        <w:ind w:left="2220" w:hanging="360"/>
      </w:pPr>
    </w:lvl>
    <w:lvl w:ilvl="2" w:tplc="1009001B" w:tentative="1">
      <w:start w:val="1"/>
      <w:numFmt w:val="lowerRoman"/>
      <w:lvlText w:val="%3."/>
      <w:lvlJc w:val="right"/>
      <w:pPr>
        <w:ind w:left="2940" w:hanging="180"/>
      </w:pPr>
    </w:lvl>
    <w:lvl w:ilvl="3" w:tplc="1009000F" w:tentative="1">
      <w:start w:val="1"/>
      <w:numFmt w:val="decimal"/>
      <w:lvlText w:val="%4."/>
      <w:lvlJc w:val="left"/>
      <w:pPr>
        <w:ind w:left="3660" w:hanging="360"/>
      </w:pPr>
    </w:lvl>
    <w:lvl w:ilvl="4" w:tplc="10090019" w:tentative="1">
      <w:start w:val="1"/>
      <w:numFmt w:val="lowerLetter"/>
      <w:lvlText w:val="%5."/>
      <w:lvlJc w:val="left"/>
      <w:pPr>
        <w:ind w:left="4380" w:hanging="360"/>
      </w:pPr>
    </w:lvl>
    <w:lvl w:ilvl="5" w:tplc="1009001B" w:tentative="1">
      <w:start w:val="1"/>
      <w:numFmt w:val="lowerRoman"/>
      <w:lvlText w:val="%6."/>
      <w:lvlJc w:val="right"/>
      <w:pPr>
        <w:ind w:left="5100" w:hanging="180"/>
      </w:pPr>
    </w:lvl>
    <w:lvl w:ilvl="6" w:tplc="1009000F" w:tentative="1">
      <w:start w:val="1"/>
      <w:numFmt w:val="decimal"/>
      <w:lvlText w:val="%7."/>
      <w:lvlJc w:val="left"/>
      <w:pPr>
        <w:ind w:left="5820" w:hanging="360"/>
      </w:pPr>
    </w:lvl>
    <w:lvl w:ilvl="7" w:tplc="10090019" w:tentative="1">
      <w:start w:val="1"/>
      <w:numFmt w:val="lowerLetter"/>
      <w:lvlText w:val="%8."/>
      <w:lvlJc w:val="left"/>
      <w:pPr>
        <w:ind w:left="6540" w:hanging="360"/>
      </w:pPr>
    </w:lvl>
    <w:lvl w:ilvl="8" w:tplc="1009001B" w:tentative="1">
      <w:start w:val="1"/>
      <w:numFmt w:val="lowerRoman"/>
      <w:lvlText w:val="%9."/>
      <w:lvlJc w:val="right"/>
      <w:pPr>
        <w:ind w:left="7260" w:hanging="180"/>
      </w:pPr>
    </w:lvl>
  </w:abstractNum>
  <w:abstractNum w:abstractNumId="12">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B6E5F7D"/>
    <w:multiLevelType w:val="hybridMultilevel"/>
    <w:tmpl w:val="0A70BB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0487128"/>
    <w:multiLevelType w:val="hybridMultilevel"/>
    <w:tmpl w:val="9D7C47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0AF552D"/>
    <w:multiLevelType w:val="hybridMultilevel"/>
    <w:tmpl w:val="ACC0CE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66D411EE"/>
    <w:multiLevelType w:val="hybridMultilevel"/>
    <w:tmpl w:val="071042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9135A40"/>
    <w:multiLevelType w:val="hybridMultilevel"/>
    <w:tmpl w:val="2D020B1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69E7145F"/>
    <w:multiLevelType w:val="hybridMultilevel"/>
    <w:tmpl w:val="8F1241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71CD14A2"/>
    <w:multiLevelType w:val="hybridMultilevel"/>
    <w:tmpl w:val="6CE63D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37E6D78"/>
    <w:multiLevelType w:val="hybridMultilevel"/>
    <w:tmpl w:val="752EE404"/>
    <w:lvl w:ilvl="0" w:tplc="E3167C4E">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7AAE2E8F"/>
    <w:multiLevelType w:val="hybridMultilevel"/>
    <w:tmpl w:val="E2FC8E0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nsid w:val="7C1C14E4"/>
    <w:multiLevelType w:val="hybridMultilevel"/>
    <w:tmpl w:val="481CB53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7DFE4D5A"/>
    <w:multiLevelType w:val="hybridMultilevel"/>
    <w:tmpl w:val="5C6406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0"/>
  </w:num>
  <w:num w:numId="6">
    <w:abstractNumId w:val="21"/>
  </w:num>
  <w:num w:numId="7">
    <w:abstractNumId w:val="3"/>
  </w:num>
  <w:num w:numId="8">
    <w:abstractNumId w:val="22"/>
  </w:num>
  <w:num w:numId="9">
    <w:abstractNumId w:val="2"/>
  </w:num>
  <w:num w:numId="10">
    <w:abstractNumId w:val="16"/>
  </w:num>
  <w:num w:numId="11">
    <w:abstractNumId w:val="8"/>
  </w:num>
  <w:num w:numId="12">
    <w:abstractNumId w:val="23"/>
  </w:num>
  <w:num w:numId="13">
    <w:abstractNumId w:val="9"/>
  </w:num>
  <w:num w:numId="14">
    <w:abstractNumId w:val="4"/>
  </w:num>
  <w:num w:numId="15">
    <w:abstractNumId w:val="14"/>
  </w:num>
  <w:num w:numId="16">
    <w:abstractNumId w:val="0"/>
  </w:num>
  <w:num w:numId="17">
    <w:abstractNumId w:val="5"/>
  </w:num>
  <w:num w:numId="18">
    <w:abstractNumId w:val="19"/>
  </w:num>
  <w:num w:numId="19">
    <w:abstractNumId w:val="18"/>
  </w:num>
  <w:num w:numId="20">
    <w:abstractNumId w:val="15"/>
  </w:num>
  <w:num w:numId="21">
    <w:abstractNumId w:val="17"/>
  </w:num>
  <w:num w:numId="22">
    <w:abstractNumId w:val="11"/>
  </w:num>
  <w:num w:numId="23">
    <w:abstractNumId w:val="1"/>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92"/>
    <w:rsid w:val="000D1C27"/>
    <w:rsid w:val="000E6A35"/>
    <w:rsid w:val="000F22F4"/>
    <w:rsid w:val="000F638C"/>
    <w:rsid w:val="00104397"/>
    <w:rsid w:val="00112AE3"/>
    <w:rsid w:val="00124543"/>
    <w:rsid w:val="00130CF7"/>
    <w:rsid w:val="001C4F48"/>
    <w:rsid w:val="001C7CFD"/>
    <w:rsid w:val="001E1442"/>
    <w:rsid w:val="0021269E"/>
    <w:rsid w:val="002810B4"/>
    <w:rsid w:val="002F6893"/>
    <w:rsid w:val="00326995"/>
    <w:rsid w:val="00367043"/>
    <w:rsid w:val="003852E4"/>
    <w:rsid w:val="003A4275"/>
    <w:rsid w:val="00412DC6"/>
    <w:rsid w:val="00430281"/>
    <w:rsid w:val="00497674"/>
    <w:rsid w:val="004C443F"/>
    <w:rsid w:val="004E6866"/>
    <w:rsid w:val="005964DD"/>
    <w:rsid w:val="006418F5"/>
    <w:rsid w:val="0074368A"/>
    <w:rsid w:val="00746080"/>
    <w:rsid w:val="0075420B"/>
    <w:rsid w:val="0079791B"/>
    <w:rsid w:val="007E5D0C"/>
    <w:rsid w:val="008E0E0D"/>
    <w:rsid w:val="009043EB"/>
    <w:rsid w:val="00915A64"/>
    <w:rsid w:val="00957301"/>
    <w:rsid w:val="00962DC2"/>
    <w:rsid w:val="009761FE"/>
    <w:rsid w:val="00984553"/>
    <w:rsid w:val="009A0243"/>
    <w:rsid w:val="00A21BF4"/>
    <w:rsid w:val="00A40014"/>
    <w:rsid w:val="00AA06D9"/>
    <w:rsid w:val="00AA641B"/>
    <w:rsid w:val="00AE49B6"/>
    <w:rsid w:val="00AF0710"/>
    <w:rsid w:val="00B25576"/>
    <w:rsid w:val="00B61E04"/>
    <w:rsid w:val="00BD08B8"/>
    <w:rsid w:val="00C05D98"/>
    <w:rsid w:val="00CD564D"/>
    <w:rsid w:val="00CE2339"/>
    <w:rsid w:val="00D00BF4"/>
    <w:rsid w:val="00D56744"/>
    <w:rsid w:val="00D95DDE"/>
    <w:rsid w:val="00E105BD"/>
    <w:rsid w:val="00E44952"/>
    <w:rsid w:val="00E76F46"/>
    <w:rsid w:val="00EA0919"/>
    <w:rsid w:val="00F11092"/>
    <w:rsid w:val="00F26A85"/>
    <w:rsid w:val="00FA07E0"/>
    <w:rsid w:val="00FB3DBF"/>
    <w:rsid w:val="00FE1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73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3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30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5730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638C"/>
    <w:pPr>
      <w:ind w:left="720"/>
      <w:contextualSpacing/>
    </w:pPr>
  </w:style>
  <w:style w:type="paragraph" w:styleId="BalloonText">
    <w:name w:val="Balloon Text"/>
    <w:basedOn w:val="Normal"/>
    <w:link w:val="BalloonTextChar"/>
    <w:uiPriority w:val="99"/>
    <w:semiHidden/>
    <w:unhideWhenUsed/>
    <w:rsid w:val="00112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E3"/>
    <w:rPr>
      <w:rFonts w:ascii="Tahoma" w:hAnsi="Tahoma" w:cs="Tahoma"/>
      <w:sz w:val="16"/>
      <w:szCs w:val="16"/>
    </w:rPr>
  </w:style>
  <w:style w:type="paragraph" w:customStyle="1" w:styleId="Default">
    <w:name w:val="Default"/>
    <w:rsid w:val="00A21BF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0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73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3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30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5730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638C"/>
    <w:pPr>
      <w:ind w:left="720"/>
      <w:contextualSpacing/>
    </w:pPr>
  </w:style>
  <w:style w:type="paragraph" w:styleId="BalloonText">
    <w:name w:val="Balloon Text"/>
    <w:basedOn w:val="Normal"/>
    <w:link w:val="BalloonTextChar"/>
    <w:uiPriority w:val="99"/>
    <w:semiHidden/>
    <w:unhideWhenUsed/>
    <w:rsid w:val="00112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E3"/>
    <w:rPr>
      <w:rFonts w:ascii="Tahoma" w:hAnsi="Tahoma" w:cs="Tahoma"/>
      <w:sz w:val="16"/>
      <w:szCs w:val="16"/>
    </w:rPr>
  </w:style>
  <w:style w:type="paragraph" w:customStyle="1" w:styleId="Default">
    <w:name w:val="Default"/>
    <w:rsid w:val="00A21BF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A0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86640">
      <w:bodyDiv w:val="1"/>
      <w:marLeft w:val="0"/>
      <w:marRight w:val="0"/>
      <w:marTop w:val="0"/>
      <w:marBottom w:val="0"/>
      <w:divBdr>
        <w:top w:val="none" w:sz="0" w:space="0" w:color="auto"/>
        <w:left w:val="none" w:sz="0" w:space="0" w:color="auto"/>
        <w:bottom w:val="none" w:sz="0" w:space="0" w:color="auto"/>
        <w:right w:val="none" w:sz="0" w:space="0" w:color="auto"/>
      </w:divBdr>
    </w:div>
    <w:div w:id="1449198532">
      <w:bodyDiv w:val="1"/>
      <w:marLeft w:val="0"/>
      <w:marRight w:val="0"/>
      <w:marTop w:val="0"/>
      <w:marBottom w:val="0"/>
      <w:divBdr>
        <w:top w:val="none" w:sz="0" w:space="0" w:color="auto"/>
        <w:left w:val="none" w:sz="0" w:space="0" w:color="auto"/>
        <w:bottom w:val="none" w:sz="0" w:space="0" w:color="auto"/>
        <w:right w:val="none" w:sz="0" w:space="0" w:color="auto"/>
      </w:divBdr>
    </w:div>
    <w:div w:id="1663464758">
      <w:bodyDiv w:val="1"/>
      <w:marLeft w:val="0"/>
      <w:marRight w:val="0"/>
      <w:marTop w:val="0"/>
      <w:marBottom w:val="0"/>
      <w:divBdr>
        <w:top w:val="none" w:sz="0" w:space="0" w:color="auto"/>
        <w:left w:val="none" w:sz="0" w:space="0" w:color="auto"/>
        <w:bottom w:val="none" w:sz="0" w:space="0" w:color="auto"/>
        <w:right w:val="none" w:sz="0" w:space="0" w:color="auto"/>
      </w:divBdr>
    </w:div>
    <w:div w:id="18902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ontarioenergyboard.ca/oeb/Industry/Regulatory%20Proceedings/Applications%20Before%20the%20Board/Electricity%20Distribution%20Rates/2016%20Electricity%20Distribution%20Rate%20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Wang</dc:creator>
  <cp:lastModifiedBy>Katherine Wang</cp:lastModifiedBy>
  <cp:revision>9</cp:revision>
  <dcterms:created xsi:type="dcterms:W3CDTF">2015-09-30T13:23:00Z</dcterms:created>
  <dcterms:modified xsi:type="dcterms:W3CDTF">2015-09-30T19:16:00Z</dcterms:modified>
</cp:coreProperties>
</file>