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63E" w:rsidRDefault="0072763E"/>
    <w:tbl>
      <w:tblPr>
        <w:tblW w:w="0" w:type="auto"/>
        <w:jc w:val="center"/>
        <w:tblLayout w:type="fixed"/>
        <w:tblCellMar>
          <w:left w:w="79" w:type="dxa"/>
          <w:right w:w="79" w:type="dxa"/>
        </w:tblCellMar>
        <w:tblLook w:val="0000" w:firstRow="0" w:lastRow="0" w:firstColumn="0" w:lastColumn="0" w:noHBand="0" w:noVBand="0"/>
      </w:tblPr>
      <w:tblGrid>
        <w:gridCol w:w="2880"/>
        <w:gridCol w:w="3360"/>
        <w:gridCol w:w="3120"/>
      </w:tblGrid>
      <w:tr w:rsidR="00CE177A" w:rsidRPr="006828CC" w:rsidTr="008B6690">
        <w:trPr>
          <w:jc w:val="center"/>
        </w:trPr>
        <w:tc>
          <w:tcPr>
            <w:tcW w:w="2880" w:type="dxa"/>
          </w:tcPr>
          <w:p w:rsidR="00CE177A" w:rsidRPr="006828CC" w:rsidRDefault="00CE177A" w:rsidP="008B6690">
            <w:pPr>
              <w:widowControl w:val="0"/>
              <w:spacing w:after="0" w:line="120" w:lineRule="exact"/>
              <w:rPr>
                <w:rFonts w:ascii="Times New Roman" w:eastAsia="Times New Roman" w:hAnsi="Times New Roman" w:cs="Times New Roman"/>
                <w:snapToGrid w:val="0"/>
                <w:sz w:val="24"/>
                <w:szCs w:val="20"/>
              </w:rPr>
            </w:pPr>
            <w:r w:rsidRPr="006828CC">
              <w:rPr>
                <w:rFonts w:ascii="Times New Roman" w:eastAsia="Times New Roman" w:hAnsi="Times New Roman" w:cs="Times New Roman"/>
                <w:snapToGrid w:val="0"/>
                <w:sz w:val="24"/>
                <w:szCs w:val="20"/>
              </w:rPr>
              <w:t xml:space="preserve">                                                                                                                                                                                                                                                                                                 </w:t>
            </w:r>
          </w:p>
          <w:p w:rsidR="00CE177A" w:rsidRPr="006828CC" w:rsidRDefault="00CE177A" w:rsidP="008B6690">
            <w:pPr>
              <w:widowControl w:val="0"/>
              <w:spacing w:after="0" w:line="240" w:lineRule="auto"/>
              <w:rPr>
                <w:rFonts w:ascii="Times New Roman" w:eastAsia="Times New Roman" w:hAnsi="Times New Roman" w:cs="Times New Roman"/>
                <w:snapToGrid w:val="0"/>
                <w:sz w:val="24"/>
                <w:szCs w:val="20"/>
              </w:rPr>
            </w:pPr>
            <w:r w:rsidRPr="006828CC">
              <w:rPr>
                <w:rFonts w:ascii="Arial" w:eastAsia="Times New Roman" w:hAnsi="Arial" w:cs="Times New Roman"/>
                <w:b/>
                <w:snapToGrid w:val="0"/>
                <w:sz w:val="16"/>
                <w:szCs w:val="20"/>
              </w:rPr>
              <w:t xml:space="preserve">Ontario Energy </w:t>
            </w:r>
          </w:p>
          <w:p w:rsidR="00CE177A" w:rsidRPr="006828CC" w:rsidRDefault="00CE177A" w:rsidP="008B6690">
            <w:pPr>
              <w:widowControl w:val="0"/>
              <w:spacing w:after="0" w:line="240" w:lineRule="auto"/>
              <w:rPr>
                <w:rFonts w:ascii="Times New Roman" w:eastAsia="Times New Roman" w:hAnsi="Times New Roman" w:cs="Times New Roman"/>
                <w:snapToGrid w:val="0"/>
                <w:sz w:val="24"/>
                <w:szCs w:val="20"/>
              </w:rPr>
            </w:pPr>
            <w:r w:rsidRPr="006828CC">
              <w:rPr>
                <w:rFonts w:ascii="Arial" w:eastAsia="Times New Roman" w:hAnsi="Arial" w:cs="Times New Roman"/>
                <w:b/>
                <w:snapToGrid w:val="0"/>
                <w:sz w:val="16"/>
                <w:szCs w:val="20"/>
              </w:rPr>
              <w:t>Board</w:t>
            </w:r>
            <w:r w:rsidRPr="006828CC">
              <w:rPr>
                <w:rFonts w:ascii="Arial" w:eastAsia="Times New Roman" w:hAnsi="Arial" w:cs="Times New Roman"/>
                <w:b/>
                <w:snapToGrid w:val="0"/>
                <w:sz w:val="16"/>
                <w:szCs w:val="20"/>
              </w:rPr>
              <w:tab/>
            </w:r>
          </w:p>
          <w:p w:rsidR="00CE177A" w:rsidRPr="006828CC" w:rsidRDefault="00CE177A" w:rsidP="008B6690">
            <w:pPr>
              <w:widowControl w:val="0"/>
              <w:spacing w:after="0" w:line="240" w:lineRule="auto"/>
              <w:rPr>
                <w:rFonts w:ascii="Times New Roman" w:eastAsia="Times New Roman" w:hAnsi="Times New Roman" w:cs="Times New Roman"/>
                <w:snapToGrid w:val="0"/>
                <w:sz w:val="24"/>
                <w:szCs w:val="20"/>
              </w:rPr>
            </w:pPr>
            <w:r w:rsidRPr="006828CC">
              <w:rPr>
                <w:rFonts w:ascii="Arial" w:eastAsia="Times New Roman" w:hAnsi="Arial" w:cs="Times New Roman"/>
                <w:snapToGrid w:val="0"/>
                <w:sz w:val="16"/>
                <w:szCs w:val="20"/>
              </w:rPr>
              <w:t>P.O. Box 2319</w:t>
            </w:r>
          </w:p>
          <w:p w:rsidR="00CE177A" w:rsidRPr="006828CC" w:rsidRDefault="00CE177A" w:rsidP="008B6690">
            <w:pPr>
              <w:widowControl w:val="0"/>
              <w:spacing w:after="0" w:line="240" w:lineRule="auto"/>
              <w:rPr>
                <w:rFonts w:ascii="Times New Roman" w:eastAsia="Times New Roman" w:hAnsi="Times New Roman" w:cs="Times New Roman"/>
                <w:snapToGrid w:val="0"/>
                <w:sz w:val="24"/>
                <w:szCs w:val="20"/>
              </w:rPr>
            </w:pPr>
            <w:r w:rsidRPr="006828CC">
              <w:rPr>
                <w:rFonts w:ascii="Arial" w:eastAsia="Times New Roman" w:hAnsi="Arial" w:cs="Times New Roman"/>
                <w:snapToGrid w:val="0"/>
                <w:sz w:val="16"/>
                <w:szCs w:val="20"/>
              </w:rPr>
              <w:t>27th. Floor</w:t>
            </w:r>
          </w:p>
          <w:p w:rsidR="00CE177A" w:rsidRPr="006828CC" w:rsidRDefault="00CE177A" w:rsidP="008B6690">
            <w:pPr>
              <w:widowControl w:val="0"/>
              <w:spacing w:after="0" w:line="240" w:lineRule="auto"/>
              <w:rPr>
                <w:rFonts w:ascii="Times New Roman" w:eastAsia="Times New Roman" w:hAnsi="Times New Roman" w:cs="Times New Roman"/>
                <w:snapToGrid w:val="0"/>
                <w:sz w:val="24"/>
                <w:szCs w:val="20"/>
              </w:rPr>
            </w:pPr>
            <w:r w:rsidRPr="006828CC">
              <w:rPr>
                <w:rFonts w:ascii="Arial" w:eastAsia="Times New Roman" w:hAnsi="Arial" w:cs="Times New Roman"/>
                <w:snapToGrid w:val="0"/>
                <w:sz w:val="16"/>
                <w:szCs w:val="20"/>
              </w:rPr>
              <w:t>2300 Yonge Street</w:t>
            </w:r>
          </w:p>
          <w:p w:rsidR="00CE177A" w:rsidRPr="006828CC" w:rsidRDefault="00CE177A" w:rsidP="008B6690">
            <w:pPr>
              <w:widowControl w:val="0"/>
              <w:spacing w:after="0" w:line="240" w:lineRule="auto"/>
              <w:rPr>
                <w:rFonts w:ascii="Times New Roman" w:eastAsia="Times New Roman" w:hAnsi="Times New Roman" w:cs="Times New Roman"/>
                <w:snapToGrid w:val="0"/>
                <w:sz w:val="24"/>
                <w:szCs w:val="20"/>
              </w:rPr>
            </w:pPr>
            <w:r w:rsidRPr="006828CC">
              <w:rPr>
                <w:rFonts w:ascii="Arial" w:eastAsia="Times New Roman" w:hAnsi="Arial" w:cs="Times New Roman"/>
                <w:snapToGrid w:val="0"/>
                <w:sz w:val="16"/>
                <w:szCs w:val="20"/>
              </w:rPr>
              <w:t>Toronto ON M4P 1E4</w:t>
            </w:r>
          </w:p>
          <w:p w:rsidR="00CE177A" w:rsidRPr="006828CC" w:rsidRDefault="00CE177A" w:rsidP="008B6690">
            <w:pPr>
              <w:widowControl w:val="0"/>
              <w:spacing w:after="0" w:line="240" w:lineRule="auto"/>
              <w:rPr>
                <w:rFonts w:ascii="Times New Roman" w:eastAsia="Times New Roman" w:hAnsi="Times New Roman" w:cs="Times New Roman"/>
                <w:snapToGrid w:val="0"/>
                <w:sz w:val="24"/>
                <w:szCs w:val="20"/>
              </w:rPr>
            </w:pPr>
            <w:r w:rsidRPr="006828CC">
              <w:rPr>
                <w:rFonts w:ascii="Arial" w:eastAsia="Times New Roman" w:hAnsi="Arial" w:cs="Times New Roman"/>
                <w:snapToGrid w:val="0"/>
                <w:sz w:val="16"/>
                <w:szCs w:val="20"/>
              </w:rPr>
              <w:t>Telephone: 416-481-1967</w:t>
            </w:r>
          </w:p>
          <w:p w:rsidR="00CE177A" w:rsidRPr="006828CC" w:rsidRDefault="00CE177A" w:rsidP="008B6690">
            <w:pPr>
              <w:widowControl w:val="0"/>
              <w:spacing w:after="0" w:line="240" w:lineRule="auto"/>
              <w:rPr>
                <w:rFonts w:ascii="Times New Roman" w:eastAsia="Times New Roman" w:hAnsi="Times New Roman" w:cs="Times New Roman"/>
                <w:snapToGrid w:val="0"/>
                <w:sz w:val="24"/>
                <w:szCs w:val="20"/>
              </w:rPr>
            </w:pPr>
            <w:r w:rsidRPr="006828CC">
              <w:rPr>
                <w:rFonts w:ascii="Arial" w:eastAsia="Times New Roman" w:hAnsi="Arial" w:cs="Times New Roman"/>
                <w:snapToGrid w:val="0"/>
                <w:sz w:val="16"/>
                <w:szCs w:val="20"/>
              </w:rPr>
              <w:t>Facsimile:   416-440-7656</w:t>
            </w:r>
          </w:p>
          <w:p w:rsidR="00CE177A" w:rsidRPr="006828CC" w:rsidRDefault="00CE177A" w:rsidP="008B6690">
            <w:pPr>
              <w:widowControl w:val="0"/>
              <w:spacing w:after="58" w:line="240" w:lineRule="auto"/>
              <w:rPr>
                <w:rFonts w:ascii="Times New Roman" w:eastAsia="Times New Roman" w:hAnsi="Times New Roman" w:cs="Times New Roman"/>
                <w:snapToGrid w:val="0"/>
                <w:sz w:val="24"/>
                <w:szCs w:val="20"/>
              </w:rPr>
            </w:pPr>
            <w:r w:rsidRPr="006828CC">
              <w:rPr>
                <w:rFonts w:ascii="Arial" w:eastAsia="Times New Roman" w:hAnsi="Arial" w:cs="Times New Roman"/>
                <w:snapToGrid w:val="0"/>
                <w:sz w:val="16"/>
                <w:szCs w:val="20"/>
              </w:rPr>
              <w:t>Toll free:   1-888-632-6273</w:t>
            </w:r>
          </w:p>
        </w:tc>
        <w:tc>
          <w:tcPr>
            <w:tcW w:w="3360" w:type="dxa"/>
          </w:tcPr>
          <w:p w:rsidR="00CE177A" w:rsidRPr="006828CC" w:rsidRDefault="00CE177A" w:rsidP="008B6690">
            <w:pPr>
              <w:widowControl w:val="0"/>
              <w:spacing w:after="0" w:line="120" w:lineRule="exact"/>
              <w:rPr>
                <w:rFonts w:ascii="Times New Roman" w:eastAsia="Times New Roman" w:hAnsi="Times New Roman" w:cs="Times New Roman"/>
                <w:snapToGrid w:val="0"/>
                <w:sz w:val="24"/>
                <w:szCs w:val="20"/>
                <w:lang w:val="fr-CA"/>
              </w:rPr>
            </w:pPr>
          </w:p>
          <w:p w:rsidR="00CE177A" w:rsidRPr="006828CC" w:rsidRDefault="00CE177A" w:rsidP="008B6690">
            <w:pPr>
              <w:widowControl w:val="0"/>
              <w:spacing w:after="0" w:line="240" w:lineRule="auto"/>
              <w:rPr>
                <w:rFonts w:ascii="Times New Roman" w:eastAsia="Times New Roman" w:hAnsi="Times New Roman" w:cs="Times New Roman"/>
                <w:snapToGrid w:val="0"/>
                <w:sz w:val="24"/>
                <w:szCs w:val="20"/>
                <w:lang w:val="fr-CA"/>
              </w:rPr>
            </w:pPr>
            <w:r w:rsidRPr="006828CC">
              <w:rPr>
                <w:rFonts w:ascii="Arial" w:eastAsia="Times New Roman" w:hAnsi="Arial" w:cs="Times New Roman"/>
                <w:b/>
                <w:snapToGrid w:val="0"/>
                <w:sz w:val="16"/>
                <w:szCs w:val="20"/>
                <w:lang w:val="fr-CA"/>
              </w:rPr>
              <w:t>Commission de l’</w:t>
            </w:r>
            <w:r w:rsidRPr="006828CC">
              <w:rPr>
                <w:rFonts w:ascii="Arial" w:eastAsia="Times New Roman" w:hAnsi="Arial" w:cs="Arial"/>
                <w:b/>
                <w:snapToGrid w:val="0"/>
                <w:sz w:val="16"/>
                <w:szCs w:val="20"/>
                <w:lang w:val="fr-CA"/>
              </w:rPr>
              <w:t>é</w:t>
            </w:r>
            <w:r w:rsidRPr="006828CC">
              <w:rPr>
                <w:rFonts w:ascii="Arial" w:eastAsia="Times New Roman" w:hAnsi="Arial" w:cs="Times New Roman"/>
                <w:b/>
                <w:snapToGrid w:val="0"/>
                <w:sz w:val="16"/>
                <w:szCs w:val="20"/>
                <w:lang w:val="fr-CA"/>
              </w:rPr>
              <w:t>nergie</w:t>
            </w:r>
          </w:p>
          <w:p w:rsidR="00CE177A" w:rsidRPr="006828CC" w:rsidRDefault="00CE177A" w:rsidP="008B6690">
            <w:pPr>
              <w:widowControl w:val="0"/>
              <w:spacing w:after="0" w:line="240" w:lineRule="auto"/>
              <w:rPr>
                <w:rFonts w:ascii="Times New Roman" w:eastAsia="Times New Roman" w:hAnsi="Times New Roman" w:cs="Times New Roman"/>
                <w:snapToGrid w:val="0"/>
                <w:sz w:val="24"/>
                <w:szCs w:val="20"/>
                <w:lang w:val="fr-CA"/>
              </w:rPr>
            </w:pPr>
            <w:r w:rsidRPr="006828CC">
              <w:rPr>
                <w:rFonts w:ascii="Arial" w:eastAsia="Times New Roman" w:hAnsi="Arial" w:cs="Times New Roman"/>
                <w:b/>
                <w:snapToGrid w:val="0"/>
                <w:sz w:val="16"/>
                <w:szCs w:val="20"/>
                <w:lang w:val="fr-CA"/>
              </w:rPr>
              <w:t>de l’Ontario</w:t>
            </w:r>
          </w:p>
          <w:p w:rsidR="00CE177A" w:rsidRPr="006828CC" w:rsidRDefault="00CE177A" w:rsidP="008B6690">
            <w:pPr>
              <w:widowControl w:val="0"/>
              <w:spacing w:after="0" w:line="240" w:lineRule="auto"/>
              <w:rPr>
                <w:rFonts w:ascii="Times New Roman" w:eastAsia="Times New Roman" w:hAnsi="Times New Roman" w:cs="Times New Roman"/>
                <w:snapToGrid w:val="0"/>
                <w:sz w:val="24"/>
                <w:szCs w:val="20"/>
                <w:lang w:val="fr-CA"/>
              </w:rPr>
            </w:pPr>
            <w:r w:rsidRPr="006828CC">
              <w:rPr>
                <w:rFonts w:ascii="Arial" w:eastAsia="Times New Roman" w:hAnsi="Arial" w:cs="Times New Roman"/>
                <w:snapToGrid w:val="0"/>
                <w:sz w:val="16"/>
                <w:szCs w:val="20"/>
                <w:lang w:val="fr-CA"/>
              </w:rPr>
              <w:t>C.P. 2319</w:t>
            </w:r>
          </w:p>
          <w:p w:rsidR="00CE177A" w:rsidRPr="006828CC" w:rsidRDefault="00CE177A" w:rsidP="008B6690">
            <w:pPr>
              <w:widowControl w:val="0"/>
              <w:spacing w:after="0" w:line="240" w:lineRule="auto"/>
              <w:rPr>
                <w:rFonts w:ascii="Arial" w:eastAsia="Times New Roman" w:hAnsi="Arial" w:cs="Times New Roman"/>
                <w:snapToGrid w:val="0"/>
                <w:sz w:val="16"/>
                <w:szCs w:val="20"/>
                <w:lang w:val="fr-CA"/>
              </w:rPr>
            </w:pPr>
            <w:r w:rsidRPr="006828CC">
              <w:rPr>
                <w:rFonts w:ascii="Arial" w:eastAsia="Times New Roman" w:hAnsi="Arial" w:cs="Times New Roman"/>
                <w:snapToGrid w:val="0"/>
                <w:sz w:val="16"/>
                <w:szCs w:val="20"/>
                <w:lang w:val="fr-CA"/>
              </w:rPr>
              <w:t xml:space="preserve">27e étage </w:t>
            </w:r>
          </w:p>
          <w:p w:rsidR="00CE177A" w:rsidRPr="006828CC" w:rsidRDefault="00CE177A" w:rsidP="008B6690">
            <w:pPr>
              <w:widowControl w:val="0"/>
              <w:spacing w:after="0" w:line="240" w:lineRule="auto"/>
              <w:rPr>
                <w:rFonts w:ascii="Times New Roman" w:eastAsia="Times New Roman" w:hAnsi="Times New Roman" w:cs="Times New Roman"/>
                <w:snapToGrid w:val="0"/>
                <w:sz w:val="24"/>
                <w:szCs w:val="20"/>
                <w:lang w:val="fr-CA"/>
              </w:rPr>
            </w:pPr>
            <w:r w:rsidRPr="006828CC">
              <w:rPr>
                <w:rFonts w:ascii="Arial" w:eastAsia="Times New Roman" w:hAnsi="Arial" w:cs="Times New Roman"/>
                <w:snapToGrid w:val="0"/>
                <w:sz w:val="16"/>
                <w:szCs w:val="20"/>
                <w:lang w:val="fr-CA"/>
              </w:rPr>
              <w:t>2300, rue Yonge</w:t>
            </w:r>
          </w:p>
          <w:p w:rsidR="00CE177A" w:rsidRPr="006828CC" w:rsidRDefault="00CE177A" w:rsidP="008B6690">
            <w:pPr>
              <w:widowControl w:val="0"/>
              <w:spacing w:after="0" w:line="240" w:lineRule="auto"/>
              <w:rPr>
                <w:rFonts w:ascii="Times New Roman" w:eastAsia="Times New Roman" w:hAnsi="Times New Roman" w:cs="Times New Roman"/>
                <w:snapToGrid w:val="0"/>
                <w:sz w:val="24"/>
                <w:szCs w:val="20"/>
                <w:lang w:val="fr-CA"/>
              </w:rPr>
            </w:pPr>
            <w:r w:rsidRPr="006828CC">
              <w:rPr>
                <w:rFonts w:ascii="Arial" w:eastAsia="Times New Roman" w:hAnsi="Arial" w:cs="Times New Roman"/>
                <w:snapToGrid w:val="0"/>
                <w:sz w:val="16"/>
                <w:szCs w:val="20"/>
                <w:lang w:val="fr-CA"/>
              </w:rPr>
              <w:t>Toronto ON M4P 1E4</w:t>
            </w:r>
          </w:p>
          <w:p w:rsidR="00CE177A" w:rsidRPr="006828CC" w:rsidRDefault="00CE177A" w:rsidP="008B6690">
            <w:pPr>
              <w:widowControl w:val="0"/>
              <w:spacing w:after="0" w:line="240" w:lineRule="auto"/>
              <w:rPr>
                <w:rFonts w:ascii="Arial" w:eastAsia="Times New Roman" w:hAnsi="Arial" w:cs="Times New Roman"/>
                <w:snapToGrid w:val="0"/>
                <w:sz w:val="16"/>
                <w:szCs w:val="20"/>
                <w:lang w:val="fr-CA"/>
              </w:rPr>
            </w:pPr>
            <w:r w:rsidRPr="006828CC">
              <w:rPr>
                <w:rFonts w:ascii="Arial" w:eastAsia="Times New Roman" w:hAnsi="Arial" w:cs="Times New Roman"/>
                <w:snapToGrid w:val="0"/>
                <w:sz w:val="16"/>
                <w:szCs w:val="20"/>
                <w:lang w:val="fr-CA"/>
              </w:rPr>
              <w:t>Téléphone</w:t>
            </w:r>
            <w:r w:rsidR="00172AC0">
              <w:rPr>
                <w:rFonts w:ascii="Arial" w:eastAsia="Times New Roman" w:hAnsi="Arial" w:cs="Times New Roman"/>
                <w:snapToGrid w:val="0"/>
                <w:sz w:val="16"/>
                <w:szCs w:val="20"/>
                <w:lang w:val="fr-CA"/>
              </w:rPr>
              <w:t>:</w:t>
            </w:r>
            <w:r w:rsidRPr="006828CC">
              <w:rPr>
                <w:rFonts w:ascii="Arial" w:eastAsia="Times New Roman" w:hAnsi="Arial" w:cs="Times New Roman"/>
                <w:snapToGrid w:val="0"/>
                <w:sz w:val="16"/>
                <w:szCs w:val="20"/>
                <w:lang w:val="fr-CA"/>
              </w:rPr>
              <w:t xml:space="preserve"> 416-481-1967</w:t>
            </w:r>
          </w:p>
          <w:p w:rsidR="00CE177A" w:rsidRPr="007307EC" w:rsidRDefault="00CE177A" w:rsidP="008B6690">
            <w:pPr>
              <w:widowControl w:val="0"/>
              <w:spacing w:after="0" w:line="240" w:lineRule="auto"/>
              <w:rPr>
                <w:rFonts w:ascii="Arial" w:eastAsia="Times New Roman" w:hAnsi="Arial" w:cs="Times New Roman"/>
                <w:snapToGrid w:val="0"/>
                <w:sz w:val="16"/>
                <w:szCs w:val="20"/>
                <w:lang w:val="fr-CA"/>
              </w:rPr>
            </w:pPr>
            <w:r w:rsidRPr="007307EC">
              <w:rPr>
                <w:rFonts w:ascii="Arial" w:eastAsia="Times New Roman" w:hAnsi="Arial" w:cs="Times New Roman"/>
                <w:snapToGrid w:val="0"/>
                <w:sz w:val="16"/>
                <w:szCs w:val="20"/>
                <w:lang w:val="fr-CA"/>
              </w:rPr>
              <w:t>Télécopieur: 416-440-7656</w:t>
            </w:r>
          </w:p>
          <w:p w:rsidR="00CE177A" w:rsidRPr="006828CC" w:rsidRDefault="00CE177A" w:rsidP="008B6690">
            <w:pPr>
              <w:widowControl w:val="0"/>
              <w:spacing w:after="58" w:line="240" w:lineRule="auto"/>
              <w:rPr>
                <w:rFonts w:ascii="Times New Roman" w:eastAsia="Times New Roman" w:hAnsi="Times New Roman" w:cs="Times New Roman"/>
                <w:snapToGrid w:val="0"/>
                <w:sz w:val="24"/>
                <w:szCs w:val="20"/>
              </w:rPr>
            </w:pPr>
            <w:r w:rsidRPr="006828CC">
              <w:rPr>
                <w:rFonts w:ascii="Arial" w:eastAsia="Times New Roman" w:hAnsi="Arial" w:cs="Times New Roman"/>
                <w:snapToGrid w:val="0"/>
                <w:sz w:val="16"/>
                <w:szCs w:val="20"/>
              </w:rPr>
              <w:t>Numéro sans frais: 1-888-632-6273</w:t>
            </w:r>
          </w:p>
        </w:tc>
        <w:tc>
          <w:tcPr>
            <w:tcW w:w="3120" w:type="dxa"/>
          </w:tcPr>
          <w:p w:rsidR="00CE177A" w:rsidRPr="006828CC" w:rsidRDefault="00CE177A" w:rsidP="008B6690">
            <w:pPr>
              <w:widowControl w:val="0"/>
              <w:spacing w:after="0" w:line="120" w:lineRule="exact"/>
              <w:rPr>
                <w:rFonts w:ascii="Times New Roman" w:eastAsia="Times New Roman" w:hAnsi="Times New Roman" w:cs="Times New Roman"/>
                <w:snapToGrid w:val="0"/>
                <w:sz w:val="24"/>
                <w:szCs w:val="20"/>
              </w:rPr>
            </w:pPr>
          </w:p>
          <w:p w:rsidR="00CE177A" w:rsidRPr="006828CC" w:rsidRDefault="00CE177A" w:rsidP="008B6690">
            <w:pPr>
              <w:widowControl w:val="0"/>
              <w:pBdr>
                <w:top w:val="single" w:sz="6" w:space="0" w:color="FFFFFF"/>
                <w:left w:val="single" w:sz="6" w:space="0" w:color="FFFFFF"/>
                <w:bottom w:val="single" w:sz="6" w:space="0" w:color="FFFFFF"/>
                <w:right w:val="single" w:sz="6" w:space="0" w:color="FFFFFF"/>
              </w:pBdr>
              <w:spacing w:after="0" w:line="240" w:lineRule="auto"/>
              <w:jc w:val="right"/>
              <w:rPr>
                <w:rFonts w:ascii="Times New Roman" w:eastAsia="Times New Roman" w:hAnsi="Times New Roman" w:cs="Times New Roman"/>
                <w:snapToGrid w:val="0"/>
                <w:sz w:val="24"/>
                <w:szCs w:val="20"/>
              </w:rPr>
            </w:pPr>
            <w:r>
              <w:rPr>
                <w:rFonts w:ascii="Times New Roman" w:eastAsia="Times New Roman" w:hAnsi="Times New Roman" w:cs="Times New Roman"/>
                <w:noProof/>
                <w:sz w:val="20"/>
                <w:szCs w:val="20"/>
                <w:lang w:eastAsia="en-CA"/>
              </w:rPr>
              <w:drawing>
                <wp:inline distT="0" distB="0" distL="0" distR="0" wp14:anchorId="48FDDACD" wp14:editId="4DBFD94B">
                  <wp:extent cx="822960"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626" t="-310" r="-626" b="-310"/>
                          <a:stretch>
                            <a:fillRect/>
                          </a:stretch>
                        </pic:blipFill>
                        <pic:spPr bwMode="auto">
                          <a:xfrm>
                            <a:off x="0" y="0"/>
                            <a:ext cx="822960" cy="822960"/>
                          </a:xfrm>
                          <a:prstGeom prst="rect">
                            <a:avLst/>
                          </a:prstGeom>
                          <a:noFill/>
                          <a:ln>
                            <a:noFill/>
                          </a:ln>
                        </pic:spPr>
                      </pic:pic>
                    </a:graphicData>
                  </a:graphic>
                </wp:inline>
              </w:drawing>
            </w:r>
          </w:p>
          <w:p w:rsidR="00CE177A" w:rsidRPr="006828CC" w:rsidRDefault="00CE177A" w:rsidP="008B6690">
            <w:pPr>
              <w:widowControl w:val="0"/>
              <w:spacing w:after="58" w:line="240" w:lineRule="auto"/>
              <w:rPr>
                <w:rFonts w:ascii="Times New Roman" w:eastAsia="Times New Roman" w:hAnsi="Times New Roman" w:cs="Times New Roman"/>
                <w:snapToGrid w:val="0"/>
                <w:sz w:val="24"/>
                <w:szCs w:val="20"/>
              </w:rPr>
            </w:pPr>
          </w:p>
        </w:tc>
      </w:tr>
    </w:tbl>
    <w:p w:rsidR="00CE177A" w:rsidRPr="006828CC" w:rsidRDefault="00CE177A" w:rsidP="00CE177A">
      <w:pPr>
        <w:widowControl w:val="0"/>
        <w:spacing w:after="0" w:line="240" w:lineRule="auto"/>
        <w:rPr>
          <w:rFonts w:ascii="Times New Roman" w:eastAsia="Times New Roman" w:hAnsi="Times New Roman" w:cs="Times New Roman"/>
          <w:snapToGrid w:val="0"/>
          <w:sz w:val="24"/>
          <w:szCs w:val="20"/>
        </w:rPr>
      </w:pPr>
    </w:p>
    <w:p w:rsidR="00CE177A" w:rsidRPr="006828CC" w:rsidRDefault="00CE177A" w:rsidP="00CE177A">
      <w:pPr>
        <w:widowControl w:val="0"/>
        <w:spacing w:after="0" w:line="240" w:lineRule="auto"/>
        <w:jc w:val="right"/>
        <w:rPr>
          <w:rFonts w:ascii="Arial" w:eastAsia="Times New Roman" w:hAnsi="Arial" w:cs="Arial"/>
          <w:b/>
          <w:snapToGrid w:val="0"/>
          <w:sz w:val="24"/>
          <w:szCs w:val="20"/>
        </w:rPr>
      </w:pPr>
      <w:r w:rsidRPr="006828CC">
        <w:rPr>
          <w:rFonts w:ascii="Arial" w:eastAsia="Times New Roman" w:hAnsi="Arial" w:cs="Arial"/>
          <w:b/>
          <w:snapToGrid w:val="0"/>
          <w:sz w:val="24"/>
          <w:szCs w:val="20"/>
        </w:rPr>
        <w:t>BY EMAIL</w:t>
      </w:r>
    </w:p>
    <w:p w:rsidR="00CE177A" w:rsidRPr="0099774F" w:rsidRDefault="00A8652E" w:rsidP="00CE177A">
      <w:pPr>
        <w:widowControl w:val="0"/>
        <w:spacing w:after="0" w:line="240" w:lineRule="auto"/>
        <w:rPr>
          <w:rFonts w:ascii="Arial" w:eastAsia="Times New Roman" w:hAnsi="Arial" w:cs="Arial"/>
          <w:snapToGrid w:val="0"/>
          <w:sz w:val="24"/>
          <w:szCs w:val="20"/>
        </w:rPr>
      </w:pPr>
      <w:r w:rsidRPr="0099774F">
        <w:rPr>
          <w:rFonts w:ascii="Arial" w:eastAsia="Times New Roman" w:hAnsi="Arial" w:cs="Arial"/>
          <w:noProof/>
          <w:snapToGrid w:val="0"/>
          <w:sz w:val="24"/>
          <w:szCs w:val="20"/>
        </w:rPr>
        <w:t xml:space="preserve">November </w:t>
      </w:r>
      <w:r w:rsidR="00937045">
        <w:rPr>
          <w:rFonts w:ascii="Arial" w:eastAsia="Times New Roman" w:hAnsi="Arial" w:cs="Arial"/>
          <w:noProof/>
          <w:snapToGrid w:val="0"/>
          <w:sz w:val="24"/>
          <w:szCs w:val="20"/>
        </w:rPr>
        <w:t>9</w:t>
      </w:r>
      <w:r w:rsidRPr="0099774F">
        <w:rPr>
          <w:rFonts w:ascii="Arial" w:eastAsia="Times New Roman" w:hAnsi="Arial" w:cs="Arial"/>
          <w:noProof/>
          <w:snapToGrid w:val="0"/>
          <w:sz w:val="24"/>
          <w:szCs w:val="20"/>
        </w:rPr>
        <w:t>, 201</w:t>
      </w:r>
      <w:r w:rsidR="00F42DF9">
        <w:rPr>
          <w:rFonts w:ascii="Arial" w:eastAsia="Times New Roman" w:hAnsi="Arial" w:cs="Arial"/>
          <w:noProof/>
          <w:snapToGrid w:val="0"/>
          <w:sz w:val="24"/>
          <w:szCs w:val="20"/>
        </w:rPr>
        <w:t>6</w:t>
      </w:r>
    </w:p>
    <w:p w:rsidR="00CE177A" w:rsidRPr="006828CC" w:rsidRDefault="00CE177A" w:rsidP="00CE177A">
      <w:pPr>
        <w:widowControl w:val="0"/>
        <w:spacing w:after="0" w:line="240" w:lineRule="auto"/>
        <w:rPr>
          <w:rFonts w:ascii="Arial" w:eastAsia="Times New Roman" w:hAnsi="Arial" w:cs="Arial"/>
          <w:snapToGrid w:val="0"/>
          <w:sz w:val="24"/>
          <w:szCs w:val="20"/>
        </w:rPr>
      </w:pPr>
    </w:p>
    <w:p w:rsidR="00CE177A" w:rsidRPr="006828CC" w:rsidRDefault="00CE177A" w:rsidP="00CE177A">
      <w:pPr>
        <w:widowControl w:val="0"/>
        <w:spacing w:after="0" w:line="240" w:lineRule="auto"/>
        <w:rPr>
          <w:rFonts w:ascii="Arial" w:eastAsia="Times New Roman" w:hAnsi="Arial" w:cs="Times New Roman"/>
          <w:snapToGrid w:val="0"/>
          <w:sz w:val="24"/>
          <w:szCs w:val="20"/>
        </w:rPr>
      </w:pPr>
    </w:p>
    <w:p w:rsidR="00CE177A" w:rsidRPr="006828CC" w:rsidRDefault="00CE177A" w:rsidP="00CE177A">
      <w:pPr>
        <w:widowControl w:val="0"/>
        <w:spacing w:after="0" w:line="240" w:lineRule="auto"/>
        <w:rPr>
          <w:rFonts w:ascii="Arial" w:eastAsia="Times New Roman" w:hAnsi="Arial" w:cs="Times New Roman"/>
          <w:snapToGrid w:val="0"/>
          <w:sz w:val="24"/>
          <w:szCs w:val="20"/>
        </w:rPr>
      </w:pPr>
      <w:r w:rsidRPr="006828CC">
        <w:rPr>
          <w:rFonts w:ascii="Arial" w:eastAsia="Times New Roman" w:hAnsi="Arial" w:cs="Times New Roman"/>
          <w:snapToGrid w:val="0"/>
          <w:sz w:val="24"/>
          <w:szCs w:val="20"/>
        </w:rPr>
        <w:t>Ontario Energy Board</w:t>
      </w:r>
    </w:p>
    <w:p w:rsidR="00CE177A" w:rsidRPr="006828CC" w:rsidRDefault="00CE177A" w:rsidP="00CE177A">
      <w:pPr>
        <w:widowControl w:val="0"/>
        <w:spacing w:after="0" w:line="240" w:lineRule="auto"/>
        <w:rPr>
          <w:rFonts w:ascii="Times New Roman" w:eastAsia="Times New Roman" w:hAnsi="Times New Roman" w:cs="Times New Roman"/>
          <w:snapToGrid w:val="0"/>
          <w:sz w:val="24"/>
          <w:szCs w:val="24"/>
        </w:rPr>
      </w:pPr>
      <w:r w:rsidRPr="006828CC">
        <w:rPr>
          <w:rFonts w:ascii="Arial" w:eastAsia="Times New Roman" w:hAnsi="Arial" w:cs="Times New Roman"/>
          <w:snapToGrid w:val="0"/>
          <w:sz w:val="24"/>
          <w:szCs w:val="24"/>
        </w:rPr>
        <w:t>P.O. Box 2319</w:t>
      </w:r>
    </w:p>
    <w:p w:rsidR="00CE177A" w:rsidRPr="006828CC" w:rsidRDefault="00CE177A" w:rsidP="00CE177A">
      <w:pPr>
        <w:widowControl w:val="0"/>
        <w:spacing w:after="0" w:line="240" w:lineRule="auto"/>
        <w:rPr>
          <w:rFonts w:ascii="Times New Roman" w:eastAsia="Times New Roman" w:hAnsi="Times New Roman" w:cs="Times New Roman"/>
          <w:snapToGrid w:val="0"/>
          <w:sz w:val="24"/>
          <w:szCs w:val="24"/>
        </w:rPr>
      </w:pPr>
      <w:r w:rsidRPr="006828CC">
        <w:rPr>
          <w:rFonts w:ascii="Arial" w:eastAsia="Times New Roman" w:hAnsi="Arial" w:cs="Times New Roman"/>
          <w:snapToGrid w:val="0"/>
          <w:sz w:val="24"/>
          <w:szCs w:val="24"/>
        </w:rPr>
        <w:t>27th Floor</w:t>
      </w:r>
    </w:p>
    <w:p w:rsidR="00CE177A" w:rsidRPr="006828CC" w:rsidRDefault="00CE177A" w:rsidP="00CE177A">
      <w:pPr>
        <w:widowControl w:val="0"/>
        <w:spacing w:after="0" w:line="240" w:lineRule="auto"/>
        <w:rPr>
          <w:rFonts w:ascii="Times New Roman" w:eastAsia="Times New Roman" w:hAnsi="Times New Roman" w:cs="Times New Roman"/>
          <w:snapToGrid w:val="0"/>
          <w:sz w:val="24"/>
          <w:szCs w:val="24"/>
        </w:rPr>
      </w:pPr>
      <w:r w:rsidRPr="006828CC">
        <w:rPr>
          <w:rFonts w:ascii="Arial" w:eastAsia="Times New Roman" w:hAnsi="Arial" w:cs="Times New Roman"/>
          <w:snapToGrid w:val="0"/>
          <w:sz w:val="24"/>
          <w:szCs w:val="24"/>
        </w:rPr>
        <w:t>2300 Yonge Street</w:t>
      </w:r>
    </w:p>
    <w:p w:rsidR="00CE177A" w:rsidRPr="006828CC" w:rsidRDefault="00CE177A" w:rsidP="00CE177A">
      <w:pPr>
        <w:widowControl w:val="0"/>
        <w:spacing w:after="0" w:line="240" w:lineRule="auto"/>
        <w:rPr>
          <w:rFonts w:ascii="Times New Roman" w:eastAsia="Times New Roman" w:hAnsi="Times New Roman" w:cs="Times New Roman"/>
          <w:snapToGrid w:val="0"/>
          <w:sz w:val="24"/>
          <w:szCs w:val="24"/>
        </w:rPr>
      </w:pPr>
      <w:r w:rsidRPr="006828CC">
        <w:rPr>
          <w:rFonts w:ascii="Arial" w:eastAsia="Times New Roman" w:hAnsi="Arial" w:cs="Times New Roman"/>
          <w:snapToGrid w:val="0"/>
          <w:sz w:val="24"/>
          <w:szCs w:val="24"/>
        </w:rPr>
        <w:t>Toronto ON M4P 1E4</w:t>
      </w:r>
    </w:p>
    <w:p w:rsidR="00325E89" w:rsidRDefault="00F87937" w:rsidP="00C777F9">
      <w:pPr>
        <w:widowControl w:val="0"/>
        <w:spacing w:after="0" w:line="240" w:lineRule="auto"/>
        <w:rPr>
          <w:rStyle w:val="Hyperlink"/>
          <w:rFonts w:ascii="Arial" w:eastAsia="Times New Roman" w:hAnsi="Arial" w:cs="Times New Roman"/>
          <w:snapToGrid w:val="0"/>
          <w:color w:val="000000" w:themeColor="text1"/>
          <w:sz w:val="24"/>
          <w:u w:val="none"/>
        </w:rPr>
      </w:pPr>
      <w:hyperlink r:id="rId10" w:history="1">
        <w:r w:rsidR="00C777F9" w:rsidRPr="00585EA4">
          <w:rPr>
            <w:rStyle w:val="Hyperlink"/>
            <w:rFonts w:ascii="Arial" w:eastAsia="Times New Roman" w:hAnsi="Arial" w:cs="Times New Roman"/>
            <w:snapToGrid w:val="0"/>
            <w:color w:val="000000" w:themeColor="text1"/>
            <w:sz w:val="24"/>
            <w:u w:val="none"/>
          </w:rPr>
          <w:t>Kirsten.Walli@ontarioenergyboard.ca</w:t>
        </w:r>
      </w:hyperlink>
    </w:p>
    <w:p w:rsidR="00325E89" w:rsidRDefault="00325E89" w:rsidP="00C777F9">
      <w:pPr>
        <w:widowControl w:val="0"/>
        <w:spacing w:after="0" w:line="240" w:lineRule="auto"/>
        <w:rPr>
          <w:rStyle w:val="Hyperlink"/>
          <w:rFonts w:ascii="Arial" w:eastAsia="Times New Roman" w:hAnsi="Arial" w:cs="Times New Roman"/>
          <w:snapToGrid w:val="0"/>
          <w:color w:val="000000" w:themeColor="text1"/>
          <w:sz w:val="24"/>
          <w:u w:val="none"/>
        </w:rPr>
      </w:pPr>
    </w:p>
    <w:p w:rsidR="00325E89" w:rsidRPr="00325E89" w:rsidRDefault="00325E89" w:rsidP="00C777F9">
      <w:pPr>
        <w:widowControl w:val="0"/>
        <w:spacing w:after="0" w:line="240" w:lineRule="auto"/>
        <w:rPr>
          <w:rFonts w:ascii="Arial" w:eastAsia="Times New Roman" w:hAnsi="Arial" w:cs="Times New Roman"/>
          <w:snapToGrid w:val="0"/>
          <w:color w:val="000000" w:themeColor="text1"/>
          <w:sz w:val="24"/>
        </w:rPr>
      </w:pPr>
    </w:p>
    <w:p w:rsidR="00CE177A" w:rsidRPr="006828CC" w:rsidRDefault="00CE177A" w:rsidP="00CE177A">
      <w:pPr>
        <w:widowControl w:val="0"/>
        <w:spacing w:after="0" w:line="240" w:lineRule="auto"/>
        <w:rPr>
          <w:rFonts w:ascii="Arial" w:eastAsia="Times New Roman" w:hAnsi="Arial" w:cs="Times New Roman"/>
          <w:snapToGrid w:val="0"/>
          <w:sz w:val="24"/>
          <w:szCs w:val="20"/>
        </w:rPr>
      </w:pPr>
      <w:r w:rsidRPr="006828CC">
        <w:rPr>
          <w:rFonts w:ascii="Arial" w:eastAsia="Times New Roman" w:hAnsi="Arial" w:cs="Times New Roman"/>
          <w:snapToGrid w:val="0"/>
          <w:sz w:val="24"/>
          <w:szCs w:val="20"/>
        </w:rPr>
        <w:t>Attention: Ms. Kirsten Walli, Board Secretary</w:t>
      </w:r>
    </w:p>
    <w:p w:rsidR="00CE177A" w:rsidRPr="006828CC" w:rsidRDefault="00CE177A" w:rsidP="00CE177A">
      <w:pPr>
        <w:widowControl w:val="0"/>
        <w:spacing w:after="0" w:line="240" w:lineRule="auto"/>
        <w:rPr>
          <w:rFonts w:ascii="Arial" w:eastAsia="Times New Roman" w:hAnsi="Arial" w:cs="Arial"/>
          <w:snapToGrid w:val="0"/>
          <w:sz w:val="24"/>
          <w:szCs w:val="20"/>
        </w:rPr>
      </w:pPr>
    </w:p>
    <w:p w:rsidR="00CE177A" w:rsidRPr="006828CC" w:rsidRDefault="00CE177A" w:rsidP="00CE177A">
      <w:pPr>
        <w:widowControl w:val="0"/>
        <w:spacing w:after="0" w:line="240" w:lineRule="auto"/>
        <w:rPr>
          <w:rFonts w:ascii="Arial" w:eastAsia="Times New Roman" w:hAnsi="Arial" w:cs="Arial"/>
          <w:snapToGrid w:val="0"/>
          <w:sz w:val="24"/>
          <w:szCs w:val="20"/>
        </w:rPr>
      </w:pPr>
      <w:r w:rsidRPr="006828CC">
        <w:rPr>
          <w:rFonts w:ascii="Arial" w:eastAsia="Times New Roman" w:hAnsi="Arial" w:cs="Arial"/>
          <w:snapToGrid w:val="0"/>
          <w:sz w:val="24"/>
          <w:szCs w:val="20"/>
        </w:rPr>
        <w:t xml:space="preserve">Dear Ms. Walli: </w:t>
      </w:r>
    </w:p>
    <w:p w:rsidR="00CE177A" w:rsidRPr="006828CC" w:rsidRDefault="00CE177A" w:rsidP="00CE177A">
      <w:pPr>
        <w:widowControl w:val="0"/>
        <w:spacing w:after="0" w:line="240" w:lineRule="auto"/>
        <w:rPr>
          <w:rFonts w:ascii="Arial" w:eastAsia="Times New Roman" w:hAnsi="Arial" w:cs="Arial"/>
          <w:snapToGrid w:val="0"/>
          <w:sz w:val="24"/>
          <w:szCs w:val="20"/>
        </w:rPr>
      </w:pPr>
    </w:p>
    <w:p w:rsidR="00CE177A" w:rsidRPr="006828CC" w:rsidRDefault="00CE177A" w:rsidP="00CE177A">
      <w:pPr>
        <w:widowControl w:val="0"/>
        <w:spacing w:after="0" w:line="240" w:lineRule="auto"/>
        <w:rPr>
          <w:rFonts w:ascii="Arial" w:eastAsia="Times New Roman" w:hAnsi="Arial" w:cs="Arial"/>
          <w:b/>
          <w:snapToGrid w:val="0"/>
          <w:sz w:val="24"/>
          <w:szCs w:val="20"/>
        </w:rPr>
      </w:pPr>
      <w:r w:rsidRPr="006828CC">
        <w:rPr>
          <w:rFonts w:ascii="Arial" w:eastAsia="Times New Roman" w:hAnsi="Arial" w:cs="Arial"/>
          <w:b/>
          <w:snapToGrid w:val="0"/>
          <w:sz w:val="24"/>
          <w:szCs w:val="20"/>
        </w:rPr>
        <w:t>Re:</w:t>
      </w:r>
      <w:r w:rsidRPr="006828CC">
        <w:rPr>
          <w:rFonts w:ascii="Arial" w:eastAsia="Times New Roman" w:hAnsi="Arial" w:cs="Arial"/>
          <w:b/>
          <w:snapToGrid w:val="0"/>
          <w:sz w:val="24"/>
          <w:szCs w:val="20"/>
        </w:rPr>
        <w:tab/>
      </w:r>
      <w:r w:rsidR="00937045">
        <w:rPr>
          <w:rFonts w:ascii="Arial" w:eastAsia="Times New Roman" w:hAnsi="Arial" w:cs="Arial"/>
          <w:b/>
          <w:snapToGrid w:val="0"/>
          <w:sz w:val="24"/>
          <w:szCs w:val="20"/>
        </w:rPr>
        <w:t>Festival Hydro Inc.</w:t>
      </w:r>
      <w:r w:rsidR="00A8652E">
        <w:rPr>
          <w:rFonts w:ascii="Arial" w:eastAsia="Times New Roman" w:hAnsi="Arial" w:cs="Arial"/>
          <w:b/>
          <w:noProof/>
          <w:snapToGrid w:val="0"/>
          <w:sz w:val="24"/>
          <w:szCs w:val="20"/>
        </w:rPr>
        <w:t xml:space="preserve"> </w:t>
      </w:r>
    </w:p>
    <w:p w:rsidR="00CE177A" w:rsidRPr="006828CC" w:rsidRDefault="00F42DF9" w:rsidP="00CE177A">
      <w:pPr>
        <w:widowControl w:val="0"/>
        <w:spacing w:after="0" w:line="240" w:lineRule="auto"/>
        <w:ind w:firstLine="720"/>
        <w:rPr>
          <w:rFonts w:ascii="Arial" w:eastAsia="Times New Roman" w:hAnsi="Arial" w:cs="Arial"/>
          <w:b/>
          <w:snapToGrid w:val="0"/>
          <w:sz w:val="24"/>
          <w:szCs w:val="20"/>
        </w:rPr>
      </w:pPr>
      <w:r>
        <w:rPr>
          <w:rFonts w:ascii="Arial" w:eastAsia="Times New Roman" w:hAnsi="Arial" w:cs="Arial"/>
          <w:b/>
          <w:snapToGrid w:val="0"/>
          <w:sz w:val="24"/>
          <w:szCs w:val="20"/>
        </w:rPr>
        <w:t>2017</w:t>
      </w:r>
      <w:r w:rsidR="00CE177A" w:rsidRPr="006828CC">
        <w:rPr>
          <w:rFonts w:ascii="Arial" w:eastAsia="Times New Roman" w:hAnsi="Arial" w:cs="Arial"/>
          <w:b/>
          <w:snapToGrid w:val="0"/>
          <w:sz w:val="24"/>
          <w:szCs w:val="20"/>
        </w:rPr>
        <w:t xml:space="preserve"> </w:t>
      </w:r>
      <w:r w:rsidR="000856A4">
        <w:rPr>
          <w:rFonts w:ascii="Arial" w:eastAsia="Times New Roman" w:hAnsi="Arial" w:cs="Arial"/>
          <w:b/>
          <w:noProof/>
          <w:snapToGrid w:val="0"/>
          <w:sz w:val="24"/>
          <w:szCs w:val="20"/>
        </w:rPr>
        <w:t>IRM</w:t>
      </w:r>
      <w:r w:rsidR="00CE177A" w:rsidRPr="006828CC">
        <w:rPr>
          <w:rFonts w:ascii="Arial" w:eastAsia="Times New Roman" w:hAnsi="Arial" w:cs="Arial"/>
          <w:b/>
          <w:snapToGrid w:val="0"/>
          <w:sz w:val="24"/>
          <w:szCs w:val="20"/>
        </w:rPr>
        <w:t xml:space="preserve"> Distribution Rate Application</w:t>
      </w:r>
    </w:p>
    <w:p w:rsidR="00CE177A" w:rsidRPr="006828CC" w:rsidRDefault="00AE08CC" w:rsidP="00CE177A">
      <w:pPr>
        <w:widowControl w:val="0"/>
        <w:spacing w:after="0" w:line="240" w:lineRule="auto"/>
        <w:ind w:firstLine="720"/>
        <w:rPr>
          <w:rFonts w:ascii="Arial" w:eastAsia="Times New Roman" w:hAnsi="Arial" w:cs="Arial"/>
          <w:b/>
          <w:snapToGrid w:val="0"/>
          <w:sz w:val="24"/>
          <w:szCs w:val="20"/>
        </w:rPr>
      </w:pPr>
      <w:r>
        <w:rPr>
          <w:rFonts w:ascii="Arial" w:eastAsia="Times New Roman" w:hAnsi="Arial" w:cs="Arial"/>
          <w:b/>
          <w:snapToGrid w:val="0"/>
          <w:sz w:val="24"/>
          <w:szCs w:val="20"/>
        </w:rPr>
        <w:t>OEB</w:t>
      </w:r>
      <w:r w:rsidR="00CE177A" w:rsidRPr="006828CC">
        <w:rPr>
          <w:rFonts w:ascii="Arial" w:eastAsia="Times New Roman" w:hAnsi="Arial" w:cs="Arial"/>
          <w:b/>
          <w:snapToGrid w:val="0"/>
          <w:sz w:val="24"/>
          <w:szCs w:val="20"/>
        </w:rPr>
        <w:t xml:space="preserve"> Staff Submission</w:t>
      </w:r>
    </w:p>
    <w:p w:rsidR="00CE177A" w:rsidRPr="006828CC" w:rsidRDefault="00AE08CC" w:rsidP="00CE177A">
      <w:pPr>
        <w:widowControl w:val="0"/>
        <w:spacing w:after="0" w:line="240" w:lineRule="auto"/>
        <w:ind w:firstLine="720"/>
        <w:rPr>
          <w:rFonts w:ascii="Arial" w:eastAsia="Times New Roman" w:hAnsi="Arial" w:cs="Arial"/>
          <w:b/>
          <w:snapToGrid w:val="0"/>
          <w:sz w:val="24"/>
          <w:szCs w:val="20"/>
        </w:rPr>
      </w:pPr>
      <w:proofErr w:type="gramStart"/>
      <w:r>
        <w:rPr>
          <w:rFonts w:ascii="Arial" w:eastAsia="Times New Roman" w:hAnsi="Arial" w:cs="Arial"/>
          <w:b/>
          <w:snapToGrid w:val="0"/>
          <w:sz w:val="24"/>
          <w:szCs w:val="20"/>
        </w:rPr>
        <w:t>OEB</w:t>
      </w:r>
      <w:r w:rsidR="00CE177A" w:rsidRPr="006828CC">
        <w:rPr>
          <w:rFonts w:ascii="Arial" w:eastAsia="Times New Roman" w:hAnsi="Arial" w:cs="Arial"/>
          <w:b/>
          <w:snapToGrid w:val="0"/>
          <w:sz w:val="24"/>
          <w:szCs w:val="20"/>
        </w:rPr>
        <w:t xml:space="preserve"> File No.</w:t>
      </w:r>
      <w:proofErr w:type="gramEnd"/>
      <w:r w:rsidR="00CE177A" w:rsidRPr="006828CC">
        <w:rPr>
          <w:rFonts w:ascii="Arial" w:eastAsia="Times New Roman" w:hAnsi="Arial" w:cs="Arial"/>
          <w:b/>
          <w:snapToGrid w:val="0"/>
          <w:sz w:val="24"/>
          <w:szCs w:val="20"/>
        </w:rPr>
        <w:t xml:space="preserve"> </w:t>
      </w:r>
      <w:r w:rsidR="00F42DF9">
        <w:rPr>
          <w:rFonts w:ascii="Arial" w:eastAsia="Times New Roman" w:hAnsi="Arial" w:cs="Arial"/>
          <w:b/>
          <w:noProof/>
          <w:snapToGrid w:val="0"/>
          <w:sz w:val="24"/>
          <w:szCs w:val="20"/>
        </w:rPr>
        <w:t>EB-2016</w:t>
      </w:r>
      <w:r w:rsidR="00A8652E">
        <w:rPr>
          <w:rFonts w:ascii="Arial" w:eastAsia="Times New Roman" w:hAnsi="Arial" w:cs="Arial"/>
          <w:b/>
          <w:noProof/>
          <w:snapToGrid w:val="0"/>
          <w:sz w:val="24"/>
          <w:szCs w:val="20"/>
        </w:rPr>
        <w:t>-0</w:t>
      </w:r>
      <w:r w:rsidR="00937045">
        <w:rPr>
          <w:rFonts w:ascii="Arial" w:eastAsia="Times New Roman" w:hAnsi="Arial" w:cs="Arial"/>
          <w:b/>
          <w:noProof/>
          <w:snapToGrid w:val="0"/>
          <w:sz w:val="24"/>
          <w:szCs w:val="20"/>
        </w:rPr>
        <w:t>070</w:t>
      </w:r>
    </w:p>
    <w:p w:rsidR="00CE177A" w:rsidRPr="006828CC" w:rsidRDefault="00CE177A" w:rsidP="00CE177A">
      <w:pPr>
        <w:widowControl w:val="0"/>
        <w:spacing w:after="0" w:line="240" w:lineRule="auto"/>
        <w:ind w:firstLine="720"/>
        <w:rPr>
          <w:rFonts w:ascii="Arial" w:eastAsia="Times New Roman" w:hAnsi="Arial" w:cs="Arial"/>
          <w:snapToGrid w:val="0"/>
          <w:sz w:val="24"/>
          <w:szCs w:val="20"/>
        </w:rPr>
      </w:pPr>
    </w:p>
    <w:p w:rsidR="00CE177A" w:rsidRPr="006828CC" w:rsidRDefault="007A03DE" w:rsidP="00CE177A">
      <w:pPr>
        <w:widowControl w:val="0"/>
        <w:spacing w:after="0" w:line="240" w:lineRule="auto"/>
        <w:rPr>
          <w:rFonts w:ascii="Arial" w:eastAsia="Times New Roman" w:hAnsi="Arial" w:cs="Arial"/>
          <w:snapToGrid w:val="0"/>
          <w:sz w:val="24"/>
          <w:szCs w:val="20"/>
        </w:rPr>
      </w:pPr>
      <w:r>
        <w:rPr>
          <w:rFonts w:ascii="Arial" w:eastAsia="Times New Roman" w:hAnsi="Arial" w:cs="Arial"/>
          <w:snapToGrid w:val="0"/>
          <w:sz w:val="24"/>
          <w:szCs w:val="20"/>
        </w:rPr>
        <w:t>In accordance w</w:t>
      </w:r>
      <w:r w:rsidR="00937487">
        <w:rPr>
          <w:rFonts w:ascii="Arial" w:eastAsia="Times New Roman" w:hAnsi="Arial" w:cs="Arial"/>
          <w:snapToGrid w:val="0"/>
          <w:sz w:val="24"/>
          <w:szCs w:val="20"/>
        </w:rPr>
        <w:t xml:space="preserve">ith </w:t>
      </w:r>
      <w:r>
        <w:rPr>
          <w:rFonts w:ascii="Arial" w:eastAsia="Times New Roman" w:hAnsi="Arial" w:cs="Arial"/>
          <w:snapToGrid w:val="0"/>
          <w:sz w:val="24"/>
          <w:szCs w:val="20"/>
        </w:rPr>
        <w:t>Procedural Order No.1</w:t>
      </w:r>
      <w:r w:rsidR="00CE177A" w:rsidRPr="006828CC">
        <w:rPr>
          <w:rFonts w:ascii="Arial" w:eastAsia="Times New Roman" w:hAnsi="Arial" w:cs="Arial"/>
          <w:snapToGrid w:val="0"/>
          <w:sz w:val="24"/>
          <w:szCs w:val="20"/>
        </w:rPr>
        <w:t xml:space="preserve">, please find attached the </w:t>
      </w:r>
      <w:r w:rsidR="00AE08CC">
        <w:rPr>
          <w:rFonts w:ascii="Arial" w:eastAsia="Times New Roman" w:hAnsi="Arial" w:cs="Arial"/>
          <w:snapToGrid w:val="0"/>
          <w:sz w:val="24"/>
          <w:szCs w:val="20"/>
        </w:rPr>
        <w:t>OEB</w:t>
      </w:r>
      <w:r w:rsidR="00CE177A" w:rsidRPr="006828CC">
        <w:rPr>
          <w:rFonts w:ascii="Arial" w:eastAsia="Times New Roman" w:hAnsi="Arial" w:cs="Arial"/>
          <w:snapToGrid w:val="0"/>
          <w:sz w:val="24"/>
          <w:szCs w:val="20"/>
        </w:rPr>
        <w:t xml:space="preserve"> Staff Submission in the above proceeding. </w:t>
      </w:r>
      <w:r w:rsidR="00CE177A">
        <w:rPr>
          <w:rFonts w:ascii="Arial" w:eastAsia="Times New Roman" w:hAnsi="Arial" w:cs="Arial"/>
          <w:snapToGrid w:val="0"/>
          <w:sz w:val="24"/>
          <w:szCs w:val="20"/>
        </w:rPr>
        <w:t>This document is being forwarded to</w:t>
      </w:r>
      <w:r w:rsidR="00CE177A" w:rsidRPr="006828CC">
        <w:rPr>
          <w:rFonts w:ascii="Arial" w:eastAsia="Times New Roman" w:hAnsi="Arial" w:cs="Arial"/>
          <w:snapToGrid w:val="0"/>
          <w:sz w:val="24"/>
          <w:szCs w:val="20"/>
        </w:rPr>
        <w:t xml:space="preserve"> </w:t>
      </w:r>
      <w:r w:rsidR="00937045">
        <w:rPr>
          <w:rFonts w:ascii="Arial" w:eastAsia="Times New Roman" w:hAnsi="Arial" w:cs="Arial"/>
          <w:snapToGrid w:val="0"/>
          <w:sz w:val="24"/>
          <w:szCs w:val="20"/>
        </w:rPr>
        <w:t>Festival Hydro Inc.</w:t>
      </w:r>
      <w:r w:rsidR="00A8652E">
        <w:rPr>
          <w:rFonts w:ascii="Arial" w:eastAsia="Times New Roman" w:hAnsi="Arial" w:cs="Arial"/>
          <w:noProof/>
          <w:snapToGrid w:val="0"/>
          <w:sz w:val="24"/>
          <w:szCs w:val="20"/>
        </w:rPr>
        <w:t xml:space="preserve"> </w:t>
      </w:r>
      <w:r w:rsidR="00CE177A" w:rsidRPr="006828CC">
        <w:rPr>
          <w:rFonts w:ascii="Arial" w:eastAsia="Times New Roman" w:hAnsi="Arial" w:cs="Arial"/>
          <w:snapToGrid w:val="0"/>
          <w:sz w:val="24"/>
          <w:szCs w:val="20"/>
        </w:rPr>
        <w:t xml:space="preserve">and to all other registered parties to this proceeding. </w:t>
      </w:r>
    </w:p>
    <w:p w:rsidR="00CE177A" w:rsidRPr="006828CC" w:rsidRDefault="00CE177A" w:rsidP="00CE177A">
      <w:pPr>
        <w:widowControl w:val="0"/>
        <w:spacing w:after="0" w:line="240" w:lineRule="auto"/>
        <w:rPr>
          <w:rFonts w:ascii="Arial" w:eastAsia="Times New Roman" w:hAnsi="Arial" w:cs="Arial"/>
          <w:snapToGrid w:val="0"/>
          <w:sz w:val="24"/>
          <w:szCs w:val="20"/>
        </w:rPr>
      </w:pPr>
    </w:p>
    <w:p w:rsidR="000F6684" w:rsidRPr="000F6684" w:rsidRDefault="00937045" w:rsidP="000F6684">
      <w:pPr>
        <w:widowControl w:val="0"/>
        <w:spacing w:after="0" w:line="240" w:lineRule="auto"/>
        <w:rPr>
          <w:rFonts w:ascii="Arial" w:eastAsia="Times New Roman" w:hAnsi="Arial" w:cs="Arial"/>
          <w:snapToGrid w:val="0"/>
          <w:sz w:val="24"/>
          <w:szCs w:val="20"/>
        </w:rPr>
      </w:pPr>
      <w:r>
        <w:rPr>
          <w:rFonts w:ascii="Arial" w:eastAsia="Times New Roman" w:hAnsi="Arial" w:cs="Arial"/>
          <w:snapToGrid w:val="0"/>
          <w:sz w:val="24"/>
          <w:szCs w:val="20"/>
        </w:rPr>
        <w:t>Festival H</w:t>
      </w:r>
      <w:r w:rsidR="005D4723">
        <w:rPr>
          <w:rFonts w:ascii="Arial" w:eastAsia="Times New Roman" w:hAnsi="Arial" w:cs="Arial"/>
          <w:snapToGrid w:val="0"/>
          <w:sz w:val="24"/>
          <w:szCs w:val="20"/>
        </w:rPr>
        <w:t>ydro</w:t>
      </w:r>
      <w:r w:rsidR="000F6684" w:rsidRPr="000F6684">
        <w:rPr>
          <w:rFonts w:ascii="Arial" w:eastAsia="Times New Roman" w:hAnsi="Arial" w:cs="Arial"/>
          <w:snapToGrid w:val="0"/>
          <w:sz w:val="24"/>
          <w:szCs w:val="20"/>
        </w:rPr>
        <w:t xml:space="preserve"> is remi</w:t>
      </w:r>
      <w:r w:rsidR="001F6044">
        <w:rPr>
          <w:rFonts w:ascii="Arial" w:eastAsia="Times New Roman" w:hAnsi="Arial" w:cs="Arial"/>
          <w:snapToGrid w:val="0"/>
          <w:sz w:val="24"/>
          <w:szCs w:val="20"/>
        </w:rPr>
        <w:t xml:space="preserve">nded that its Reply Submission </w:t>
      </w:r>
      <w:r w:rsidR="00F42DF9">
        <w:rPr>
          <w:rFonts w:ascii="Arial" w:eastAsia="Times New Roman" w:hAnsi="Arial" w:cs="Arial"/>
          <w:snapToGrid w:val="0"/>
          <w:sz w:val="24"/>
          <w:szCs w:val="20"/>
        </w:rPr>
        <w:t xml:space="preserve">is due by November </w:t>
      </w:r>
      <w:r>
        <w:rPr>
          <w:rFonts w:ascii="Arial" w:eastAsia="Times New Roman" w:hAnsi="Arial" w:cs="Arial"/>
          <w:snapToGrid w:val="0"/>
          <w:sz w:val="24"/>
          <w:szCs w:val="20"/>
        </w:rPr>
        <w:t>21</w:t>
      </w:r>
      <w:r w:rsidR="00F42DF9">
        <w:rPr>
          <w:rFonts w:ascii="Arial" w:eastAsia="Times New Roman" w:hAnsi="Arial" w:cs="Arial"/>
          <w:snapToGrid w:val="0"/>
          <w:sz w:val="24"/>
          <w:szCs w:val="20"/>
        </w:rPr>
        <w:t>, 2016</w:t>
      </w:r>
      <w:r w:rsidR="000D0509">
        <w:rPr>
          <w:rFonts w:ascii="Arial" w:eastAsia="Times New Roman" w:hAnsi="Arial" w:cs="Arial"/>
          <w:snapToGrid w:val="0"/>
          <w:sz w:val="24"/>
          <w:szCs w:val="20"/>
        </w:rPr>
        <w:t>, should it choose to file one</w:t>
      </w:r>
      <w:r w:rsidR="000F6684" w:rsidRPr="000F6684">
        <w:rPr>
          <w:rFonts w:ascii="Arial" w:eastAsia="Times New Roman" w:hAnsi="Arial" w:cs="Arial"/>
          <w:snapToGrid w:val="0"/>
          <w:sz w:val="24"/>
          <w:szCs w:val="20"/>
        </w:rPr>
        <w:t>.</w:t>
      </w:r>
    </w:p>
    <w:p w:rsidR="00CE177A" w:rsidRPr="006828CC" w:rsidRDefault="00CE177A" w:rsidP="00CE177A">
      <w:pPr>
        <w:widowControl w:val="0"/>
        <w:spacing w:after="0" w:line="240" w:lineRule="auto"/>
        <w:rPr>
          <w:rFonts w:ascii="Arial" w:eastAsia="Times New Roman" w:hAnsi="Arial" w:cs="Arial"/>
          <w:snapToGrid w:val="0"/>
          <w:sz w:val="24"/>
          <w:szCs w:val="20"/>
        </w:rPr>
      </w:pPr>
    </w:p>
    <w:p w:rsidR="00CE177A" w:rsidRPr="006828CC" w:rsidRDefault="00CE177A" w:rsidP="00CE177A">
      <w:pPr>
        <w:widowControl w:val="0"/>
        <w:spacing w:after="0" w:line="240" w:lineRule="auto"/>
        <w:rPr>
          <w:rFonts w:ascii="Arial" w:eastAsia="Times New Roman" w:hAnsi="Arial" w:cs="Arial"/>
          <w:snapToGrid w:val="0"/>
          <w:sz w:val="24"/>
          <w:szCs w:val="20"/>
        </w:rPr>
      </w:pPr>
    </w:p>
    <w:p w:rsidR="00CE177A" w:rsidRPr="006828CC" w:rsidRDefault="00CE177A" w:rsidP="00CE177A">
      <w:pPr>
        <w:widowControl w:val="0"/>
        <w:spacing w:after="0" w:line="240" w:lineRule="auto"/>
        <w:rPr>
          <w:rFonts w:ascii="Arial" w:eastAsia="Times New Roman" w:hAnsi="Arial" w:cs="Arial"/>
          <w:snapToGrid w:val="0"/>
          <w:sz w:val="24"/>
          <w:szCs w:val="20"/>
        </w:rPr>
      </w:pPr>
      <w:r w:rsidRPr="006828CC">
        <w:rPr>
          <w:rFonts w:ascii="Arial" w:eastAsia="Times New Roman" w:hAnsi="Arial" w:cs="Arial"/>
          <w:snapToGrid w:val="0"/>
          <w:sz w:val="24"/>
          <w:szCs w:val="20"/>
        </w:rPr>
        <w:t>Yours truly,</w:t>
      </w:r>
    </w:p>
    <w:p w:rsidR="00CE177A" w:rsidRPr="006828CC" w:rsidRDefault="00CE177A" w:rsidP="00CE177A">
      <w:pPr>
        <w:widowControl w:val="0"/>
        <w:spacing w:after="0" w:line="240" w:lineRule="auto"/>
        <w:rPr>
          <w:rFonts w:ascii="Arial" w:eastAsia="Times New Roman" w:hAnsi="Arial" w:cs="Arial"/>
          <w:snapToGrid w:val="0"/>
          <w:sz w:val="24"/>
          <w:szCs w:val="20"/>
        </w:rPr>
      </w:pPr>
    </w:p>
    <w:p w:rsidR="00CE177A" w:rsidRPr="006828CC" w:rsidRDefault="00CE177A" w:rsidP="00CE177A">
      <w:pPr>
        <w:widowControl w:val="0"/>
        <w:spacing w:after="0" w:line="240" w:lineRule="auto"/>
        <w:rPr>
          <w:rFonts w:ascii="Arial" w:eastAsia="Times New Roman" w:hAnsi="Arial" w:cs="Arial"/>
          <w:snapToGrid w:val="0"/>
          <w:sz w:val="24"/>
          <w:szCs w:val="20"/>
        </w:rPr>
      </w:pPr>
    </w:p>
    <w:p w:rsidR="00CE177A" w:rsidRPr="006828CC" w:rsidRDefault="00CE177A" w:rsidP="00CE177A">
      <w:pPr>
        <w:widowControl w:val="0"/>
        <w:spacing w:after="0" w:line="240" w:lineRule="auto"/>
        <w:rPr>
          <w:rFonts w:ascii="Arial" w:eastAsia="Times New Roman" w:hAnsi="Arial" w:cs="Arial"/>
          <w:snapToGrid w:val="0"/>
          <w:sz w:val="24"/>
          <w:szCs w:val="20"/>
        </w:rPr>
      </w:pPr>
    </w:p>
    <w:p w:rsidR="00CE177A" w:rsidRPr="006828CC" w:rsidRDefault="00CE177A" w:rsidP="00CE177A">
      <w:pPr>
        <w:widowControl w:val="0"/>
        <w:spacing w:after="0" w:line="240" w:lineRule="auto"/>
        <w:rPr>
          <w:rFonts w:ascii="Arial" w:eastAsia="Times New Roman" w:hAnsi="Arial" w:cs="Arial"/>
          <w:i/>
          <w:snapToGrid w:val="0"/>
        </w:rPr>
      </w:pPr>
      <w:r w:rsidRPr="006828CC">
        <w:rPr>
          <w:rFonts w:ascii="Arial" w:eastAsia="Times New Roman" w:hAnsi="Arial" w:cs="Arial"/>
          <w:i/>
          <w:snapToGrid w:val="0"/>
        </w:rPr>
        <w:t>Original Signed By</w:t>
      </w:r>
    </w:p>
    <w:p w:rsidR="00CE177A" w:rsidRPr="006828CC" w:rsidRDefault="00CE177A" w:rsidP="00CE177A">
      <w:pPr>
        <w:widowControl w:val="0"/>
        <w:spacing w:after="0" w:line="240" w:lineRule="auto"/>
        <w:rPr>
          <w:rFonts w:ascii="Arial" w:eastAsia="Times New Roman" w:hAnsi="Arial" w:cs="Arial"/>
          <w:snapToGrid w:val="0"/>
          <w:sz w:val="24"/>
          <w:szCs w:val="20"/>
        </w:rPr>
      </w:pPr>
    </w:p>
    <w:p w:rsidR="00CE177A" w:rsidRPr="006828CC" w:rsidRDefault="00937045" w:rsidP="00CE177A">
      <w:pPr>
        <w:widowControl w:val="0"/>
        <w:spacing w:after="0" w:line="240" w:lineRule="auto"/>
        <w:rPr>
          <w:rFonts w:ascii="Arial" w:eastAsia="Times New Roman" w:hAnsi="Arial" w:cs="Arial"/>
          <w:snapToGrid w:val="0"/>
          <w:sz w:val="24"/>
          <w:szCs w:val="20"/>
        </w:rPr>
      </w:pPr>
      <w:r>
        <w:rPr>
          <w:rFonts w:ascii="Arial" w:eastAsia="Times New Roman" w:hAnsi="Arial" w:cs="Arial"/>
          <w:snapToGrid w:val="0"/>
          <w:sz w:val="24"/>
          <w:szCs w:val="20"/>
        </w:rPr>
        <w:t>Katherine Wang</w:t>
      </w:r>
    </w:p>
    <w:p w:rsidR="00CE177A" w:rsidRPr="006828CC" w:rsidRDefault="00CE177A" w:rsidP="00CE177A">
      <w:pPr>
        <w:widowControl w:val="0"/>
        <w:spacing w:after="0" w:line="240" w:lineRule="auto"/>
        <w:rPr>
          <w:rFonts w:ascii="Arial" w:eastAsia="Times New Roman" w:hAnsi="Arial" w:cs="Arial"/>
          <w:snapToGrid w:val="0"/>
          <w:sz w:val="24"/>
          <w:szCs w:val="20"/>
        </w:rPr>
      </w:pPr>
      <w:r w:rsidRPr="006828CC">
        <w:rPr>
          <w:rFonts w:ascii="Arial" w:eastAsia="Times New Roman" w:hAnsi="Arial" w:cs="Arial"/>
          <w:snapToGrid w:val="0"/>
          <w:sz w:val="24"/>
          <w:szCs w:val="20"/>
        </w:rPr>
        <w:t>Analyst,</w:t>
      </w:r>
      <w:r w:rsidR="000856A4">
        <w:rPr>
          <w:rFonts w:ascii="Arial" w:eastAsia="Times New Roman" w:hAnsi="Arial" w:cs="Arial"/>
          <w:snapToGrid w:val="0"/>
          <w:sz w:val="24"/>
          <w:szCs w:val="20"/>
        </w:rPr>
        <w:t xml:space="preserve"> </w:t>
      </w:r>
      <w:r w:rsidR="00937045" w:rsidRPr="00937045">
        <w:rPr>
          <w:rFonts w:ascii="Arial" w:eastAsia="Times New Roman" w:hAnsi="Arial" w:cs="Arial"/>
          <w:snapToGrid w:val="0"/>
          <w:sz w:val="24"/>
          <w:szCs w:val="20"/>
        </w:rPr>
        <w:t>Incentive Rate Setting &amp; Accounting</w:t>
      </w:r>
    </w:p>
    <w:p w:rsidR="00CE177A" w:rsidRPr="006828CC" w:rsidRDefault="00CE177A" w:rsidP="00CE177A">
      <w:pPr>
        <w:widowControl w:val="0"/>
        <w:spacing w:after="0" w:line="240" w:lineRule="auto"/>
        <w:rPr>
          <w:rFonts w:ascii="Arial" w:eastAsia="Times New Roman" w:hAnsi="Arial" w:cs="Arial"/>
          <w:snapToGrid w:val="0"/>
          <w:sz w:val="24"/>
          <w:szCs w:val="20"/>
        </w:rPr>
      </w:pPr>
      <w:proofErr w:type="gramStart"/>
      <w:r w:rsidRPr="006828CC">
        <w:rPr>
          <w:rFonts w:ascii="Arial" w:eastAsia="Times New Roman" w:hAnsi="Arial" w:cs="Arial"/>
          <w:snapToGrid w:val="0"/>
          <w:sz w:val="24"/>
          <w:szCs w:val="20"/>
        </w:rPr>
        <w:t>Encl.</w:t>
      </w:r>
      <w:proofErr w:type="gramEnd"/>
    </w:p>
    <w:p w:rsidR="00CE177A" w:rsidRPr="006828CC" w:rsidRDefault="00CE177A" w:rsidP="00CE177A">
      <w:pPr>
        <w:widowControl w:val="0"/>
        <w:spacing w:after="0" w:line="240" w:lineRule="auto"/>
        <w:jc w:val="both"/>
        <w:rPr>
          <w:rFonts w:ascii="Arial" w:eastAsia="Times New Roman" w:hAnsi="Arial" w:cs="Arial"/>
          <w:snapToGrid w:val="0"/>
          <w:sz w:val="24"/>
          <w:szCs w:val="20"/>
        </w:rPr>
        <w:sectPr w:rsidR="00CE177A" w:rsidRPr="006828CC" w:rsidSect="008B6690">
          <w:headerReference w:type="default" r:id="rId11"/>
          <w:footerReference w:type="default" r:id="rId12"/>
          <w:endnotePr>
            <w:numFmt w:val="decimal"/>
          </w:endnotePr>
          <w:pgSz w:w="12240" w:h="15840" w:code="1"/>
          <w:pgMar w:top="1080" w:right="1440" w:bottom="1440" w:left="1440" w:header="720" w:footer="720" w:gutter="0"/>
          <w:pgNumType w:start="1"/>
          <w:cols w:space="720"/>
          <w:noEndnote/>
          <w:titlePg/>
        </w:sectPr>
      </w:pPr>
    </w:p>
    <w:p w:rsidR="00CE177A" w:rsidRPr="006828CC" w:rsidRDefault="00CE177A" w:rsidP="00CE177A">
      <w:pPr>
        <w:widowControl w:val="0"/>
        <w:spacing w:after="0" w:line="240" w:lineRule="auto"/>
        <w:jc w:val="both"/>
        <w:rPr>
          <w:rFonts w:ascii="Shruti" w:eastAsia="Times New Roman" w:hAnsi="Shruti" w:cs="Shruti"/>
          <w:b/>
          <w:bCs/>
          <w:snapToGrid w:val="0"/>
        </w:rPr>
      </w:pPr>
    </w:p>
    <w:p w:rsidR="00CE177A" w:rsidRPr="006828CC" w:rsidRDefault="00CE177A" w:rsidP="00CE177A">
      <w:pPr>
        <w:widowControl w:val="0"/>
        <w:spacing w:after="0" w:line="240" w:lineRule="auto"/>
        <w:jc w:val="both"/>
        <w:rPr>
          <w:rFonts w:ascii="Shruti" w:eastAsia="Times New Roman" w:hAnsi="Shruti" w:cs="Shruti"/>
          <w:b/>
          <w:bCs/>
          <w:snapToGrid w:val="0"/>
        </w:rPr>
      </w:pPr>
    </w:p>
    <w:p w:rsidR="00CE177A" w:rsidRPr="006828CC" w:rsidRDefault="00CE177A" w:rsidP="00CE177A">
      <w:pPr>
        <w:framePr w:w="1950" w:h="1918" w:hRule="exact" w:hSpace="90" w:vSpace="90" w:wrap="auto" w:vAnchor="page" w:hAnchor="margin" w:x="3714" w:y="2467"/>
        <w:widowControl w:val="0"/>
        <w:pBdr>
          <w:top w:val="single" w:sz="6" w:space="0" w:color="FFFFFF"/>
          <w:left w:val="single" w:sz="6" w:space="0" w:color="FFFFFF"/>
          <w:bottom w:val="single" w:sz="6" w:space="0" w:color="FFFFFF"/>
          <w:right w:val="single" w:sz="6" w:space="0" w:color="FFFFFF"/>
        </w:pBdr>
        <w:spacing w:after="0" w:line="240" w:lineRule="auto"/>
        <w:jc w:val="both"/>
        <w:rPr>
          <w:rFonts w:ascii="Times New Roman" w:eastAsia="Times New Roman" w:hAnsi="Times New Roman" w:cs="Times New Roman"/>
          <w:snapToGrid w:val="0"/>
          <w:sz w:val="24"/>
          <w:szCs w:val="20"/>
        </w:rPr>
      </w:pPr>
      <w:r>
        <w:rPr>
          <w:rFonts w:ascii="Times New Roman" w:eastAsia="Times New Roman" w:hAnsi="Times New Roman" w:cs="Times New Roman"/>
          <w:noProof/>
          <w:sz w:val="24"/>
          <w:szCs w:val="20"/>
          <w:lang w:eastAsia="en-CA"/>
        </w:rPr>
        <w:drawing>
          <wp:inline distT="0" distB="0" distL="0" distR="0" wp14:anchorId="5AF3C557" wp14:editId="54E682C1">
            <wp:extent cx="1234440" cy="12192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l="-2437" t="-1608" r="-2437" b="-1608"/>
                    <a:stretch>
                      <a:fillRect/>
                    </a:stretch>
                  </pic:blipFill>
                  <pic:spPr bwMode="auto">
                    <a:xfrm>
                      <a:off x="0" y="0"/>
                      <a:ext cx="1234440" cy="1219200"/>
                    </a:xfrm>
                    <a:prstGeom prst="rect">
                      <a:avLst/>
                    </a:prstGeom>
                    <a:noFill/>
                    <a:ln>
                      <a:noFill/>
                    </a:ln>
                  </pic:spPr>
                </pic:pic>
              </a:graphicData>
            </a:graphic>
          </wp:inline>
        </w:drawing>
      </w:r>
    </w:p>
    <w:p w:rsidR="00CE177A" w:rsidRPr="006828CC" w:rsidRDefault="00CE177A" w:rsidP="00CE177A">
      <w:pPr>
        <w:widowControl w:val="0"/>
        <w:spacing w:after="0" w:line="240" w:lineRule="auto"/>
        <w:jc w:val="both"/>
        <w:rPr>
          <w:rFonts w:ascii="Shruti" w:eastAsia="Times New Roman" w:hAnsi="Shruti" w:cs="Shruti"/>
          <w:snapToGrid w:val="0"/>
        </w:rPr>
      </w:pPr>
    </w:p>
    <w:p w:rsidR="00CE177A" w:rsidRPr="006828CC" w:rsidRDefault="00CE177A" w:rsidP="00CE177A">
      <w:pPr>
        <w:widowControl w:val="0"/>
        <w:spacing w:after="0" w:line="240" w:lineRule="auto"/>
        <w:jc w:val="both"/>
        <w:rPr>
          <w:rFonts w:ascii="Shruti" w:eastAsia="Times New Roman" w:hAnsi="Shruti" w:cs="Shruti"/>
          <w:snapToGrid w:val="0"/>
        </w:rPr>
      </w:pPr>
    </w:p>
    <w:p w:rsidR="00CE177A" w:rsidRPr="006828CC" w:rsidRDefault="00CE177A" w:rsidP="00CE177A">
      <w:pPr>
        <w:widowControl w:val="0"/>
        <w:spacing w:after="0" w:line="240" w:lineRule="auto"/>
        <w:jc w:val="both"/>
        <w:rPr>
          <w:rFonts w:ascii="Shruti" w:eastAsia="Times New Roman" w:hAnsi="Shruti" w:cs="Shruti"/>
          <w:snapToGrid w:val="0"/>
        </w:rPr>
      </w:pPr>
    </w:p>
    <w:p w:rsidR="00CE177A" w:rsidRPr="006828CC" w:rsidRDefault="00CE177A" w:rsidP="00CE177A">
      <w:pPr>
        <w:widowControl w:val="0"/>
        <w:spacing w:after="0" w:line="240" w:lineRule="auto"/>
        <w:jc w:val="both"/>
        <w:rPr>
          <w:rFonts w:ascii="Shruti" w:eastAsia="Times New Roman" w:hAnsi="Shruti" w:cs="Shruti"/>
          <w:snapToGrid w:val="0"/>
        </w:rPr>
      </w:pPr>
    </w:p>
    <w:p w:rsidR="00CE177A" w:rsidRPr="006828CC" w:rsidRDefault="00CE177A" w:rsidP="00CE177A">
      <w:pPr>
        <w:widowControl w:val="0"/>
        <w:spacing w:after="0" w:line="240" w:lineRule="auto"/>
        <w:jc w:val="both"/>
        <w:rPr>
          <w:rFonts w:ascii="Shruti" w:eastAsia="Times New Roman" w:hAnsi="Shruti" w:cs="Shruti"/>
          <w:snapToGrid w:val="0"/>
        </w:rPr>
      </w:pPr>
    </w:p>
    <w:p w:rsidR="00CE177A" w:rsidRPr="006828CC" w:rsidRDefault="00CE177A" w:rsidP="00CE177A">
      <w:pPr>
        <w:widowControl w:val="0"/>
        <w:spacing w:after="0" w:line="240" w:lineRule="auto"/>
        <w:jc w:val="both"/>
        <w:rPr>
          <w:rFonts w:ascii="Shruti" w:eastAsia="Times New Roman" w:hAnsi="Shruti" w:cs="Shruti"/>
          <w:snapToGrid w:val="0"/>
        </w:rPr>
      </w:pPr>
    </w:p>
    <w:p w:rsidR="00CE177A" w:rsidRPr="006828CC" w:rsidRDefault="00CE177A" w:rsidP="00CE177A">
      <w:pPr>
        <w:widowControl w:val="0"/>
        <w:spacing w:after="0" w:line="240" w:lineRule="auto"/>
        <w:jc w:val="both"/>
        <w:rPr>
          <w:rFonts w:ascii="Shruti" w:eastAsia="Times New Roman" w:hAnsi="Shruti" w:cs="Shruti"/>
          <w:snapToGrid w:val="0"/>
        </w:rPr>
      </w:pPr>
    </w:p>
    <w:p w:rsidR="00CE177A" w:rsidRPr="006828CC" w:rsidRDefault="00CE177A" w:rsidP="00CE177A">
      <w:pPr>
        <w:widowControl w:val="0"/>
        <w:spacing w:after="0" w:line="240" w:lineRule="auto"/>
        <w:jc w:val="both"/>
        <w:rPr>
          <w:rFonts w:ascii="Shruti" w:eastAsia="Times New Roman" w:hAnsi="Shruti" w:cs="Shruti"/>
          <w:snapToGrid w:val="0"/>
        </w:rPr>
      </w:pPr>
    </w:p>
    <w:p w:rsidR="00CE177A" w:rsidRPr="006828CC" w:rsidRDefault="00CE177A" w:rsidP="00CE177A">
      <w:pPr>
        <w:widowControl w:val="0"/>
        <w:spacing w:after="0" w:line="240" w:lineRule="auto"/>
        <w:jc w:val="both"/>
        <w:rPr>
          <w:rFonts w:ascii="Shruti" w:eastAsia="Times New Roman" w:hAnsi="Shruti" w:cs="Shruti"/>
          <w:snapToGrid w:val="0"/>
        </w:rPr>
      </w:pPr>
    </w:p>
    <w:p w:rsidR="00CE177A" w:rsidRPr="006828CC" w:rsidRDefault="00CE177A" w:rsidP="00CE177A">
      <w:pPr>
        <w:widowControl w:val="0"/>
        <w:spacing w:after="0" w:line="240" w:lineRule="auto"/>
        <w:jc w:val="center"/>
        <w:rPr>
          <w:rFonts w:ascii="Arial" w:eastAsia="Times New Roman" w:hAnsi="Arial" w:cs="Arial"/>
          <w:b/>
          <w:bCs/>
          <w:snapToGrid w:val="0"/>
          <w:sz w:val="48"/>
          <w:szCs w:val="48"/>
        </w:rPr>
      </w:pPr>
      <w:r w:rsidRPr="006828CC">
        <w:rPr>
          <w:rFonts w:ascii="Arial" w:eastAsia="Times New Roman" w:hAnsi="Arial" w:cs="Arial"/>
          <w:b/>
          <w:bCs/>
          <w:snapToGrid w:val="0"/>
          <w:sz w:val="48"/>
          <w:szCs w:val="48"/>
        </w:rPr>
        <w:t>ONTARIO ENERGY BOARD</w:t>
      </w:r>
    </w:p>
    <w:p w:rsidR="00CE177A" w:rsidRPr="006828CC" w:rsidRDefault="00CE177A" w:rsidP="00CE177A">
      <w:pPr>
        <w:widowControl w:val="0"/>
        <w:spacing w:after="0" w:line="240" w:lineRule="auto"/>
        <w:jc w:val="center"/>
        <w:rPr>
          <w:rFonts w:ascii="Times New Roman" w:eastAsia="Times New Roman" w:hAnsi="Times New Roman" w:cs="Times New Roman"/>
          <w:b/>
          <w:bCs/>
          <w:snapToGrid w:val="0"/>
          <w:sz w:val="32"/>
          <w:szCs w:val="32"/>
        </w:rPr>
      </w:pPr>
    </w:p>
    <w:p w:rsidR="00CE177A" w:rsidRPr="006828CC" w:rsidRDefault="00CE177A" w:rsidP="00CE177A">
      <w:pPr>
        <w:widowControl w:val="0"/>
        <w:spacing w:after="0" w:line="240" w:lineRule="auto"/>
        <w:jc w:val="center"/>
        <w:rPr>
          <w:rFonts w:ascii="Times New Roman" w:eastAsia="Times New Roman" w:hAnsi="Times New Roman" w:cs="Times New Roman"/>
          <w:b/>
          <w:bCs/>
          <w:snapToGrid w:val="0"/>
          <w:sz w:val="32"/>
          <w:szCs w:val="32"/>
        </w:rPr>
      </w:pPr>
    </w:p>
    <w:p w:rsidR="00CE177A" w:rsidRPr="006828CC" w:rsidRDefault="00CE177A" w:rsidP="00CE177A">
      <w:pPr>
        <w:widowControl w:val="0"/>
        <w:spacing w:after="0" w:line="240" w:lineRule="auto"/>
        <w:jc w:val="center"/>
        <w:rPr>
          <w:rFonts w:ascii="Times New Roman" w:eastAsia="Times New Roman" w:hAnsi="Times New Roman" w:cs="Times New Roman"/>
          <w:b/>
          <w:bCs/>
          <w:snapToGrid w:val="0"/>
          <w:sz w:val="32"/>
          <w:szCs w:val="32"/>
        </w:rPr>
      </w:pPr>
    </w:p>
    <w:p w:rsidR="00CE177A" w:rsidRPr="006828CC" w:rsidRDefault="00CE177A" w:rsidP="001A1C50">
      <w:pPr>
        <w:widowControl w:val="0"/>
        <w:spacing w:after="0" w:line="240" w:lineRule="auto"/>
        <w:jc w:val="center"/>
        <w:rPr>
          <w:rFonts w:ascii="Arial" w:eastAsia="Times New Roman" w:hAnsi="Arial" w:cs="Arial"/>
          <w:b/>
          <w:bCs/>
          <w:snapToGrid w:val="0"/>
          <w:sz w:val="40"/>
          <w:szCs w:val="40"/>
        </w:rPr>
      </w:pPr>
      <w:r w:rsidRPr="006828CC">
        <w:rPr>
          <w:rFonts w:ascii="Arial" w:eastAsia="Times New Roman" w:hAnsi="Arial" w:cs="Arial"/>
          <w:b/>
          <w:bCs/>
          <w:snapToGrid w:val="0"/>
          <w:sz w:val="40"/>
          <w:szCs w:val="40"/>
        </w:rPr>
        <w:t>STAFF SUBMISSION</w:t>
      </w:r>
    </w:p>
    <w:p w:rsidR="00CE177A" w:rsidRPr="006828CC" w:rsidRDefault="00CE177A" w:rsidP="00CE177A">
      <w:pPr>
        <w:widowControl w:val="0"/>
        <w:spacing w:after="0" w:line="240" w:lineRule="auto"/>
        <w:jc w:val="center"/>
        <w:rPr>
          <w:rFonts w:ascii="Arial" w:eastAsia="Times New Roman" w:hAnsi="Arial" w:cs="Arial"/>
          <w:b/>
          <w:bCs/>
          <w:snapToGrid w:val="0"/>
          <w:sz w:val="32"/>
          <w:szCs w:val="32"/>
        </w:rPr>
      </w:pPr>
    </w:p>
    <w:p w:rsidR="00CE177A" w:rsidRPr="006828CC" w:rsidRDefault="00CE177A" w:rsidP="00CE177A">
      <w:pPr>
        <w:widowControl w:val="0"/>
        <w:spacing w:after="0" w:line="240" w:lineRule="auto"/>
        <w:jc w:val="center"/>
        <w:rPr>
          <w:rFonts w:ascii="Arial" w:eastAsia="Times New Roman" w:hAnsi="Arial" w:cs="Arial"/>
          <w:b/>
          <w:bCs/>
          <w:snapToGrid w:val="0"/>
          <w:sz w:val="32"/>
          <w:szCs w:val="32"/>
        </w:rPr>
      </w:pPr>
    </w:p>
    <w:p w:rsidR="00CE177A" w:rsidRPr="006828CC" w:rsidRDefault="00CE177A" w:rsidP="00CE177A">
      <w:pPr>
        <w:widowControl w:val="0"/>
        <w:spacing w:after="0" w:line="240" w:lineRule="auto"/>
        <w:jc w:val="center"/>
        <w:rPr>
          <w:rFonts w:ascii="Arial" w:eastAsia="Times New Roman" w:hAnsi="Arial" w:cs="Arial"/>
          <w:b/>
          <w:bCs/>
          <w:snapToGrid w:val="0"/>
          <w:sz w:val="32"/>
          <w:szCs w:val="32"/>
        </w:rPr>
      </w:pPr>
    </w:p>
    <w:p w:rsidR="00CE177A" w:rsidRPr="006828CC" w:rsidRDefault="00F42DF9" w:rsidP="00BB3868">
      <w:pPr>
        <w:widowControl w:val="0"/>
        <w:spacing w:after="0" w:line="240" w:lineRule="auto"/>
        <w:jc w:val="center"/>
        <w:rPr>
          <w:rFonts w:ascii="Arial" w:eastAsia="Times New Roman" w:hAnsi="Arial" w:cs="Arial"/>
          <w:bCs/>
          <w:snapToGrid w:val="0"/>
          <w:sz w:val="40"/>
          <w:szCs w:val="40"/>
        </w:rPr>
      </w:pPr>
      <w:r>
        <w:rPr>
          <w:rFonts w:ascii="Arial" w:eastAsia="Times New Roman" w:hAnsi="Arial" w:cs="Arial"/>
          <w:bCs/>
          <w:snapToGrid w:val="0"/>
          <w:sz w:val="40"/>
          <w:szCs w:val="40"/>
        </w:rPr>
        <w:t>2017</w:t>
      </w:r>
      <w:r w:rsidR="00CE177A" w:rsidRPr="006828CC">
        <w:rPr>
          <w:rFonts w:ascii="Arial" w:eastAsia="Times New Roman" w:hAnsi="Arial" w:cs="Arial"/>
          <w:bCs/>
          <w:snapToGrid w:val="0"/>
          <w:sz w:val="40"/>
          <w:szCs w:val="40"/>
        </w:rPr>
        <w:t xml:space="preserve"> ELECTRICITY DISTRIBUTION RATES</w:t>
      </w:r>
    </w:p>
    <w:p w:rsidR="00CE177A" w:rsidRPr="006828CC" w:rsidRDefault="00CE177A" w:rsidP="00CE177A">
      <w:pPr>
        <w:widowControl w:val="0"/>
        <w:spacing w:after="0" w:line="240" w:lineRule="auto"/>
        <w:jc w:val="center"/>
        <w:rPr>
          <w:rFonts w:ascii="Arial" w:eastAsia="Times New Roman" w:hAnsi="Arial" w:cs="Arial"/>
          <w:bCs/>
          <w:snapToGrid w:val="0"/>
          <w:sz w:val="40"/>
          <w:szCs w:val="40"/>
        </w:rPr>
      </w:pPr>
    </w:p>
    <w:p w:rsidR="00CE177A" w:rsidRPr="006828CC" w:rsidRDefault="00937045" w:rsidP="00CE177A">
      <w:pPr>
        <w:widowControl w:val="0"/>
        <w:spacing w:after="0" w:line="240" w:lineRule="auto"/>
        <w:jc w:val="center"/>
        <w:rPr>
          <w:rFonts w:ascii="Arial" w:eastAsia="Times New Roman" w:hAnsi="Arial" w:cs="Arial"/>
          <w:snapToGrid w:val="0"/>
          <w:sz w:val="40"/>
          <w:szCs w:val="40"/>
        </w:rPr>
      </w:pPr>
      <w:r>
        <w:rPr>
          <w:rFonts w:ascii="Arial" w:eastAsia="Times New Roman" w:hAnsi="Arial" w:cs="Arial"/>
          <w:noProof/>
          <w:snapToGrid w:val="0"/>
          <w:sz w:val="40"/>
          <w:szCs w:val="40"/>
        </w:rPr>
        <w:t>Festival Hdyro Inc.</w:t>
      </w:r>
    </w:p>
    <w:p w:rsidR="00CE177A" w:rsidRPr="006828CC" w:rsidRDefault="00CE177A" w:rsidP="00CE177A">
      <w:pPr>
        <w:widowControl w:val="0"/>
        <w:spacing w:after="0" w:line="240" w:lineRule="auto"/>
        <w:jc w:val="center"/>
        <w:rPr>
          <w:rFonts w:ascii="Arial" w:eastAsia="Times New Roman" w:hAnsi="Arial" w:cs="Arial"/>
          <w:bCs/>
          <w:snapToGrid w:val="0"/>
          <w:sz w:val="40"/>
          <w:szCs w:val="40"/>
        </w:rPr>
      </w:pPr>
    </w:p>
    <w:p w:rsidR="00CE177A" w:rsidRDefault="00CE177A" w:rsidP="00CE177A">
      <w:pPr>
        <w:widowControl w:val="0"/>
        <w:spacing w:after="0" w:line="240" w:lineRule="auto"/>
        <w:jc w:val="center"/>
        <w:rPr>
          <w:rFonts w:ascii="Arial" w:eastAsia="Times New Roman" w:hAnsi="Arial" w:cs="Arial"/>
          <w:bCs/>
          <w:noProof/>
          <w:snapToGrid w:val="0"/>
          <w:sz w:val="40"/>
          <w:szCs w:val="40"/>
        </w:rPr>
      </w:pPr>
      <w:r w:rsidRPr="006828CC">
        <w:rPr>
          <w:rFonts w:ascii="Arial" w:eastAsia="Times New Roman" w:hAnsi="Arial" w:cs="Arial"/>
          <w:bCs/>
          <w:noProof/>
          <w:snapToGrid w:val="0"/>
          <w:sz w:val="40"/>
          <w:szCs w:val="40"/>
        </w:rPr>
        <w:t>EB-20</w:t>
      </w:r>
      <w:r w:rsidR="00F42DF9">
        <w:rPr>
          <w:rFonts w:ascii="Arial" w:eastAsia="Times New Roman" w:hAnsi="Arial" w:cs="Arial"/>
          <w:bCs/>
          <w:noProof/>
          <w:snapToGrid w:val="0"/>
          <w:sz w:val="40"/>
          <w:szCs w:val="40"/>
        </w:rPr>
        <w:t>16</w:t>
      </w:r>
      <w:r w:rsidR="00A8652E">
        <w:rPr>
          <w:rFonts w:ascii="Arial" w:eastAsia="Times New Roman" w:hAnsi="Arial" w:cs="Arial"/>
          <w:bCs/>
          <w:noProof/>
          <w:snapToGrid w:val="0"/>
          <w:sz w:val="40"/>
          <w:szCs w:val="40"/>
        </w:rPr>
        <w:t>-0</w:t>
      </w:r>
      <w:r w:rsidR="00937045">
        <w:rPr>
          <w:rFonts w:ascii="Arial" w:eastAsia="Times New Roman" w:hAnsi="Arial" w:cs="Arial"/>
          <w:bCs/>
          <w:noProof/>
          <w:snapToGrid w:val="0"/>
          <w:sz w:val="40"/>
          <w:szCs w:val="40"/>
        </w:rPr>
        <w:t>070</w:t>
      </w:r>
    </w:p>
    <w:p w:rsidR="00CE177A" w:rsidRPr="006828CC" w:rsidRDefault="00CE177A" w:rsidP="00CE177A">
      <w:pPr>
        <w:widowControl w:val="0"/>
        <w:spacing w:after="0" w:line="240" w:lineRule="auto"/>
        <w:jc w:val="center"/>
        <w:rPr>
          <w:rFonts w:ascii="Arial" w:eastAsia="Times New Roman" w:hAnsi="Arial" w:cs="Arial"/>
          <w:bCs/>
          <w:snapToGrid w:val="0"/>
          <w:sz w:val="40"/>
          <w:szCs w:val="40"/>
        </w:rPr>
      </w:pPr>
    </w:p>
    <w:p w:rsidR="00CE177A" w:rsidRPr="006828CC" w:rsidRDefault="00CE177A" w:rsidP="00CE177A">
      <w:pPr>
        <w:widowControl w:val="0"/>
        <w:spacing w:after="0" w:line="240" w:lineRule="auto"/>
        <w:jc w:val="center"/>
        <w:rPr>
          <w:rFonts w:ascii="Arial" w:eastAsia="Times New Roman" w:hAnsi="Arial" w:cs="Times New Roman"/>
          <w:b/>
          <w:snapToGrid w:val="0"/>
          <w:sz w:val="24"/>
          <w:szCs w:val="20"/>
        </w:rPr>
      </w:pPr>
    </w:p>
    <w:p w:rsidR="00CE177A" w:rsidRPr="006828CC" w:rsidRDefault="00CE177A" w:rsidP="00CE177A">
      <w:pPr>
        <w:widowControl w:val="0"/>
        <w:spacing w:after="0" w:line="240" w:lineRule="auto"/>
        <w:jc w:val="center"/>
        <w:rPr>
          <w:rFonts w:ascii="Arial" w:eastAsia="Times New Roman" w:hAnsi="Arial" w:cs="Times New Roman"/>
          <w:b/>
          <w:snapToGrid w:val="0"/>
          <w:sz w:val="24"/>
          <w:szCs w:val="20"/>
        </w:rPr>
      </w:pPr>
    </w:p>
    <w:p w:rsidR="00CE177A" w:rsidRPr="006828CC" w:rsidRDefault="00A8652E" w:rsidP="00BB3868">
      <w:pPr>
        <w:widowControl w:val="0"/>
        <w:spacing w:after="0" w:line="240" w:lineRule="auto"/>
        <w:jc w:val="center"/>
        <w:rPr>
          <w:rFonts w:ascii="Arial" w:eastAsia="Times New Roman" w:hAnsi="Arial" w:cs="Times New Roman"/>
          <w:b/>
          <w:snapToGrid w:val="0"/>
          <w:sz w:val="40"/>
          <w:szCs w:val="40"/>
        </w:rPr>
      </w:pPr>
      <w:r w:rsidRPr="000D0509">
        <w:rPr>
          <w:rFonts w:ascii="Arial" w:eastAsia="Times New Roman" w:hAnsi="Arial" w:cs="Times New Roman"/>
          <w:b/>
          <w:noProof/>
          <w:snapToGrid w:val="0"/>
          <w:sz w:val="40"/>
          <w:szCs w:val="40"/>
        </w:rPr>
        <w:t xml:space="preserve">November </w:t>
      </w:r>
      <w:r w:rsidR="00937045">
        <w:rPr>
          <w:rFonts w:ascii="Arial" w:eastAsia="Times New Roman" w:hAnsi="Arial" w:cs="Times New Roman"/>
          <w:b/>
          <w:noProof/>
          <w:snapToGrid w:val="0"/>
          <w:sz w:val="40"/>
          <w:szCs w:val="40"/>
        </w:rPr>
        <w:t>9</w:t>
      </w:r>
      <w:r w:rsidR="00F42DF9">
        <w:rPr>
          <w:rFonts w:ascii="Arial" w:eastAsia="Times New Roman" w:hAnsi="Arial" w:cs="Times New Roman"/>
          <w:b/>
          <w:noProof/>
          <w:snapToGrid w:val="0"/>
          <w:sz w:val="40"/>
          <w:szCs w:val="40"/>
        </w:rPr>
        <w:t>, 2016</w:t>
      </w:r>
    </w:p>
    <w:p w:rsidR="007E4DBF" w:rsidRDefault="007E4DBF" w:rsidP="007E4DBF">
      <w:pPr>
        <w:autoSpaceDE w:val="0"/>
        <w:autoSpaceDN w:val="0"/>
        <w:adjustRightInd w:val="0"/>
        <w:spacing w:after="0" w:line="240" w:lineRule="auto"/>
        <w:rPr>
          <w:rFonts w:ascii="Arial" w:eastAsia="Times New Roman" w:hAnsi="Arial" w:cs="Times New Roman"/>
          <w:b/>
          <w:snapToGrid w:val="0"/>
          <w:sz w:val="40"/>
          <w:szCs w:val="40"/>
        </w:rPr>
      </w:pPr>
    </w:p>
    <w:p w:rsidR="00F42DF9" w:rsidRDefault="00F42DF9" w:rsidP="007E4DBF">
      <w:pPr>
        <w:autoSpaceDE w:val="0"/>
        <w:autoSpaceDN w:val="0"/>
        <w:adjustRightInd w:val="0"/>
        <w:spacing w:after="0" w:line="240" w:lineRule="auto"/>
        <w:rPr>
          <w:rFonts w:ascii="Arial" w:eastAsia="Times New Roman" w:hAnsi="Arial" w:cs="Times New Roman"/>
          <w:b/>
          <w:snapToGrid w:val="0"/>
          <w:sz w:val="40"/>
          <w:szCs w:val="40"/>
        </w:rPr>
      </w:pPr>
    </w:p>
    <w:p w:rsidR="00F42DF9" w:rsidRDefault="00F42DF9" w:rsidP="007E4DBF">
      <w:pPr>
        <w:autoSpaceDE w:val="0"/>
        <w:autoSpaceDN w:val="0"/>
        <w:adjustRightInd w:val="0"/>
        <w:spacing w:after="0" w:line="240" w:lineRule="auto"/>
        <w:rPr>
          <w:rFonts w:ascii="Arial" w:eastAsia="Times New Roman" w:hAnsi="Arial" w:cs="Times New Roman"/>
          <w:b/>
          <w:snapToGrid w:val="0"/>
          <w:sz w:val="40"/>
          <w:szCs w:val="40"/>
        </w:rPr>
      </w:pPr>
    </w:p>
    <w:p w:rsidR="00CE177A" w:rsidRPr="006828CC" w:rsidRDefault="00AE08CC" w:rsidP="007E4DBF">
      <w:pPr>
        <w:autoSpaceDE w:val="0"/>
        <w:autoSpaceDN w:val="0"/>
        <w:adjustRightInd w:val="0"/>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lastRenderedPageBreak/>
        <w:t>OEB</w:t>
      </w:r>
      <w:r w:rsidR="00CE177A" w:rsidRPr="006828CC">
        <w:rPr>
          <w:rFonts w:ascii="Arial" w:eastAsia="Times New Roman" w:hAnsi="Arial" w:cs="Arial"/>
          <w:b/>
          <w:color w:val="000000"/>
          <w:sz w:val="24"/>
          <w:szCs w:val="24"/>
        </w:rPr>
        <w:t xml:space="preserve"> Staff Submission</w:t>
      </w:r>
    </w:p>
    <w:p w:rsidR="00CE177A" w:rsidRPr="006828CC" w:rsidRDefault="00937045" w:rsidP="00CE177A">
      <w:pPr>
        <w:autoSpaceDE w:val="0"/>
        <w:autoSpaceDN w:val="0"/>
        <w:adjustRightInd w:val="0"/>
        <w:spacing w:after="0" w:line="240" w:lineRule="auto"/>
        <w:jc w:val="center"/>
        <w:rPr>
          <w:rFonts w:ascii="Arial" w:eastAsia="Times New Roman" w:hAnsi="Arial" w:cs="Arial"/>
          <w:b/>
          <w:noProof/>
          <w:color w:val="000000"/>
          <w:sz w:val="24"/>
          <w:szCs w:val="24"/>
        </w:rPr>
      </w:pPr>
      <w:r>
        <w:rPr>
          <w:rFonts w:ascii="Arial" w:eastAsia="Times New Roman" w:hAnsi="Arial" w:cs="Arial"/>
          <w:b/>
          <w:noProof/>
          <w:color w:val="000000"/>
          <w:sz w:val="24"/>
          <w:szCs w:val="24"/>
        </w:rPr>
        <w:t>Festival Hydro Inc.</w:t>
      </w:r>
    </w:p>
    <w:p w:rsidR="00CE177A" w:rsidRPr="006828CC" w:rsidRDefault="00F42DF9" w:rsidP="00CE177A">
      <w:pPr>
        <w:autoSpaceDE w:val="0"/>
        <w:autoSpaceDN w:val="0"/>
        <w:adjustRightInd w:val="0"/>
        <w:spacing w:after="0" w:line="240" w:lineRule="auto"/>
        <w:jc w:val="center"/>
        <w:rPr>
          <w:rFonts w:ascii="Arial" w:eastAsia="Times New Roman" w:hAnsi="Arial" w:cs="Times New Roman"/>
          <w:sz w:val="24"/>
          <w:szCs w:val="24"/>
        </w:rPr>
      </w:pPr>
      <w:r>
        <w:rPr>
          <w:rFonts w:ascii="Arial" w:eastAsia="Times New Roman" w:hAnsi="Arial" w:cs="Times New Roman"/>
          <w:b/>
          <w:bCs/>
          <w:sz w:val="24"/>
          <w:szCs w:val="24"/>
        </w:rPr>
        <w:t>2017</w:t>
      </w:r>
      <w:r w:rsidR="00CE177A" w:rsidRPr="006828CC">
        <w:rPr>
          <w:rFonts w:ascii="Arial" w:eastAsia="Times New Roman" w:hAnsi="Arial" w:cs="Times New Roman"/>
          <w:b/>
          <w:bCs/>
          <w:sz w:val="24"/>
          <w:szCs w:val="24"/>
        </w:rPr>
        <w:t xml:space="preserve"> </w:t>
      </w:r>
      <w:r w:rsidR="007458E7">
        <w:rPr>
          <w:rFonts w:ascii="Arial" w:eastAsia="Times New Roman" w:hAnsi="Arial" w:cs="Arial"/>
          <w:b/>
          <w:bCs/>
          <w:noProof/>
          <w:color w:val="000000"/>
          <w:sz w:val="24"/>
          <w:szCs w:val="24"/>
        </w:rPr>
        <w:t>IRM</w:t>
      </w:r>
      <w:r w:rsidR="00CE177A" w:rsidRPr="006828CC">
        <w:rPr>
          <w:rFonts w:ascii="Arial" w:eastAsia="Times New Roman" w:hAnsi="Arial" w:cs="Times New Roman"/>
          <w:b/>
          <w:bCs/>
          <w:sz w:val="24"/>
          <w:szCs w:val="24"/>
        </w:rPr>
        <w:t xml:space="preserve"> Rate Application </w:t>
      </w:r>
    </w:p>
    <w:p w:rsidR="00CE177A" w:rsidRPr="006828CC" w:rsidRDefault="00CE177A" w:rsidP="00CE177A">
      <w:pPr>
        <w:autoSpaceDE w:val="0"/>
        <w:autoSpaceDN w:val="0"/>
        <w:adjustRightInd w:val="0"/>
        <w:spacing w:after="0" w:line="240" w:lineRule="auto"/>
        <w:jc w:val="center"/>
        <w:rPr>
          <w:rFonts w:ascii="Arial" w:eastAsia="Times New Roman" w:hAnsi="Arial" w:cs="Times New Roman"/>
          <w:sz w:val="24"/>
          <w:szCs w:val="24"/>
        </w:rPr>
      </w:pPr>
      <w:r w:rsidRPr="006828CC">
        <w:rPr>
          <w:rFonts w:ascii="Arial" w:eastAsia="Times New Roman" w:hAnsi="Arial" w:cs="Arial"/>
          <w:b/>
          <w:bCs/>
          <w:noProof/>
          <w:color w:val="000000"/>
          <w:sz w:val="24"/>
          <w:szCs w:val="24"/>
        </w:rPr>
        <w:t>EB-</w:t>
      </w:r>
      <w:r w:rsidR="00F42DF9">
        <w:rPr>
          <w:rFonts w:ascii="Arial" w:eastAsia="Times New Roman" w:hAnsi="Arial" w:cs="Arial"/>
          <w:b/>
          <w:bCs/>
          <w:noProof/>
          <w:color w:val="000000"/>
          <w:sz w:val="24"/>
          <w:szCs w:val="24"/>
        </w:rPr>
        <w:t>2016</w:t>
      </w:r>
      <w:r w:rsidR="00D13226">
        <w:rPr>
          <w:rFonts w:ascii="Arial" w:eastAsia="Times New Roman" w:hAnsi="Arial" w:cs="Arial"/>
          <w:b/>
          <w:bCs/>
          <w:noProof/>
          <w:color w:val="000000"/>
          <w:sz w:val="24"/>
          <w:szCs w:val="24"/>
        </w:rPr>
        <w:t>-0</w:t>
      </w:r>
      <w:r w:rsidR="00937045">
        <w:rPr>
          <w:rFonts w:ascii="Arial" w:eastAsia="Times New Roman" w:hAnsi="Arial" w:cs="Arial"/>
          <w:b/>
          <w:bCs/>
          <w:noProof/>
          <w:color w:val="000000"/>
          <w:sz w:val="24"/>
          <w:szCs w:val="24"/>
        </w:rPr>
        <w:t>070</w:t>
      </w:r>
    </w:p>
    <w:p w:rsidR="00CE177A" w:rsidRDefault="00CE177A" w:rsidP="00CE177A">
      <w:pPr>
        <w:autoSpaceDE w:val="0"/>
        <w:autoSpaceDN w:val="0"/>
        <w:adjustRightInd w:val="0"/>
        <w:spacing w:after="0" w:line="240" w:lineRule="auto"/>
        <w:jc w:val="center"/>
        <w:rPr>
          <w:rFonts w:ascii="Arial" w:eastAsia="Times New Roman" w:hAnsi="Arial" w:cs="Arial"/>
          <w:b/>
          <w:color w:val="000000"/>
          <w:sz w:val="24"/>
          <w:szCs w:val="24"/>
        </w:rPr>
      </w:pPr>
    </w:p>
    <w:p w:rsidR="00CE177A" w:rsidRPr="006828CC" w:rsidRDefault="00CE177A" w:rsidP="00CE177A">
      <w:pPr>
        <w:autoSpaceDE w:val="0"/>
        <w:autoSpaceDN w:val="0"/>
        <w:adjustRightInd w:val="0"/>
        <w:spacing w:after="0" w:line="240" w:lineRule="auto"/>
        <w:jc w:val="center"/>
        <w:rPr>
          <w:rFonts w:ascii="Arial" w:eastAsia="Times New Roman" w:hAnsi="Arial" w:cs="Arial"/>
          <w:b/>
          <w:color w:val="000000"/>
          <w:sz w:val="24"/>
          <w:szCs w:val="24"/>
        </w:rPr>
      </w:pPr>
    </w:p>
    <w:p w:rsidR="00CE177A" w:rsidRPr="006828CC" w:rsidRDefault="00CE177A" w:rsidP="00CE177A">
      <w:pPr>
        <w:autoSpaceDE w:val="0"/>
        <w:autoSpaceDN w:val="0"/>
        <w:adjustRightInd w:val="0"/>
        <w:spacing w:after="0" w:line="300" w:lineRule="auto"/>
        <w:rPr>
          <w:rFonts w:ascii="Arial" w:eastAsia="Times New Roman" w:hAnsi="Arial" w:cs="Arial"/>
          <w:b/>
          <w:color w:val="000000"/>
          <w:sz w:val="24"/>
          <w:szCs w:val="24"/>
        </w:rPr>
      </w:pPr>
      <w:r w:rsidRPr="006828CC">
        <w:rPr>
          <w:rFonts w:ascii="Arial" w:eastAsia="Times New Roman" w:hAnsi="Arial" w:cs="Arial"/>
          <w:b/>
          <w:color w:val="000000"/>
          <w:sz w:val="24"/>
          <w:szCs w:val="24"/>
        </w:rPr>
        <w:t>Introduction</w:t>
      </w:r>
    </w:p>
    <w:p w:rsidR="00CE177A" w:rsidRPr="006828CC" w:rsidRDefault="00CE177A" w:rsidP="00CE177A">
      <w:pPr>
        <w:autoSpaceDE w:val="0"/>
        <w:autoSpaceDN w:val="0"/>
        <w:adjustRightInd w:val="0"/>
        <w:spacing w:after="0" w:line="300" w:lineRule="auto"/>
        <w:rPr>
          <w:rFonts w:ascii="Arial" w:eastAsia="Times New Roman" w:hAnsi="Arial" w:cs="Arial"/>
          <w:color w:val="000000"/>
          <w:sz w:val="24"/>
          <w:szCs w:val="24"/>
        </w:rPr>
      </w:pPr>
    </w:p>
    <w:p w:rsidR="000C6F92" w:rsidRPr="000C6F92" w:rsidRDefault="0093109F" w:rsidP="000C6F92">
      <w:pPr>
        <w:spacing w:after="0"/>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Festival Hydro Inc.</w:t>
      </w:r>
      <w:r w:rsidR="00AE08CC">
        <w:rPr>
          <w:rFonts w:ascii="Arial" w:eastAsia="Times New Roman" w:hAnsi="Arial" w:cs="Arial"/>
          <w:color w:val="000000"/>
          <w:sz w:val="24"/>
          <w:szCs w:val="24"/>
          <w:lang w:eastAsia="en-CA"/>
        </w:rPr>
        <w:t xml:space="preserve"> (</w:t>
      </w:r>
      <w:r>
        <w:rPr>
          <w:rFonts w:ascii="Arial" w:eastAsia="Times New Roman" w:hAnsi="Arial" w:cs="Arial"/>
          <w:color w:val="000000"/>
          <w:sz w:val="24"/>
          <w:szCs w:val="24"/>
          <w:lang w:eastAsia="en-CA"/>
        </w:rPr>
        <w:t>Festival</w:t>
      </w:r>
      <w:r w:rsidR="005D4723">
        <w:rPr>
          <w:rFonts w:ascii="Arial" w:eastAsia="Times New Roman" w:hAnsi="Arial" w:cs="Arial"/>
          <w:color w:val="000000"/>
          <w:sz w:val="24"/>
          <w:szCs w:val="24"/>
          <w:lang w:eastAsia="en-CA"/>
        </w:rPr>
        <w:t xml:space="preserve"> Hydro</w:t>
      </w:r>
      <w:r w:rsidR="000C6F92" w:rsidRPr="000C6F92">
        <w:rPr>
          <w:rFonts w:ascii="Arial" w:eastAsia="Times New Roman" w:hAnsi="Arial" w:cs="Arial"/>
          <w:color w:val="000000"/>
          <w:sz w:val="24"/>
          <w:szCs w:val="24"/>
          <w:lang w:eastAsia="en-CA"/>
        </w:rPr>
        <w:t xml:space="preserve">) filed </w:t>
      </w:r>
      <w:r w:rsidR="00F42DF9">
        <w:rPr>
          <w:rFonts w:ascii="Arial" w:eastAsia="Times New Roman" w:hAnsi="Arial" w:cs="Arial"/>
          <w:color w:val="000000"/>
          <w:sz w:val="24"/>
          <w:szCs w:val="24"/>
          <w:lang w:eastAsia="en-CA"/>
        </w:rPr>
        <w:t xml:space="preserve">an </w:t>
      </w:r>
      <w:r w:rsidR="000C6F92" w:rsidRPr="000C6F92">
        <w:rPr>
          <w:rFonts w:ascii="Arial" w:eastAsia="Times New Roman" w:hAnsi="Arial" w:cs="Arial"/>
          <w:color w:val="000000"/>
          <w:sz w:val="24"/>
          <w:szCs w:val="24"/>
          <w:lang w:eastAsia="en-CA"/>
        </w:rPr>
        <w:t>application with the O</w:t>
      </w:r>
      <w:r w:rsidR="00F42DF9">
        <w:rPr>
          <w:rFonts w:ascii="Arial" w:eastAsia="Times New Roman" w:hAnsi="Arial" w:cs="Arial"/>
          <w:color w:val="000000"/>
          <w:sz w:val="24"/>
          <w:szCs w:val="24"/>
          <w:lang w:eastAsia="en-CA"/>
        </w:rPr>
        <w:t>ntario Energy Board (</w:t>
      </w:r>
      <w:r w:rsidR="00AE08CC">
        <w:rPr>
          <w:rFonts w:ascii="Arial" w:eastAsia="Times New Roman" w:hAnsi="Arial" w:cs="Arial"/>
          <w:color w:val="000000"/>
          <w:sz w:val="24"/>
          <w:szCs w:val="24"/>
          <w:lang w:eastAsia="en-CA"/>
        </w:rPr>
        <w:t>OEB</w:t>
      </w:r>
      <w:r w:rsidR="000C6F92" w:rsidRPr="000C6F92">
        <w:rPr>
          <w:rFonts w:ascii="Arial" w:eastAsia="Times New Roman" w:hAnsi="Arial" w:cs="Arial"/>
          <w:color w:val="000000"/>
          <w:sz w:val="24"/>
          <w:szCs w:val="24"/>
          <w:lang w:eastAsia="en-CA"/>
        </w:rPr>
        <w:t xml:space="preserve">) on </w:t>
      </w:r>
      <w:r w:rsidR="000C6F92">
        <w:rPr>
          <w:rFonts w:ascii="Arial" w:eastAsia="Times New Roman" w:hAnsi="Arial" w:cs="Arial"/>
          <w:color w:val="000000"/>
          <w:sz w:val="24"/>
          <w:szCs w:val="24"/>
          <w:lang w:eastAsia="en-CA"/>
        </w:rPr>
        <w:t>August 1</w:t>
      </w:r>
      <w:r w:rsidR="00F42DF9">
        <w:rPr>
          <w:rFonts w:ascii="Arial" w:eastAsia="Times New Roman" w:hAnsi="Arial" w:cs="Arial"/>
          <w:color w:val="000000"/>
          <w:sz w:val="24"/>
          <w:szCs w:val="24"/>
          <w:lang w:eastAsia="en-CA"/>
        </w:rPr>
        <w:t xml:space="preserve">5, 2016 </w:t>
      </w:r>
      <w:r w:rsidR="000C6F92" w:rsidRPr="000C6F92">
        <w:rPr>
          <w:rFonts w:ascii="Arial" w:eastAsia="Times New Roman" w:hAnsi="Arial" w:cs="Arial"/>
          <w:color w:val="000000"/>
          <w:sz w:val="24"/>
          <w:szCs w:val="24"/>
          <w:lang w:eastAsia="en-CA"/>
        </w:rPr>
        <w:t xml:space="preserve">under section 78 of the </w:t>
      </w:r>
      <w:r w:rsidR="000C6F92" w:rsidRPr="000C6F92">
        <w:rPr>
          <w:rFonts w:ascii="Arial" w:eastAsia="Times New Roman" w:hAnsi="Arial" w:cs="Arial"/>
          <w:i/>
          <w:color w:val="000000"/>
          <w:sz w:val="24"/>
          <w:szCs w:val="24"/>
          <w:lang w:eastAsia="en-CA"/>
        </w:rPr>
        <w:t>Ontario Energy Board Act</w:t>
      </w:r>
      <w:r w:rsidR="000C6F92" w:rsidRPr="000C6F92">
        <w:rPr>
          <w:rFonts w:ascii="Arial" w:eastAsia="Times New Roman" w:hAnsi="Arial" w:cs="Arial"/>
          <w:color w:val="000000"/>
          <w:sz w:val="24"/>
          <w:szCs w:val="24"/>
          <w:lang w:eastAsia="en-CA"/>
        </w:rPr>
        <w:t>,</w:t>
      </w:r>
      <w:r w:rsidR="00A6474C">
        <w:rPr>
          <w:rFonts w:ascii="Arial" w:eastAsia="Times New Roman" w:hAnsi="Arial" w:cs="Arial"/>
          <w:i/>
          <w:color w:val="000000"/>
          <w:sz w:val="24"/>
          <w:szCs w:val="24"/>
          <w:lang w:eastAsia="en-CA"/>
        </w:rPr>
        <w:t xml:space="preserve"> 1998</w:t>
      </w:r>
      <w:r w:rsidR="000C6F92" w:rsidRPr="000C6F92">
        <w:rPr>
          <w:rFonts w:ascii="Arial" w:eastAsia="Times New Roman" w:hAnsi="Arial" w:cs="Arial"/>
          <w:color w:val="000000"/>
          <w:sz w:val="24"/>
          <w:szCs w:val="24"/>
          <w:lang w:eastAsia="en-CA"/>
        </w:rPr>
        <w:t xml:space="preserve"> seeking approval for changes to the rates that </w:t>
      </w:r>
      <w:r w:rsidR="00F94E5A">
        <w:rPr>
          <w:rFonts w:ascii="Arial" w:eastAsia="Times New Roman" w:hAnsi="Arial" w:cs="Arial"/>
          <w:color w:val="000000"/>
          <w:sz w:val="24"/>
          <w:szCs w:val="24"/>
          <w:lang w:eastAsia="en-CA"/>
        </w:rPr>
        <w:t xml:space="preserve">Festival </w:t>
      </w:r>
      <w:r w:rsidR="00034FB2">
        <w:rPr>
          <w:rFonts w:ascii="Arial" w:eastAsia="Times New Roman" w:hAnsi="Arial" w:cs="Arial"/>
          <w:color w:val="000000"/>
          <w:sz w:val="24"/>
          <w:szCs w:val="24"/>
          <w:lang w:eastAsia="en-CA"/>
        </w:rPr>
        <w:t>Hydro</w:t>
      </w:r>
      <w:r w:rsidR="000C6F92" w:rsidRPr="000C6F92">
        <w:rPr>
          <w:rFonts w:ascii="Arial" w:eastAsia="Times New Roman" w:hAnsi="Arial" w:cs="Arial"/>
          <w:color w:val="000000"/>
          <w:sz w:val="24"/>
          <w:szCs w:val="24"/>
          <w:lang w:eastAsia="en-CA"/>
        </w:rPr>
        <w:t xml:space="preserve"> charges for electricity distribution, </w:t>
      </w:r>
      <w:r w:rsidR="00F42DF9">
        <w:rPr>
          <w:rFonts w:ascii="Arial" w:eastAsia="Times New Roman" w:hAnsi="Arial" w:cs="Arial"/>
          <w:color w:val="000000"/>
          <w:sz w:val="24"/>
          <w:szCs w:val="24"/>
          <w:lang w:eastAsia="en-CA"/>
        </w:rPr>
        <w:t>effective January 1, 2017</w:t>
      </w:r>
      <w:r w:rsidR="000C6F92" w:rsidRPr="000C6F92">
        <w:rPr>
          <w:rFonts w:ascii="Arial" w:eastAsia="Times New Roman" w:hAnsi="Arial" w:cs="Arial"/>
          <w:color w:val="000000"/>
          <w:sz w:val="24"/>
          <w:szCs w:val="24"/>
          <w:lang w:eastAsia="en-CA"/>
        </w:rPr>
        <w:t>.</w:t>
      </w:r>
      <w:r w:rsidR="000C6F92">
        <w:rPr>
          <w:rFonts w:ascii="Arial" w:eastAsia="Times New Roman" w:hAnsi="Arial" w:cs="Arial"/>
          <w:color w:val="000000"/>
          <w:sz w:val="24"/>
          <w:szCs w:val="24"/>
          <w:lang w:eastAsia="en-CA"/>
        </w:rPr>
        <w:t xml:space="preserve">  </w:t>
      </w:r>
    </w:p>
    <w:p w:rsidR="00CE177A" w:rsidRPr="006828CC" w:rsidRDefault="00CE177A" w:rsidP="00CE177A">
      <w:pPr>
        <w:autoSpaceDE w:val="0"/>
        <w:autoSpaceDN w:val="0"/>
        <w:adjustRightInd w:val="0"/>
        <w:spacing w:after="0" w:line="300" w:lineRule="auto"/>
        <w:rPr>
          <w:rFonts w:ascii="Arial" w:eastAsia="Times New Roman" w:hAnsi="Arial" w:cs="Arial"/>
          <w:sz w:val="24"/>
          <w:szCs w:val="24"/>
        </w:rPr>
      </w:pPr>
    </w:p>
    <w:p w:rsidR="00CE177A" w:rsidRDefault="00CE177A" w:rsidP="00CE177A">
      <w:pPr>
        <w:autoSpaceDE w:val="0"/>
        <w:autoSpaceDN w:val="0"/>
        <w:adjustRightInd w:val="0"/>
        <w:spacing w:after="0" w:line="300" w:lineRule="auto"/>
        <w:rPr>
          <w:rFonts w:ascii="Arial" w:eastAsia="Times New Roman" w:hAnsi="Arial" w:cs="Arial"/>
          <w:sz w:val="24"/>
          <w:szCs w:val="24"/>
        </w:rPr>
      </w:pPr>
      <w:r w:rsidRPr="006828CC">
        <w:rPr>
          <w:rFonts w:ascii="Arial" w:eastAsia="Times New Roman" w:hAnsi="Arial" w:cs="Arial"/>
          <w:sz w:val="24"/>
          <w:szCs w:val="24"/>
        </w:rPr>
        <w:t xml:space="preserve">The purpose of this </w:t>
      </w:r>
      <w:r w:rsidR="00AE08CC">
        <w:rPr>
          <w:rFonts w:ascii="Arial" w:eastAsia="Times New Roman" w:hAnsi="Arial" w:cs="Arial"/>
          <w:sz w:val="24"/>
          <w:szCs w:val="24"/>
        </w:rPr>
        <w:t>document is to provide the OEB with the submissions of OEB</w:t>
      </w:r>
      <w:r w:rsidRPr="006828CC">
        <w:rPr>
          <w:rFonts w:ascii="Arial" w:eastAsia="Times New Roman" w:hAnsi="Arial" w:cs="Arial"/>
          <w:sz w:val="24"/>
          <w:szCs w:val="24"/>
        </w:rPr>
        <w:t xml:space="preserve"> staff based on its review of the evidence submitted by </w:t>
      </w:r>
      <w:r w:rsidR="0093109F">
        <w:rPr>
          <w:rFonts w:ascii="Arial" w:eastAsia="Times New Roman" w:hAnsi="Arial" w:cs="Arial"/>
          <w:sz w:val="24"/>
          <w:szCs w:val="24"/>
        </w:rPr>
        <w:t>Festival</w:t>
      </w:r>
      <w:r w:rsidR="00034FB2">
        <w:rPr>
          <w:rFonts w:ascii="Arial" w:eastAsia="Times New Roman" w:hAnsi="Arial" w:cs="Arial"/>
          <w:sz w:val="24"/>
          <w:szCs w:val="24"/>
        </w:rPr>
        <w:t xml:space="preserve"> Hydro</w:t>
      </w:r>
      <w:r w:rsidRPr="006828CC">
        <w:rPr>
          <w:rFonts w:ascii="Arial" w:eastAsia="Times New Roman" w:hAnsi="Arial" w:cs="Arial"/>
          <w:sz w:val="24"/>
          <w:szCs w:val="24"/>
        </w:rPr>
        <w:t xml:space="preserve">.  </w:t>
      </w:r>
    </w:p>
    <w:p w:rsidR="00DC6CE9" w:rsidRDefault="00DC6CE9" w:rsidP="00DC6CE9">
      <w:pPr>
        <w:autoSpaceDE w:val="0"/>
        <w:autoSpaceDN w:val="0"/>
        <w:adjustRightInd w:val="0"/>
        <w:spacing w:after="0" w:line="300" w:lineRule="auto"/>
        <w:rPr>
          <w:rFonts w:ascii="Arial" w:eastAsia="Times New Roman" w:hAnsi="Arial" w:cs="Arial"/>
          <w:sz w:val="24"/>
          <w:szCs w:val="24"/>
        </w:rPr>
      </w:pPr>
    </w:p>
    <w:p w:rsidR="00DC6CE9" w:rsidRPr="00DC6CE9" w:rsidRDefault="00DC6CE9" w:rsidP="00DC6CE9">
      <w:pPr>
        <w:autoSpaceDE w:val="0"/>
        <w:autoSpaceDN w:val="0"/>
        <w:adjustRightInd w:val="0"/>
        <w:spacing w:after="0" w:line="300" w:lineRule="auto"/>
        <w:rPr>
          <w:rFonts w:ascii="Arial" w:eastAsia="Times New Roman" w:hAnsi="Arial" w:cs="Arial"/>
          <w:sz w:val="24"/>
          <w:szCs w:val="24"/>
        </w:rPr>
      </w:pPr>
      <w:r w:rsidRPr="00DC6CE9">
        <w:rPr>
          <w:rFonts w:ascii="Arial" w:eastAsia="Times New Roman" w:hAnsi="Arial" w:cs="Arial"/>
          <w:sz w:val="24"/>
          <w:szCs w:val="24"/>
        </w:rPr>
        <w:t>OEB staff makes submissions on the following:</w:t>
      </w:r>
    </w:p>
    <w:p w:rsidR="00DC6CE9" w:rsidRPr="00DC6CE9" w:rsidRDefault="00CB722C" w:rsidP="00DC6CE9">
      <w:pPr>
        <w:pStyle w:val="ListParagraph"/>
        <w:numPr>
          <w:ilvl w:val="0"/>
          <w:numId w:val="7"/>
        </w:numPr>
        <w:autoSpaceDE w:val="0"/>
        <w:autoSpaceDN w:val="0"/>
        <w:adjustRightInd w:val="0"/>
        <w:spacing w:after="0" w:line="300" w:lineRule="auto"/>
        <w:rPr>
          <w:rFonts w:ascii="Arial" w:eastAsia="Times New Roman" w:hAnsi="Arial" w:cs="Arial"/>
          <w:sz w:val="24"/>
          <w:szCs w:val="24"/>
        </w:rPr>
      </w:pPr>
      <w:r>
        <w:rPr>
          <w:rFonts w:ascii="Arial" w:eastAsia="Times New Roman" w:hAnsi="Arial" w:cs="Arial"/>
          <w:sz w:val="24"/>
          <w:szCs w:val="24"/>
        </w:rPr>
        <w:t>Permanent Bypass Rate Rider</w:t>
      </w:r>
    </w:p>
    <w:p w:rsidR="00DC6CE9" w:rsidRPr="00DC6CE9" w:rsidRDefault="00CB722C" w:rsidP="00DC6CE9">
      <w:pPr>
        <w:pStyle w:val="ListParagraph"/>
        <w:numPr>
          <w:ilvl w:val="0"/>
          <w:numId w:val="7"/>
        </w:numPr>
        <w:autoSpaceDE w:val="0"/>
        <w:autoSpaceDN w:val="0"/>
        <w:adjustRightInd w:val="0"/>
        <w:spacing w:after="0" w:line="300" w:lineRule="auto"/>
        <w:rPr>
          <w:rFonts w:ascii="Arial" w:eastAsia="Times New Roman" w:hAnsi="Arial" w:cs="Arial"/>
          <w:sz w:val="24"/>
          <w:szCs w:val="24"/>
        </w:rPr>
      </w:pPr>
      <w:r>
        <w:rPr>
          <w:rFonts w:ascii="Arial" w:eastAsia="Times New Roman" w:hAnsi="Arial" w:cs="Arial"/>
          <w:sz w:val="24"/>
          <w:szCs w:val="24"/>
        </w:rPr>
        <w:t>Earning</w:t>
      </w:r>
      <w:r w:rsidR="00F94E5A">
        <w:rPr>
          <w:rFonts w:ascii="Arial" w:eastAsia="Times New Roman" w:hAnsi="Arial" w:cs="Arial"/>
          <w:sz w:val="24"/>
          <w:szCs w:val="24"/>
        </w:rPr>
        <w:t>s</w:t>
      </w:r>
      <w:r>
        <w:rPr>
          <w:rFonts w:ascii="Arial" w:eastAsia="Times New Roman" w:hAnsi="Arial" w:cs="Arial"/>
          <w:sz w:val="24"/>
          <w:szCs w:val="24"/>
        </w:rPr>
        <w:t xml:space="preserve"> Performance in 2015</w:t>
      </w:r>
    </w:p>
    <w:p w:rsidR="00DC6CE9" w:rsidRPr="00DC6CE9" w:rsidRDefault="00DC6CE9" w:rsidP="00DC6CE9">
      <w:pPr>
        <w:pStyle w:val="ListParagraph"/>
        <w:numPr>
          <w:ilvl w:val="0"/>
          <w:numId w:val="7"/>
        </w:numPr>
        <w:autoSpaceDE w:val="0"/>
        <w:autoSpaceDN w:val="0"/>
        <w:adjustRightInd w:val="0"/>
        <w:spacing w:after="0" w:line="300" w:lineRule="auto"/>
        <w:rPr>
          <w:rFonts w:ascii="Arial" w:eastAsia="Times New Roman" w:hAnsi="Arial" w:cs="Arial"/>
          <w:sz w:val="24"/>
          <w:szCs w:val="24"/>
        </w:rPr>
      </w:pPr>
      <w:r w:rsidRPr="00DC6CE9">
        <w:rPr>
          <w:rFonts w:ascii="Arial" w:eastAsia="Times New Roman" w:hAnsi="Arial" w:cs="Arial"/>
          <w:sz w:val="24"/>
          <w:szCs w:val="24"/>
        </w:rPr>
        <w:t>Deferral and Variance Account Disposition</w:t>
      </w:r>
    </w:p>
    <w:p w:rsidR="00DC6CE9" w:rsidRDefault="00DC6CE9" w:rsidP="00DC6CE9">
      <w:pPr>
        <w:pStyle w:val="ListParagraph"/>
        <w:numPr>
          <w:ilvl w:val="0"/>
          <w:numId w:val="7"/>
        </w:numPr>
        <w:autoSpaceDE w:val="0"/>
        <w:autoSpaceDN w:val="0"/>
        <w:adjustRightInd w:val="0"/>
        <w:spacing w:after="0" w:line="300" w:lineRule="auto"/>
        <w:rPr>
          <w:rFonts w:ascii="Arial" w:eastAsia="Times New Roman" w:hAnsi="Arial" w:cs="Arial"/>
          <w:sz w:val="24"/>
          <w:szCs w:val="24"/>
        </w:rPr>
      </w:pPr>
      <w:r w:rsidRPr="00DC6CE9">
        <w:rPr>
          <w:rFonts w:ascii="Arial" w:eastAsia="Times New Roman" w:hAnsi="Arial" w:cs="Arial"/>
          <w:sz w:val="24"/>
          <w:szCs w:val="24"/>
        </w:rPr>
        <w:t>Retail Transmission Service Rates</w:t>
      </w:r>
    </w:p>
    <w:p w:rsidR="00CB722C" w:rsidRPr="00DC6CE9" w:rsidRDefault="00CB722C" w:rsidP="00DC6CE9">
      <w:pPr>
        <w:pStyle w:val="ListParagraph"/>
        <w:numPr>
          <w:ilvl w:val="0"/>
          <w:numId w:val="7"/>
        </w:numPr>
        <w:autoSpaceDE w:val="0"/>
        <w:autoSpaceDN w:val="0"/>
        <w:adjustRightInd w:val="0"/>
        <w:spacing w:after="0" w:line="300" w:lineRule="auto"/>
        <w:rPr>
          <w:rFonts w:ascii="Arial" w:eastAsia="Times New Roman" w:hAnsi="Arial" w:cs="Arial"/>
          <w:sz w:val="24"/>
          <w:szCs w:val="24"/>
        </w:rPr>
      </w:pPr>
      <w:r>
        <w:rPr>
          <w:rFonts w:ascii="Arial" w:eastAsia="Times New Roman" w:hAnsi="Arial" w:cs="Arial"/>
          <w:sz w:val="24"/>
          <w:szCs w:val="24"/>
        </w:rPr>
        <w:t xml:space="preserve">Lost Revenue Adjustment Mechanism Variance Account (LRAMVA) Balance </w:t>
      </w:r>
    </w:p>
    <w:p w:rsidR="00DC6CE9" w:rsidRPr="006828CC" w:rsidRDefault="00DC6CE9" w:rsidP="00CE177A">
      <w:pPr>
        <w:autoSpaceDE w:val="0"/>
        <w:autoSpaceDN w:val="0"/>
        <w:adjustRightInd w:val="0"/>
        <w:spacing w:after="0" w:line="300" w:lineRule="auto"/>
        <w:rPr>
          <w:rFonts w:ascii="Arial" w:eastAsia="Times New Roman" w:hAnsi="Arial" w:cs="Arial"/>
          <w:sz w:val="24"/>
          <w:szCs w:val="24"/>
        </w:rPr>
      </w:pPr>
    </w:p>
    <w:p w:rsidR="00760CA3" w:rsidRPr="00BB1F93" w:rsidRDefault="00CB722C" w:rsidP="00760CA3">
      <w:pPr>
        <w:autoSpaceDE w:val="0"/>
        <w:autoSpaceDN w:val="0"/>
        <w:adjustRightInd w:val="0"/>
        <w:spacing w:after="0" w:line="240" w:lineRule="auto"/>
        <w:rPr>
          <w:rFonts w:ascii="Arial" w:eastAsia="Times New Roman" w:hAnsi="Arial" w:cs="Arial"/>
          <w:b/>
          <w:sz w:val="24"/>
          <w:szCs w:val="24"/>
          <w:u w:val="single"/>
        </w:rPr>
      </w:pPr>
      <w:r w:rsidRPr="00BB1F93">
        <w:rPr>
          <w:rFonts w:ascii="Arial" w:eastAsia="Times New Roman" w:hAnsi="Arial" w:cs="Arial"/>
          <w:b/>
          <w:sz w:val="24"/>
          <w:szCs w:val="24"/>
          <w:u w:val="single"/>
        </w:rPr>
        <w:t>Permanent Bypass Rate Rider</w:t>
      </w:r>
    </w:p>
    <w:p w:rsidR="00CB722C" w:rsidRDefault="00CB722C" w:rsidP="00760CA3">
      <w:pPr>
        <w:autoSpaceDE w:val="0"/>
        <w:autoSpaceDN w:val="0"/>
        <w:adjustRightInd w:val="0"/>
        <w:spacing w:after="0" w:line="240" w:lineRule="auto"/>
        <w:rPr>
          <w:rFonts w:ascii="Arial" w:eastAsia="Times New Roman" w:hAnsi="Arial" w:cs="Arial"/>
          <w:sz w:val="24"/>
          <w:szCs w:val="24"/>
          <w:u w:val="single"/>
        </w:rPr>
      </w:pPr>
    </w:p>
    <w:p w:rsidR="00CB722C" w:rsidRPr="00BB1F93" w:rsidRDefault="00BB1F93" w:rsidP="00625D1F">
      <w:pPr>
        <w:rPr>
          <w:rFonts w:ascii="Arial" w:eastAsia="Times New Roman" w:hAnsi="Arial" w:cs="Arial"/>
          <w:b/>
          <w:sz w:val="24"/>
          <w:szCs w:val="24"/>
        </w:rPr>
      </w:pPr>
      <w:r w:rsidRPr="00BB1F93">
        <w:rPr>
          <w:rFonts w:ascii="Arial" w:eastAsia="Times New Roman" w:hAnsi="Arial" w:cs="Arial"/>
          <w:b/>
          <w:sz w:val="24"/>
          <w:szCs w:val="24"/>
        </w:rPr>
        <w:t>Background</w:t>
      </w:r>
    </w:p>
    <w:p w:rsidR="00C7779D" w:rsidRPr="00625D1F" w:rsidRDefault="00BB1F93" w:rsidP="00625D1F">
      <w:pPr>
        <w:rPr>
          <w:rFonts w:ascii="Arial" w:hAnsi="Arial" w:cs="Arial"/>
          <w:sz w:val="24"/>
          <w:szCs w:val="24"/>
        </w:rPr>
      </w:pPr>
      <w:r w:rsidRPr="00625D1F">
        <w:rPr>
          <w:rFonts w:ascii="Arial" w:hAnsi="Arial" w:cs="Arial"/>
          <w:sz w:val="24"/>
          <w:szCs w:val="24"/>
        </w:rPr>
        <w:t xml:space="preserve">As part of Festival Hydro’s 2015 Cost of Service (COS) proceeding, EB-2014-0073, the OEB </w:t>
      </w:r>
      <w:r w:rsidR="00FF3A02">
        <w:rPr>
          <w:rFonts w:ascii="Arial" w:hAnsi="Arial" w:cs="Arial"/>
          <w:sz w:val="24"/>
          <w:szCs w:val="24"/>
        </w:rPr>
        <w:t>approved the recovery</w:t>
      </w:r>
      <w:r w:rsidR="00FF3A02" w:rsidRPr="00625D1F">
        <w:rPr>
          <w:rFonts w:ascii="Arial" w:hAnsi="Arial" w:cs="Arial"/>
          <w:sz w:val="24"/>
          <w:szCs w:val="24"/>
        </w:rPr>
        <w:t xml:space="preserve"> </w:t>
      </w:r>
      <w:r w:rsidR="00FF3A02">
        <w:rPr>
          <w:rFonts w:ascii="Arial" w:hAnsi="Arial" w:cs="Arial"/>
          <w:sz w:val="24"/>
          <w:szCs w:val="24"/>
        </w:rPr>
        <w:t>of</w:t>
      </w:r>
      <w:r w:rsidR="00C7779D" w:rsidRPr="00625D1F">
        <w:rPr>
          <w:rFonts w:ascii="Arial" w:hAnsi="Arial" w:cs="Arial"/>
          <w:sz w:val="24"/>
          <w:szCs w:val="24"/>
        </w:rPr>
        <w:t xml:space="preserve"> costs</w:t>
      </w:r>
      <w:r w:rsidRPr="00625D1F">
        <w:rPr>
          <w:rFonts w:ascii="Arial" w:hAnsi="Arial" w:cs="Arial"/>
          <w:sz w:val="24"/>
          <w:szCs w:val="24"/>
        </w:rPr>
        <w:t xml:space="preserve"> </w:t>
      </w:r>
      <w:r w:rsidR="00C7779D" w:rsidRPr="00625D1F">
        <w:rPr>
          <w:rFonts w:ascii="Arial" w:hAnsi="Arial" w:cs="Arial"/>
          <w:sz w:val="24"/>
          <w:szCs w:val="24"/>
        </w:rPr>
        <w:t>for a permanent bypass of a Hydro One Networks Inc. (HONI) transformer station through a rate rider. The permanent bypass agreement (PBA) rate rider was established to collect $1,230,026</w:t>
      </w:r>
      <w:r w:rsidRPr="00625D1F">
        <w:rPr>
          <w:rFonts w:ascii="Arial" w:hAnsi="Arial" w:cs="Arial"/>
          <w:sz w:val="24"/>
          <w:szCs w:val="24"/>
        </w:rPr>
        <w:t xml:space="preserve"> over a 31</w:t>
      </w:r>
      <w:r w:rsidR="00C7779D" w:rsidRPr="00625D1F">
        <w:rPr>
          <w:rFonts w:ascii="Arial" w:hAnsi="Arial" w:cs="Arial"/>
          <w:sz w:val="24"/>
          <w:szCs w:val="24"/>
        </w:rPr>
        <w:t>-m</w:t>
      </w:r>
      <w:r w:rsidRPr="00625D1F">
        <w:rPr>
          <w:rFonts w:ascii="Arial" w:hAnsi="Arial" w:cs="Arial"/>
          <w:sz w:val="24"/>
          <w:szCs w:val="24"/>
        </w:rPr>
        <w:t xml:space="preserve">onth period from May 1, 2015 to December 31, 2017. </w:t>
      </w:r>
      <w:r w:rsidR="00C7779D" w:rsidRPr="00625D1F">
        <w:rPr>
          <w:rFonts w:ascii="Arial" w:hAnsi="Arial" w:cs="Arial"/>
          <w:sz w:val="24"/>
          <w:szCs w:val="24"/>
        </w:rPr>
        <w:t xml:space="preserve">The OEB approved the PBA rate rider on an interim basis, as the final invoiced amounts were not known at the time of the decision. </w:t>
      </w:r>
      <w:r w:rsidR="009E2062" w:rsidRPr="00625D1F">
        <w:rPr>
          <w:rFonts w:ascii="Arial" w:hAnsi="Arial" w:cs="Arial"/>
          <w:sz w:val="24"/>
          <w:szCs w:val="24"/>
        </w:rPr>
        <w:t xml:space="preserve">The </w:t>
      </w:r>
      <w:r w:rsidR="00C7779D" w:rsidRPr="00625D1F">
        <w:rPr>
          <w:rFonts w:ascii="Arial" w:hAnsi="Arial" w:cs="Arial"/>
          <w:sz w:val="24"/>
          <w:szCs w:val="24"/>
        </w:rPr>
        <w:t>OEB</w:t>
      </w:r>
      <w:r w:rsidR="009E2062" w:rsidRPr="00625D1F">
        <w:rPr>
          <w:rFonts w:ascii="Arial" w:hAnsi="Arial" w:cs="Arial"/>
          <w:sz w:val="24"/>
          <w:szCs w:val="24"/>
        </w:rPr>
        <w:t xml:space="preserve"> </w:t>
      </w:r>
      <w:r w:rsidR="00C7779D" w:rsidRPr="00625D1F">
        <w:rPr>
          <w:rFonts w:ascii="Arial" w:hAnsi="Arial" w:cs="Arial"/>
          <w:sz w:val="24"/>
          <w:szCs w:val="24"/>
        </w:rPr>
        <w:t>order</w:t>
      </w:r>
      <w:r w:rsidR="009E2062" w:rsidRPr="00625D1F">
        <w:rPr>
          <w:rFonts w:ascii="Arial" w:hAnsi="Arial" w:cs="Arial"/>
          <w:sz w:val="24"/>
          <w:szCs w:val="24"/>
        </w:rPr>
        <w:t>ed</w:t>
      </w:r>
      <w:r w:rsidR="00C7779D" w:rsidRPr="00625D1F">
        <w:rPr>
          <w:rFonts w:ascii="Arial" w:hAnsi="Arial" w:cs="Arial"/>
          <w:sz w:val="24"/>
          <w:szCs w:val="24"/>
        </w:rPr>
        <w:t xml:space="preserve"> that the amo</w:t>
      </w:r>
      <w:r w:rsidR="009E2062" w:rsidRPr="00625D1F">
        <w:rPr>
          <w:rFonts w:ascii="Arial" w:hAnsi="Arial" w:cs="Arial"/>
          <w:sz w:val="24"/>
          <w:szCs w:val="24"/>
        </w:rPr>
        <w:t xml:space="preserve">unt </w:t>
      </w:r>
      <w:r w:rsidR="00C7779D" w:rsidRPr="00625D1F">
        <w:rPr>
          <w:rFonts w:ascii="Arial" w:hAnsi="Arial" w:cs="Arial"/>
          <w:sz w:val="24"/>
          <w:szCs w:val="24"/>
        </w:rPr>
        <w:t>be trued-up as part of Festival Hydro’s 2016 IRM proceeding.</w:t>
      </w:r>
    </w:p>
    <w:p w:rsidR="009E2062" w:rsidRPr="00625D1F" w:rsidRDefault="009E2062" w:rsidP="00625D1F">
      <w:pPr>
        <w:rPr>
          <w:rFonts w:ascii="Arial" w:hAnsi="Arial" w:cs="Arial"/>
          <w:sz w:val="24"/>
          <w:szCs w:val="24"/>
        </w:rPr>
      </w:pPr>
      <w:r w:rsidRPr="00625D1F">
        <w:rPr>
          <w:rFonts w:ascii="Arial" w:hAnsi="Arial" w:cs="Arial"/>
          <w:sz w:val="24"/>
          <w:szCs w:val="24"/>
        </w:rPr>
        <w:t xml:space="preserve">By the time of Festival Hydro’s 2016 IRM application (EB-2015-0069), the final invoice had still not been received. In Festival Hydro’s 2016 IRM proceeding, the OEB approved the continuation of the current PBA rate rider in 2016 on an interim basis. The </w:t>
      </w:r>
      <w:r w:rsidRPr="00625D1F">
        <w:rPr>
          <w:rFonts w:ascii="Arial" w:hAnsi="Arial" w:cs="Arial"/>
          <w:sz w:val="24"/>
          <w:szCs w:val="24"/>
        </w:rPr>
        <w:lastRenderedPageBreak/>
        <w:t>OEB ordered that a true-up and rate rider adjustment would be made once the final invoice is received.</w:t>
      </w:r>
    </w:p>
    <w:p w:rsidR="00A6474C" w:rsidRDefault="00BE3F01" w:rsidP="00625D1F">
      <w:pPr>
        <w:rPr>
          <w:rFonts w:ascii="Arial" w:hAnsi="Arial" w:cs="Arial"/>
          <w:sz w:val="24"/>
          <w:szCs w:val="24"/>
        </w:rPr>
      </w:pPr>
      <w:r w:rsidRPr="00625D1F">
        <w:rPr>
          <w:rFonts w:ascii="Arial" w:hAnsi="Arial" w:cs="Arial"/>
          <w:sz w:val="24"/>
          <w:szCs w:val="24"/>
        </w:rPr>
        <w:t>Festival Hydro</w:t>
      </w:r>
      <w:r w:rsidR="00A6474C">
        <w:rPr>
          <w:rFonts w:ascii="Arial" w:hAnsi="Arial" w:cs="Arial"/>
          <w:sz w:val="24"/>
          <w:szCs w:val="24"/>
        </w:rPr>
        <w:t xml:space="preserve"> noted in its </w:t>
      </w:r>
      <w:r w:rsidRPr="00625D1F">
        <w:rPr>
          <w:rFonts w:ascii="Arial" w:hAnsi="Arial" w:cs="Arial"/>
          <w:sz w:val="24"/>
          <w:szCs w:val="24"/>
        </w:rPr>
        <w:t xml:space="preserve">application </w:t>
      </w:r>
      <w:r w:rsidR="00A6474C">
        <w:rPr>
          <w:rFonts w:ascii="Arial" w:hAnsi="Arial" w:cs="Arial"/>
          <w:sz w:val="24"/>
          <w:szCs w:val="24"/>
        </w:rPr>
        <w:t xml:space="preserve">and in </w:t>
      </w:r>
      <w:r w:rsidRPr="00625D1F">
        <w:rPr>
          <w:rFonts w:ascii="Arial" w:hAnsi="Arial" w:cs="Arial"/>
          <w:sz w:val="24"/>
          <w:szCs w:val="24"/>
        </w:rPr>
        <w:t>response to OEB staff interrogatory #5(a)</w:t>
      </w:r>
      <w:r w:rsidR="00A6474C">
        <w:rPr>
          <w:rFonts w:ascii="Arial" w:hAnsi="Arial" w:cs="Arial"/>
          <w:sz w:val="24"/>
          <w:szCs w:val="24"/>
        </w:rPr>
        <w:t xml:space="preserve"> that, </w:t>
      </w:r>
      <w:r w:rsidRPr="00625D1F">
        <w:rPr>
          <w:rFonts w:ascii="Arial" w:hAnsi="Arial" w:cs="Arial"/>
          <w:sz w:val="24"/>
          <w:szCs w:val="24"/>
        </w:rPr>
        <w:t xml:space="preserve">at the time of filing this application, the final invoice has been received and </w:t>
      </w:r>
      <w:r w:rsidR="00FF3A02">
        <w:rPr>
          <w:rFonts w:ascii="Arial" w:hAnsi="Arial" w:cs="Arial"/>
          <w:sz w:val="24"/>
          <w:szCs w:val="24"/>
        </w:rPr>
        <w:t xml:space="preserve">the </w:t>
      </w:r>
      <w:r w:rsidRPr="00625D1F">
        <w:rPr>
          <w:rFonts w:ascii="Arial" w:hAnsi="Arial" w:cs="Arial"/>
          <w:sz w:val="24"/>
          <w:szCs w:val="24"/>
        </w:rPr>
        <w:t>amount in question has been finalized with H</w:t>
      </w:r>
      <w:r w:rsidR="00F94E5A">
        <w:rPr>
          <w:rFonts w:ascii="Arial" w:hAnsi="Arial" w:cs="Arial"/>
          <w:sz w:val="24"/>
          <w:szCs w:val="24"/>
        </w:rPr>
        <w:t xml:space="preserve">ydro </w:t>
      </w:r>
      <w:r w:rsidRPr="00625D1F">
        <w:rPr>
          <w:rFonts w:ascii="Arial" w:hAnsi="Arial" w:cs="Arial"/>
          <w:sz w:val="24"/>
          <w:szCs w:val="24"/>
        </w:rPr>
        <w:t>O</w:t>
      </w:r>
      <w:r w:rsidR="00F94E5A">
        <w:rPr>
          <w:rFonts w:ascii="Arial" w:hAnsi="Arial" w:cs="Arial"/>
          <w:sz w:val="24"/>
          <w:szCs w:val="24"/>
        </w:rPr>
        <w:t xml:space="preserve">ne </w:t>
      </w:r>
      <w:r w:rsidRPr="00625D1F">
        <w:rPr>
          <w:rFonts w:ascii="Arial" w:hAnsi="Arial" w:cs="Arial"/>
          <w:sz w:val="24"/>
          <w:szCs w:val="24"/>
        </w:rPr>
        <w:t>N</w:t>
      </w:r>
      <w:r w:rsidR="00F94E5A">
        <w:rPr>
          <w:rFonts w:ascii="Arial" w:hAnsi="Arial" w:cs="Arial"/>
          <w:sz w:val="24"/>
          <w:szCs w:val="24"/>
        </w:rPr>
        <w:t xml:space="preserve">etworks </w:t>
      </w:r>
      <w:r w:rsidRPr="00625D1F">
        <w:rPr>
          <w:rFonts w:ascii="Arial" w:hAnsi="Arial" w:cs="Arial"/>
          <w:sz w:val="24"/>
          <w:szCs w:val="24"/>
        </w:rPr>
        <w:t>I</w:t>
      </w:r>
      <w:r w:rsidR="00F94E5A">
        <w:rPr>
          <w:rFonts w:ascii="Arial" w:hAnsi="Arial" w:cs="Arial"/>
          <w:sz w:val="24"/>
          <w:szCs w:val="24"/>
        </w:rPr>
        <w:t>nc.</w:t>
      </w:r>
      <w:r w:rsidRPr="00625D1F">
        <w:rPr>
          <w:rFonts w:ascii="Arial" w:hAnsi="Arial" w:cs="Arial"/>
          <w:sz w:val="24"/>
          <w:szCs w:val="24"/>
        </w:rPr>
        <w:t xml:space="preserve"> at $932,094. Festival Hydro calculated the remaining amount that needs to be recovered in 2017 is $181,341. </w:t>
      </w:r>
    </w:p>
    <w:p w:rsidR="005A4FD5" w:rsidRPr="00625D1F" w:rsidRDefault="00BE3F01" w:rsidP="00625D1F">
      <w:pPr>
        <w:rPr>
          <w:rFonts w:ascii="Arial" w:hAnsi="Arial" w:cs="Arial"/>
          <w:sz w:val="24"/>
          <w:szCs w:val="24"/>
        </w:rPr>
      </w:pPr>
      <w:r w:rsidRPr="00625D1F">
        <w:rPr>
          <w:rFonts w:ascii="Arial" w:hAnsi="Arial" w:cs="Arial"/>
          <w:sz w:val="24"/>
          <w:szCs w:val="24"/>
        </w:rPr>
        <w:t xml:space="preserve">Festival Hydro further calculated its proposed reduced </w:t>
      </w:r>
      <w:r w:rsidR="00A6474C">
        <w:rPr>
          <w:rFonts w:ascii="Arial" w:hAnsi="Arial" w:cs="Arial"/>
          <w:sz w:val="24"/>
          <w:szCs w:val="24"/>
        </w:rPr>
        <w:t xml:space="preserve">final PBA </w:t>
      </w:r>
      <w:r w:rsidRPr="00625D1F">
        <w:rPr>
          <w:rFonts w:ascii="Arial" w:hAnsi="Arial" w:cs="Arial"/>
          <w:sz w:val="24"/>
          <w:szCs w:val="24"/>
        </w:rPr>
        <w:t>rate rider by class to recover the remaining permanent bypass cost by the end of 2017.</w:t>
      </w:r>
    </w:p>
    <w:p w:rsidR="00C7779D" w:rsidRPr="00625D1F" w:rsidRDefault="005A4FD5" w:rsidP="00625D1F">
      <w:pPr>
        <w:rPr>
          <w:rFonts w:ascii="Arial" w:hAnsi="Arial" w:cs="Arial"/>
          <w:sz w:val="24"/>
          <w:szCs w:val="24"/>
        </w:rPr>
      </w:pPr>
      <w:r w:rsidRPr="00625D1F">
        <w:rPr>
          <w:rFonts w:ascii="Arial" w:hAnsi="Arial" w:cs="Arial"/>
          <w:noProof/>
          <w:sz w:val="24"/>
          <w:szCs w:val="24"/>
          <w:lang w:eastAsia="en-CA"/>
        </w:rPr>
        <w:drawing>
          <wp:inline distT="0" distB="0" distL="0" distR="0" wp14:anchorId="2A3F0B40" wp14:editId="4F9F5890">
            <wp:extent cx="5943600" cy="2958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2958465"/>
                    </a:xfrm>
                    <a:prstGeom prst="rect">
                      <a:avLst/>
                    </a:prstGeom>
                  </pic:spPr>
                </pic:pic>
              </a:graphicData>
            </a:graphic>
          </wp:inline>
        </w:drawing>
      </w:r>
    </w:p>
    <w:p w:rsidR="0000096D" w:rsidRPr="00625D1F" w:rsidRDefault="0000096D" w:rsidP="00625D1F">
      <w:pPr>
        <w:rPr>
          <w:rFonts w:ascii="Arial" w:hAnsi="Arial" w:cs="Arial"/>
          <w:sz w:val="24"/>
          <w:szCs w:val="24"/>
        </w:rPr>
      </w:pPr>
    </w:p>
    <w:p w:rsidR="00C7779D" w:rsidRPr="00625D1F" w:rsidRDefault="005A4FD5" w:rsidP="00625D1F">
      <w:pPr>
        <w:rPr>
          <w:rFonts w:ascii="Arial" w:hAnsi="Arial" w:cs="Arial"/>
          <w:b/>
          <w:sz w:val="24"/>
          <w:szCs w:val="24"/>
        </w:rPr>
      </w:pPr>
      <w:r w:rsidRPr="00625D1F">
        <w:rPr>
          <w:rFonts w:ascii="Arial" w:hAnsi="Arial" w:cs="Arial"/>
          <w:b/>
          <w:sz w:val="24"/>
          <w:szCs w:val="24"/>
        </w:rPr>
        <w:t>Submission</w:t>
      </w:r>
    </w:p>
    <w:p w:rsidR="005A4FD5" w:rsidRPr="00625D1F" w:rsidRDefault="005A4FD5" w:rsidP="00625D1F">
      <w:pPr>
        <w:rPr>
          <w:rFonts w:ascii="Arial" w:hAnsi="Arial" w:cs="Arial"/>
          <w:sz w:val="24"/>
          <w:szCs w:val="24"/>
        </w:rPr>
      </w:pPr>
      <w:r w:rsidRPr="00625D1F">
        <w:rPr>
          <w:rFonts w:ascii="Arial" w:hAnsi="Arial" w:cs="Arial"/>
          <w:sz w:val="24"/>
          <w:szCs w:val="24"/>
        </w:rPr>
        <w:t xml:space="preserve">OEB staff has reviewed the evidence and calculations that Festival Hydro provided for the </w:t>
      </w:r>
      <w:r w:rsidR="00A6474C" w:rsidRPr="00625D1F">
        <w:rPr>
          <w:rFonts w:ascii="Arial" w:hAnsi="Arial" w:cs="Arial"/>
          <w:sz w:val="24"/>
          <w:szCs w:val="24"/>
        </w:rPr>
        <w:t xml:space="preserve">proposed reduced </w:t>
      </w:r>
      <w:r w:rsidRPr="00625D1F">
        <w:rPr>
          <w:rFonts w:ascii="Arial" w:hAnsi="Arial" w:cs="Arial"/>
          <w:sz w:val="24"/>
          <w:szCs w:val="24"/>
        </w:rPr>
        <w:t>final PBA rate rider. OEB staff has no concerns with Festival Hydro’s request dispose of the proposed final PBA rate rider effective January 1, 2017 to December 31, 2017.</w:t>
      </w:r>
    </w:p>
    <w:p w:rsidR="005A4FD5" w:rsidRPr="00BB1F93" w:rsidRDefault="005A4FD5" w:rsidP="00760CA3">
      <w:pPr>
        <w:autoSpaceDE w:val="0"/>
        <w:autoSpaceDN w:val="0"/>
        <w:adjustRightInd w:val="0"/>
        <w:spacing w:after="0" w:line="240" w:lineRule="auto"/>
        <w:rPr>
          <w:rFonts w:ascii="Arial" w:eastAsia="Times New Roman" w:hAnsi="Arial" w:cs="Arial"/>
          <w:sz w:val="24"/>
          <w:szCs w:val="24"/>
        </w:rPr>
      </w:pPr>
    </w:p>
    <w:p w:rsidR="00625D1F" w:rsidRDefault="00625D1F" w:rsidP="00760CA3">
      <w:pPr>
        <w:autoSpaceDE w:val="0"/>
        <w:autoSpaceDN w:val="0"/>
        <w:adjustRightInd w:val="0"/>
        <w:spacing w:after="0" w:line="240" w:lineRule="auto"/>
        <w:rPr>
          <w:rFonts w:ascii="Arial" w:eastAsia="Times New Roman" w:hAnsi="Arial" w:cs="Arial"/>
          <w:sz w:val="24"/>
          <w:szCs w:val="24"/>
          <w:u w:val="single"/>
        </w:rPr>
      </w:pPr>
    </w:p>
    <w:p w:rsidR="00625D1F" w:rsidRDefault="00625D1F" w:rsidP="00760CA3">
      <w:pPr>
        <w:autoSpaceDE w:val="0"/>
        <w:autoSpaceDN w:val="0"/>
        <w:adjustRightInd w:val="0"/>
        <w:spacing w:after="0" w:line="240" w:lineRule="auto"/>
        <w:rPr>
          <w:rFonts w:ascii="Arial" w:eastAsia="Times New Roman" w:hAnsi="Arial" w:cs="Arial"/>
          <w:sz w:val="24"/>
          <w:szCs w:val="24"/>
          <w:u w:val="single"/>
        </w:rPr>
      </w:pPr>
    </w:p>
    <w:p w:rsidR="00625D1F" w:rsidRDefault="00625D1F" w:rsidP="00760CA3">
      <w:pPr>
        <w:autoSpaceDE w:val="0"/>
        <w:autoSpaceDN w:val="0"/>
        <w:adjustRightInd w:val="0"/>
        <w:spacing w:after="0" w:line="240" w:lineRule="auto"/>
        <w:rPr>
          <w:rFonts w:ascii="Arial" w:eastAsia="Times New Roman" w:hAnsi="Arial" w:cs="Arial"/>
          <w:sz w:val="24"/>
          <w:szCs w:val="24"/>
          <w:u w:val="single"/>
        </w:rPr>
      </w:pPr>
    </w:p>
    <w:p w:rsidR="00625D1F" w:rsidRDefault="00625D1F" w:rsidP="00760CA3">
      <w:pPr>
        <w:autoSpaceDE w:val="0"/>
        <w:autoSpaceDN w:val="0"/>
        <w:adjustRightInd w:val="0"/>
        <w:spacing w:after="0" w:line="240" w:lineRule="auto"/>
        <w:rPr>
          <w:rFonts w:ascii="Arial" w:eastAsia="Times New Roman" w:hAnsi="Arial" w:cs="Arial"/>
          <w:sz w:val="24"/>
          <w:szCs w:val="24"/>
          <w:u w:val="single"/>
        </w:rPr>
      </w:pPr>
    </w:p>
    <w:p w:rsidR="00625D1F" w:rsidRDefault="00625D1F" w:rsidP="00760CA3">
      <w:pPr>
        <w:autoSpaceDE w:val="0"/>
        <w:autoSpaceDN w:val="0"/>
        <w:adjustRightInd w:val="0"/>
        <w:spacing w:after="0" w:line="240" w:lineRule="auto"/>
        <w:rPr>
          <w:rFonts w:ascii="Arial" w:eastAsia="Times New Roman" w:hAnsi="Arial" w:cs="Arial"/>
          <w:sz w:val="24"/>
          <w:szCs w:val="24"/>
          <w:u w:val="single"/>
        </w:rPr>
      </w:pPr>
    </w:p>
    <w:p w:rsidR="00EB7659" w:rsidRDefault="00EB7659" w:rsidP="00760CA3">
      <w:pPr>
        <w:autoSpaceDE w:val="0"/>
        <w:autoSpaceDN w:val="0"/>
        <w:adjustRightInd w:val="0"/>
        <w:spacing w:after="0" w:line="240" w:lineRule="auto"/>
        <w:rPr>
          <w:rFonts w:ascii="Arial" w:eastAsia="Times New Roman" w:hAnsi="Arial" w:cs="Arial"/>
          <w:b/>
          <w:sz w:val="24"/>
          <w:szCs w:val="24"/>
          <w:u w:val="single"/>
        </w:rPr>
      </w:pPr>
      <w:r>
        <w:rPr>
          <w:rFonts w:ascii="Arial" w:eastAsia="Times New Roman" w:hAnsi="Arial" w:cs="Arial"/>
          <w:b/>
          <w:sz w:val="24"/>
          <w:szCs w:val="24"/>
          <w:u w:val="single"/>
        </w:rPr>
        <w:lastRenderedPageBreak/>
        <w:t>Earning Performance in 2015</w:t>
      </w:r>
    </w:p>
    <w:p w:rsidR="001B7288" w:rsidRDefault="001B7288" w:rsidP="001B7288">
      <w:pPr>
        <w:autoSpaceDE w:val="0"/>
        <w:autoSpaceDN w:val="0"/>
        <w:adjustRightInd w:val="0"/>
        <w:spacing w:after="0" w:line="240" w:lineRule="auto"/>
        <w:rPr>
          <w:rFonts w:ascii="Arial" w:eastAsia="Times New Roman" w:hAnsi="Arial" w:cs="Arial"/>
          <w:b/>
          <w:sz w:val="24"/>
          <w:szCs w:val="24"/>
        </w:rPr>
      </w:pPr>
    </w:p>
    <w:p w:rsidR="00625D1F" w:rsidRPr="002B7A49" w:rsidRDefault="00625D1F" w:rsidP="00625D1F">
      <w:pPr>
        <w:rPr>
          <w:rFonts w:ascii="Arial" w:eastAsia="Times New Roman" w:hAnsi="Arial" w:cs="Arial"/>
          <w:b/>
          <w:sz w:val="24"/>
          <w:szCs w:val="24"/>
        </w:rPr>
      </w:pPr>
      <w:r>
        <w:rPr>
          <w:rFonts w:ascii="Arial" w:eastAsia="Times New Roman" w:hAnsi="Arial" w:cs="Arial"/>
          <w:b/>
          <w:sz w:val="24"/>
          <w:szCs w:val="24"/>
        </w:rPr>
        <w:t>Background</w:t>
      </w:r>
    </w:p>
    <w:p w:rsidR="002B7A49" w:rsidRPr="00625D1F" w:rsidRDefault="00E651F4" w:rsidP="00625D1F">
      <w:pPr>
        <w:rPr>
          <w:rFonts w:ascii="Arial" w:hAnsi="Arial" w:cs="Arial"/>
          <w:sz w:val="24"/>
          <w:szCs w:val="24"/>
        </w:rPr>
      </w:pPr>
      <w:r w:rsidRPr="00625D1F">
        <w:rPr>
          <w:rFonts w:ascii="Arial" w:hAnsi="Arial" w:cs="Arial"/>
          <w:sz w:val="24"/>
          <w:szCs w:val="24"/>
        </w:rPr>
        <w:t xml:space="preserve">Section 3.3.5 of </w:t>
      </w:r>
      <w:r w:rsidR="00F94E5A">
        <w:rPr>
          <w:rFonts w:ascii="Arial" w:hAnsi="Arial" w:cs="Arial"/>
          <w:sz w:val="24"/>
          <w:szCs w:val="24"/>
        </w:rPr>
        <w:t xml:space="preserve">Chapter 3 of </w:t>
      </w:r>
      <w:r w:rsidRPr="00625D1F">
        <w:rPr>
          <w:rFonts w:ascii="Arial" w:hAnsi="Arial" w:cs="Arial"/>
          <w:sz w:val="24"/>
          <w:szCs w:val="24"/>
        </w:rPr>
        <w:t>the Filing Requirements</w:t>
      </w:r>
      <w:r w:rsidR="001B7288" w:rsidRPr="00A34195">
        <w:rPr>
          <w:vertAlign w:val="superscript"/>
        </w:rPr>
        <w:footnoteReference w:id="1"/>
      </w:r>
      <w:r w:rsidRPr="00A34195">
        <w:rPr>
          <w:rFonts w:ascii="Arial" w:hAnsi="Arial" w:cs="Arial"/>
          <w:sz w:val="24"/>
          <w:szCs w:val="24"/>
          <w:vertAlign w:val="superscript"/>
        </w:rPr>
        <w:t xml:space="preserve"> </w:t>
      </w:r>
      <w:r w:rsidR="001B7288" w:rsidRPr="00625D1F">
        <w:rPr>
          <w:rFonts w:ascii="Arial" w:hAnsi="Arial" w:cs="Arial"/>
          <w:sz w:val="24"/>
          <w:szCs w:val="24"/>
        </w:rPr>
        <w:t>states that</w:t>
      </w:r>
      <w:r w:rsidR="00F94E5A">
        <w:rPr>
          <w:rFonts w:ascii="Arial" w:hAnsi="Arial" w:cs="Arial"/>
          <w:sz w:val="24"/>
          <w:szCs w:val="24"/>
        </w:rPr>
        <w:t>,</w:t>
      </w:r>
      <w:r w:rsidR="001B7288" w:rsidRPr="00625D1F">
        <w:rPr>
          <w:rFonts w:ascii="Arial" w:hAnsi="Arial" w:cs="Arial"/>
          <w:sz w:val="24"/>
          <w:szCs w:val="24"/>
        </w:rPr>
        <w:t xml:space="preserve"> for each of the OEB’s three rate-setting options, a regulatory review may be triggered if a distributor’s earnings are outside of a dead band of </w:t>
      </w:r>
      <w:r w:rsidR="00F94E5A">
        <w:rPr>
          <w:rFonts w:ascii="Arial" w:hAnsi="Arial" w:cs="Arial"/>
          <w:sz w:val="24"/>
          <w:szCs w:val="24"/>
        </w:rPr>
        <w:t>±</w:t>
      </w:r>
      <w:r w:rsidR="001B7288" w:rsidRPr="00625D1F">
        <w:rPr>
          <w:rFonts w:ascii="Arial" w:hAnsi="Arial" w:cs="Arial"/>
          <w:sz w:val="24"/>
          <w:szCs w:val="24"/>
        </w:rPr>
        <w:t xml:space="preserve"> 300 basis points from the OEB-approved return on equity. The OEB monitors results filed by distributors as part of their </w:t>
      </w:r>
      <w:r w:rsidR="001B7288" w:rsidRPr="00A34195">
        <w:rPr>
          <w:rFonts w:ascii="Arial" w:hAnsi="Arial" w:cs="Arial"/>
          <w:i/>
          <w:sz w:val="24"/>
          <w:szCs w:val="24"/>
        </w:rPr>
        <w:t>Reporting and Record-keeping Requirements</w:t>
      </w:r>
      <w:r w:rsidR="001B7288" w:rsidRPr="00625D1F">
        <w:rPr>
          <w:rFonts w:ascii="Arial" w:hAnsi="Arial" w:cs="Arial"/>
          <w:sz w:val="24"/>
          <w:szCs w:val="24"/>
        </w:rPr>
        <w:t xml:space="preserve"> (RRR) and determines if a regulatory review is warranted. A distributor whose earnings are in excess of the dead band is expected to refrain from seeking an adjustment to its base rates through a Price Cap IR or Annual IR Index plan. If a distributor</w:t>
      </w:r>
      <w:r w:rsidR="00F94E5A">
        <w:rPr>
          <w:rFonts w:ascii="Arial" w:hAnsi="Arial" w:cs="Arial"/>
          <w:sz w:val="24"/>
          <w:szCs w:val="24"/>
        </w:rPr>
        <w:t>,</w:t>
      </w:r>
      <w:r w:rsidR="001B7288" w:rsidRPr="00625D1F">
        <w:rPr>
          <w:rFonts w:ascii="Arial" w:hAnsi="Arial" w:cs="Arial"/>
          <w:sz w:val="24"/>
          <w:szCs w:val="24"/>
        </w:rPr>
        <w:t xml:space="preserve"> whose earnings are in excess of the dead band</w:t>
      </w:r>
      <w:r w:rsidR="00F94E5A">
        <w:rPr>
          <w:rFonts w:ascii="Arial" w:hAnsi="Arial" w:cs="Arial"/>
          <w:sz w:val="24"/>
          <w:szCs w:val="24"/>
        </w:rPr>
        <w:t>,</w:t>
      </w:r>
      <w:r w:rsidR="001B7288" w:rsidRPr="00625D1F">
        <w:rPr>
          <w:rFonts w:ascii="Arial" w:hAnsi="Arial" w:cs="Arial"/>
          <w:sz w:val="24"/>
          <w:szCs w:val="24"/>
        </w:rPr>
        <w:t xml:space="preserve"> never</w:t>
      </w:r>
      <w:r w:rsidR="002B7A49" w:rsidRPr="00625D1F">
        <w:rPr>
          <w:rFonts w:ascii="Arial" w:hAnsi="Arial" w:cs="Arial"/>
          <w:sz w:val="24"/>
          <w:szCs w:val="24"/>
        </w:rPr>
        <w:t xml:space="preserve">theless applies for an increase to its base rates, the OEB expects </w:t>
      </w:r>
      <w:r w:rsidR="00F94E5A">
        <w:rPr>
          <w:rFonts w:ascii="Arial" w:hAnsi="Arial" w:cs="Arial"/>
          <w:sz w:val="24"/>
          <w:szCs w:val="24"/>
        </w:rPr>
        <w:t>the utility</w:t>
      </w:r>
      <w:r w:rsidR="002B7A49" w:rsidRPr="00625D1F">
        <w:rPr>
          <w:rFonts w:ascii="Arial" w:hAnsi="Arial" w:cs="Arial"/>
          <w:sz w:val="24"/>
          <w:szCs w:val="24"/>
        </w:rPr>
        <w:t xml:space="preserve"> to substantiate its reasons for doing so. </w:t>
      </w:r>
    </w:p>
    <w:p w:rsidR="00CA0711" w:rsidRPr="00625D1F" w:rsidRDefault="00CA0711" w:rsidP="00625D1F">
      <w:pPr>
        <w:rPr>
          <w:rFonts w:ascii="Arial" w:hAnsi="Arial" w:cs="Arial"/>
          <w:sz w:val="24"/>
          <w:szCs w:val="24"/>
        </w:rPr>
      </w:pPr>
      <w:r w:rsidRPr="00625D1F">
        <w:rPr>
          <w:rFonts w:ascii="Arial" w:hAnsi="Arial" w:cs="Arial"/>
          <w:sz w:val="24"/>
          <w:szCs w:val="24"/>
        </w:rPr>
        <w:t>As indicated in Festival Hydro’s 2015 RRR filing 2.1.5.6,</w:t>
      </w:r>
      <w:r w:rsidR="002B7A49" w:rsidRPr="00625D1F">
        <w:rPr>
          <w:rFonts w:ascii="Arial" w:hAnsi="Arial" w:cs="Arial"/>
          <w:sz w:val="24"/>
          <w:szCs w:val="24"/>
        </w:rPr>
        <w:t xml:space="preserve"> Festival Hydro’s 2015 ROE </w:t>
      </w:r>
      <w:r w:rsidRPr="00625D1F">
        <w:rPr>
          <w:rFonts w:ascii="Arial" w:hAnsi="Arial" w:cs="Arial"/>
          <w:sz w:val="24"/>
          <w:szCs w:val="24"/>
        </w:rPr>
        <w:t>reported</w:t>
      </w:r>
      <w:r w:rsidR="006D15EF">
        <w:rPr>
          <w:rFonts w:ascii="Arial" w:hAnsi="Arial" w:cs="Arial"/>
          <w:sz w:val="24"/>
          <w:szCs w:val="24"/>
        </w:rPr>
        <w:t xml:space="preserve"> of</w:t>
      </w:r>
      <w:r w:rsidRPr="00625D1F">
        <w:rPr>
          <w:rFonts w:ascii="Arial" w:hAnsi="Arial" w:cs="Arial"/>
          <w:sz w:val="24"/>
          <w:szCs w:val="24"/>
        </w:rPr>
        <w:t xml:space="preserve"> 14.24%, was in excess of the 300 basis points dead band</w:t>
      </w:r>
      <w:r w:rsidR="00F94E5A">
        <w:rPr>
          <w:rFonts w:ascii="Arial" w:hAnsi="Arial" w:cs="Arial"/>
          <w:sz w:val="24"/>
          <w:szCs w:val="24"/>
        </w:rPr>
        <w:t xml:space="preserve"> by 194 basis points (i.e., 494 basis points over the approved ROE</w:t>
      </w:r>
      <w:r w:rsidR="006D15EF">
        <w:rPr>
          <w:rFonts w:ascii="Arial" w:hAnsi="Arial" w:cs="Arial"/>
          <w:sz w:val="24"/>
          <w:szCs w:val="24"/>
        </w:rPr>
        <w:t xml:space="preserve"> of 9.3%</w:t>
      </w:r>
      <w:r w:rsidR="00F94E5A">
        <w:rPr>
          <w:rFonts w:ascii="Arial" w:hAnsi="Arial" w:cs="Arial"/>
          <w:sz w:val="24"/>
          <w:szCs w:val="24"/>
        </w:rPr>
        <w:t>)</w:t>
      </w:r>
      <w:r w:rsidRPr="00625D1F">
        <w:rPr>
          <w:rFonts w:ascii="Arial" w:hAnsi="Arial" w:cs="Arial"/>
          <w:sz w:val="24"/>
          <w:szCs w:val="24"/>
        </w:rPr>
        <w:t xml:space="preserve">. Therefore, the expectation </w:t>
      </w:r>
      <w:r w:rsidR="00F94E5A">
        <w:rPr>
          <w:rFonts w:ascii="Arial" w:hAnsi="Arial" w:cs="Arial"/>
          <w:sz w:val="24"/>
          <w:szCs w:val="24"/>
        </w:rPr>
        <w:t>was</w:t>
      </w:r>
      <w:r w:rsidRPr="00625D1F">
        <w:rPr>
          <w:rFonts w:ascii="Arial" w:hAnsi="Arial" w:cs="Arial"/>
          <w:sz w:val="24"/>
          <w:szCs w:val="24"/>
        </w:rPr>
        <w:t xml:space="preserve"> that Festival Hydro should substantiate why it </w:t>
      </w:r>
      <w:r w:rsidR="00F94E5A">
        <w:rPr>
          <w:rFonts w:ascii="Arial" w:hAnsi="Arial" w:cs="Arial"/>
          <w:sz w:val="24"/>
          <w:szCs w:val="24"/>
        </w:rPr>
        <w:t>was</w:t>
      </w:r>
      <w:r w:rsidRPr="00625D1F">
        <w:rPr>
          <w:rFonts w:ascii="Arial" w:hAnsi="Arial" w:cs="Arial"/>
          <w:sz w:val="24"/>
          <w:szCs w:val="24"/>
        </w:rPr>
        <w:t xml:space="preserve"> applying for an increase to its base rates. </w:t>
      </w:r>
    </w:p>
    <w:p w:rsidR="0012291B" w:rsidRPr="00625D1F" w:rsidRDefault="00CA0711" w:rsidP="00625D1F">
      <w:pPr>
        <w:rPr>
          <w:rFonts w:ascii="Arial" w:hAnsi="Arial" w:cs="Arial"/>
          <w:sz w:val="24"/>
          <w:szCs w:val="24"/>
        </w:rPr>
      </w:pPr>
      <w:r w:rsidRPr="00625D1F">
        <w:rPr>
          <w:rFonts w:ascii="Arial" w:hAnsi="Arial" w:cs="Arial"/>
          <w:sz w:val="24"/>
          <w:szCs w:val="24"/>
        </w:rPr>
        <w:t xml:space="preserve">In its 2017 IRM application, Festival Hydro notes that the disposition of </w:t>
      </w:r>
      <w:r w:rsidRPr="0069023B">
        <w:rPr>
          <w:rFonts w:ascii="Arial" w:hAnsi="Arial" w:cs="Arial"/>
          <w:sz w:val="24"/>
          <w:szCs w:val="24"/>
        </w:rPr>
        <w:t xml:space="preserve">the </w:t>
      </w:r>
      <w:r w:rsidR="008C7399" w:rsidRPr="0069023B">
        <w:rPr>
          <w:rFonts w:ascii="Arial" w:hAnsi="Arial" w:cs="Arial"/>
          <w:sz w:val="24"/>
          <w:szCs w:val="24"/>
        </w:rPr>
        <w:t>Incremental Capital Module (</w:t>
      </w:r>
      <w:r w:rsidRPr="0069023B">
        <w:rPr>
          <w:rFonts w:ascii="Arial" w:hAnsi="Arial" w:cs="Arial"/>
          <w:sz w:val="24"/>
          <w:szCs w:val="24"/>
        </w:rPr>
        <w:t>ICM</w:t>
      </w:r>
      <w:r w:rsidR="008C7399" w:rsidRPr="0069023B">
        <w:rPr>
          <w:rFonts w:ascii="Arial" w:hAnsi="Arial" w:cs="Arial"/>
          <w:sz w:val="24"/>
          <w:szCs w:val="24"/>
        </w:rPr>
        <w:t>)</w:t>
      </w:r>
      <w:r w:rsidRPr="0069023B">
        <w:rPr>
          <w:rFonts w:ascii="Arial" w:hAnsi="Arial" w:cs="Arial"/>
          <w:sz w:val="24"/>
          <w:szCs w:val="24"/>
        </w:rPr>
        <w:t xml:space="preserve"> r</w:t>
      </w:r>
      <w:r w:rsidRPr="00625D1F">
        <w:rPr>
          <w:rFonts w:ascii="Arial" w:hAnsi="Arial" w:cs="Arial"/>
          <w:sz w:val="24"/>
          <w:szCs w:val="24"/>
        </w:rPr>
        <w:t>ate rider was the major contributor to the overage. If the ICM revenues are removed, Festival Hydro’s ROE for 2015 would be within the 300 basis points dead band. As such, Festival Hydro applie</w:t>
      </w:r>
      <w:r w:rsidR="00FF3A02">
        <w:rPr>
          <w:rFonts w:ascii="Arial" w:hAnsi="Arial" w:cs="Arial"/>
          <w:sz w:val="24"/>
          <w:szCs w:val="24"/>
        </w:rPr>
        <w:t>d</w:t>
      </w:r>
      <w:r w:rsidRPr="00625D1F">
        <w:rPr>
          <w:rFonts w:ascii="Arial" w:hAnsi="Arial" w:cs="Arial"/>
          <w:sz w:val="24"/>
          <w:szCs w:val="24"/>
        </w:rPr>
        <w:t xml:space="preserve"> for the Price Cap adjustment to its base rates.</w:t>
      </w:r>
    </w:p>
    <w:p w:rsidR="00675FAB" w:rsidRPr="00625D1F" w:rsidRDefault="004E639D" w:rsidP="00625D1F">
      <w:pPr>
        <w:rPr>
          <w:rFonts w:ascii="Arial" w:hAnsi="Arial" w:cs="Arial"/>
          <w:sz w:val="24"/>
          <w:szCs w:val="24"/>
        </w:rPr>
      </w:pPr>
      <w:r w:rsidRPr="00625D1F">
        <w:rPr>
          <w:rFonts w:ascii="Arial" w:hAnsi="Arial" w:cs="Arial"/>
          <w:sz w:val="24"/>
          <w:szCs w:val="24"/>
        </w:rPr>
        <w:t xml:space="preserve">In its responses to OEB staff interrogatory #8 and </w:t>
      </w:r>
      <w:r w:rsidR="00E94F75" w:rsidRPr="00625D1F">
        <w:rPr>
          <w:rFonts w:ascii="Arial" w:hAnsi="Arial" w:cs="Arial"/>
          <w:sz w:val="24"/>
          <w:szCs w:val="24"/>
        </w:rPr>
        <w:t>Vulnerable Energy Consumers Coalition (</w:t>
      </w:r>
      <w:r w:rsidRPr="00625D1F">
        <w:rPr>
          <w:rFonts w:ascii="Arial" w:hAnsi="Arial" w:cs="Arial"/>
          <w:sz w:val="24"/>
          <w:szCs w:val="24"/>
        </w:rPr>
        <w:t>VECC</w:t>
      </w:r>
      <w:r w:rsidR="00E94F75" w:rsidRPr="00625D1F">
        <w:rPr>
          <w:rFonts w:ascii="Arial" w:hAnsi="Arial" w:cs="Arial"/>
          <w:sz w:val="24"/>
          <w:szCs w:val="24"/>
        </w:rPr>
        <w:t>)</w:t>
      </w:r>
      <w:r w:rsidRPr="00625D1F">
        <w:rPr>
          <w:rFonts w:ascii="Arial" w:hAnsi="Arial" w:cs="Arial"/>
          <w:sz w:val="24"/>
          <w:szCs w:val="24"/>
        </w:rPr>
        <w:t xml:space="preserve"> interrogator</w:t>
      </w:r>
      <w:r w:rsidR="00FF3A02">
        <w:rPr>
          <w:rFonts w:ascii="Arial" w:hAnsi="Arial" w:cs="Arial"/>
          <w:sz w:val="24"/>
          <w:szCs w:val="24"/>
        </w:rPr>
        <w:t>ies</w:t>
      </w:r>
      <w:r w:rsidRPr="00625D1F">
        <w:rPr>
          <w:rFonts w:ascii="Arial" w:hAnsi="Arial" w:cs="Arial"/>
          <w:sz w:val="24"/>
          <w:szCs w:val="24"/>
        </w:rPr>
        <w:t xml:space="preserve"> #2 and #3, Festival Hydro </w:t>
      </w:r>
      <w:r w:rsidR="00CB5B28" w:rsidRPr="00625D1F">
        <w:rPr>
          <w:rFonts w:ascii="Arial" w:hAnsi="Arial" w:cs="Arial"/>
          <w:sz w:val="24"/>
          <w:szCs w:val="24"/>
        </w:rPr>
        <w:t xml:space="preserve">provided </w:t>
      </w:r>
      <w:r w:rsidR="00EE5883">
        <w:rPr>
          <w:rFonts w:ascii="Arial" w:hAnsi="Arial" w:cs="Arial"/>
          <w:sz w:val="24"/>
          <w:szCs w:val="24"/>
        </w:rPr>
        <w:t>the</w:t>
      </w:r>
      <w:r w:rsidR="00CB5B28" w:rsidRPr="00625D1F">
        <w:rPr>
          <w:rFonts w:ascii="Arial" w:hAnsi="Arial" w:cs="Arial"/>
          <w:sz w:val="24"/>
          <w:szCs w:val="24"/>
        </w:rPr>
        <w:t xml:space="preserve"> 2015 RRR 2.1.5.6 ROE </w:t>
      </w:r>
      <w:r w:rsidR="00EE5883">
        <w:rPr>
          <w:rFonts w:ascii="Arial" w:hAnsi="Arial" w:cs="Arial"/>
          <w:sz w:val="24"/>
          <w:szCs w:val="24"/>
        </w:rPr>
        <w:t xml:space="preserve">that was </w:t>
      </w:r>
      <w:r w:rsidR="00CB5B28" w:rsidRPr="00625D1F">
        <w:rPr>
          <w:rFonts w:ascii="Arial" w:hAnsi="Arial" w:cs="Arial"/>
          <w:sz w:val="24"/>
          <w:szCs w:val="24"/>
        </w:rPr>
        <w:t>fil</w:t>
      </w:r>
      <w:r w:rsidR="006D15EF">
        <w:rPr>
          <w:rFonts w:ascii="Arial" w:hAnsi="Arial" w:cs="Arial"/>
          <w:sz w:val="24"/>
          <w:szCs w:val="24"/>
        </w:rPr>
        <w:t>ed</w:t>
      </w:r>
      <w:r w:rsidR="00CB5B28" w:rsidRPr="00625D1F">
        <w:rPr>
          <w:rFonts w:ascii="Arial" w:hAnsi="Arial" w:cs="Arial"/>
          <w:sz w:val="24"/>
          <w:szCs w:val="24"/>
        </w:rPr>
        <w:t xml:space="preserve"> </w:t>
      </w:r>
      <w:r w:rsidR="00EA1BA1">
        <w:rPr>
          <w:rFonts w:ascii="Arial" w:hAnsi="Arial" w:cs="Arial"/>
          <w:sz w:val="24"/>
          <w:szCs w:val="24"/>
        </w:rPr>
        <w:t xml:space="preserve">with the </w:t>
      </w:r>
      <w:r w:rsidR="00A6474C">
        <w:rPr>
          <w:rFonts w:ascii="Arial" w:hAnsi="Arial" w:cs="Arial"/>
          <w:sz w:val="24"/>
          <w:szCs w:val="24"/>
        </w:rPr>
        <w:t xml:space="preserve">OEB </w:t>
      </w:r>
      <w:r w:rsidR="00EA1BA1">
        <w:rPr>
          <w:rFonts w:ascii="Arial" w:hAnsi="Arial" w:cs="Arial"/>
          <w:sz w:val="24"/>
          <w:szCs w:val="24"/>
        </w:rPr>
        <w:t xml:space="preserve">on June 24, 2016, </w:t>
      </w:r>
      <w:r w:rsidR="00CB5B28" w:rsidRPr="00625D1F">
        <w:rPr>
          <w:rFonts w:ascii="Arial" w:hAnsi="Arial" w:cs="Arial"/>
          <w:sz w:val="24"/>
          <w:szCs w:val="24"/>
        </w:rPr>
        <w:t xml:space="preserve">and </w:t>
      </w:r>
      <w:r w:rsidR="002C4968">
        <w:rPr>
          <w:rFonts w:ascii="Arial" w:hAnsi="Arial" w:cs="Arial"/>
          <w:sz w:val="24"/>
          <w:szCs w:val="24"/>
        </w:rPr>
        <w:t xml:space="preserve">recalculated the regulatory ROE using the </w:t>
      </w:r>
      <w:r w:rsidR="003A5FC2" w:rsidRPr="00625D1F">
        <w:rPr>
          <w:rFonts w:ascii="Arial" w:hAnsi="Arial" w:cs="Arial"/>
          <w:sz w:val="24"/>
          <w:szCs w:val="24"/>
        </w:rPr>
        <w:t xml:space="preserve">RRR 2.1.5.6 ROE Excel </w:t>
      </w:r>
      <w:r w:rsidR="002C4968">
        <w:rPr>
          <w:rFonts w:ascii="Arial" w:hAnsi="Arial" w:cs="Arial"/>
          <w:sz w:val="24"/>
          <w:szCs w:val="24"/>
        </w:rPr>
        <w:t>template</w:t>
      </w:r>
      <w:r w:rsidR="003A5FC2" w:rsidRPr="00625D1F">
        <w:rPr>
          <w:rFonts w:ascii="Arial" w:hAnsi="Arial" w:cs="Arial"/>
          <w:sz w:val="24"/>
          <w:szCs w:val="24"/>
        </w:rPr>
        <w:t xml:space="preserve">. In </w:t>
      </w:r>
      <w:r w:rsidR="0092010A">
        <w:rPr>
          <w:rFonts w:ascii="Arial" w:hAnsi="Arial" w:cs="Arial"/>
          <w:sz w:val="24"/>
          <w:szCs w:val="24"/>
        </w:rPr>
        <w:t>the interrogatory responses</w:t>
      </w:r>
      <w:r w:rsidR="002C4968">
        <w:rPr>
          <w:rFonts w:ascii="Arial" w:hAnsi="Arial" w:cs="Arial"/>
          <w:sz w:val="24"/>
          <w:szCs w:val="24"/>
        </w:rPr>
        <w:t>,</w:t>
      </w:r>
      <w:r w:rsidR="0092010A">
        <w:rPr>
          <w:rFonts w:ascii="Arial" w:hAnsi="Arial" w:cs="Arial"/>
          <w:sz w:val="24"/>
          <w:szCs w:val="24"/>
        </w:rPr>
        <w:t xml:space="preserve"> </w:t>
      </w:r>
      <w:r w:rsidR="003A5FC2" w:rsidRPr="00625D1F">
        <w:rPr>
          <w:rFonts w:ascii="Arial" w:hAnsi="Arial" w:cs="Arial"/>
          <w:sz w:val="24"/>
          <w:szCs w:val="24"/>
        </w:rPr>
        <w:t>Festival Hydro note</w:t>
      </w:r>
      <w:r w:rsidR="0092010A">
        <w:rPr>
          <w:rFonts w:ascii="Arial" w:hAnsi="Arial" w:cs="Arial"/>
          <w:sz w:val="24"/>
          <w:szCs w:val="24"/>
        </w:rPr>
        <w:t>d</w:t>
      </w:r>
      <w:r w:rsidR="003A5FC2" w:rsidRPr="00625D1F">
        <w:rPr>
          <w:rFonts w:ascii="Arial" w:hAnsi="Arial" w:cs="Arial"/>
          <w:sz w:val="24"/>
          <w:szCs w:val="24"/>
        </w:rPr>
        <w:t xml:space="preserve"> that the ROE </w:t>
      </w:r>
      <w:r w:rsidR="003309B0">
        <w:rPr>
          <w:rFonts w:ascii="Arial" w:hAnsi="Arial" w:cs="Arial"/>
          <w:sz w:val="24"/>
          <w:szCs w:val="24"/>
        </w:rPr>
        <w:t xml:space="preserve">over earnings </w:t>
      </w:r>
      <w:r w:rsidR="003A5FC2" w:rsidRPr="00625D1F">
        <w:rPr>
          <w:rFonts w:ascii="Arial" w:hAnsi="Arial" w:cs="Arial"/>
          <w:sz w:val="24"/>
          <w:szCs w:val="24"/>
        </w:rPr>
        <w:t>is directly a result of the disposition of the ICM variance account and additional ICM rate rider recovery for the seven month period June 1 to December 31, 2015. Both of these items were approved in Festival Hydro’s 2015 COS proceeding</w:t>
      </w:r>
      <w:r w:rsidR="00A6474C">
        <w:rPr>
          <w:rFonts w:ascii="Arial" w:hAnsi="Arial" w:cs="Arial"/>
          <w:sz w:val="24"/>
          <w:szCs w:val="24"/>
        </w:rPr>
        <w:t xml:space="preserve">, </w:t>
      </w:r>
      <w:r w:rsidR="003A5FC2" w:rsidRPr="00625D1F">
        <w:rPr>
          <w:rFonts w:ascii="Arial" w:hAnsi="Arial" w:cs="Arial"/>
          <w:sz w:val="24"/>
          <w:szCs w:val="24"/>
        </w:rPr>
        <w:t xml:space="preserve">EB-2014-0073. </w:t>
      </w:r>
    </w:p>
    <w:p w:rsidR="00675FAB" w:rsidRPr="00625D1F" w:rsidRDefault="003A5FC2" w:rsidP="00625D1F">
      <w:pPr>
        <w:rPr>
          <w:rFonts w:ascii="Arial" w:hAnsi="Arial" w:cs="Arial"/>
          <w:sz w:val="24"/>
          <w:szCs w:val="24"/>
        </w:rPr>
      </w:pPr>
      <w:r w:rsidRPr="00625D1F">
        <w:rPr>
          <w:rFonts w:ascii="Arial" w:hAnsi="Arial" w:cs="Arial"/>
          <w:sz w:val="24"/>
          <w:szCs w:val="24"/>
        </w:rPr>
        <w:t>Festival Hydro explains that</w:t>
      </w:r>
      <w:r w:rsidR="00675FAB" w:rsidRPr="00625D1F">
        <w:rPr>
          <w:rFonts w:ascii="Arial" w:hAnsi="Arial" w:cs="Arial"/>
          <w:sz w:val="24"/>
          <w:szCs w:val="24"/>
        </w:rPr>
        <w:t>, as not</w:t>
      </w:r>
      <w:r w:rsidRPr="00625D1F">
        <w:rPr>
          <w:rFonts w:ascii="Arial" w:hAnsi="Arial" w:cs="Arial"/>
          <w:sz w:val="24"/>
          <w:szCs w:val="24"/>
        </w:rPr>
        <w:t xml:space="preserve">ed in its 2015 RRR 2.1.5.6, </w:t>
      </w:r>
      <w:r w:rsidR="00C17451">
        <w:rPr>
          <w:rFonts w:ascii="Arial" w:hAnsi="Arial" w:cs="Arial"/>
          <w:sz w:val="24"/>
          <w:szCs w:val="24"/>
        </w:rPr>
        <w:t>the</w:t>
      </w:r>
      <w:r w:rsidR="00C17451" w:rsidRPr="00625D1F">
        <w:rPr>
          <w:rFonts w:ascii="Arial" w:hAnsi="Arial" w:cs="Arial"/>
          <w:sz w:val="24"/>
          <w:szCs w:val="24"/>
        </w:rPr>
        <w:t xml:space="preserve"> </w:t>
      </w:r>
      <w:r w:rsidRPr="00625D1F">
        <w:rPr>
          <w:rFonts w:ascii="Arial" w:hAnsi="Arial" w:cs="Arial"/>
          <w:sz w:val="24"/>
          <w:szCs w:val="24"/>
        </w:rPr>
        <w:t xml:space="preserve">overage </w:t>
      </w:r>
      <w:r w:rsidR="00C17451">
        <w:rPr>
          <w:rFonts w:ascii="Arial" w:hAnsi="Arial" w:cs="Arial"/>
          <w:sz w:val="24"/>
          <w:szCs w:val="24"/>
        </w:rPr>
        <w:t xml:space="preserve">is </w:t>
      </w:r>
      <w:r w:rsidRPr="00625D1F">
        <w:rPr>
          <w:rFonts w:ascii="Arial" w:hAnsi="Arial" w:cs="Arial"/>
          <w:sz w:val="24"/>
          <w:szCs w:val="24"/>
        </w:rPr>
        <w:t>due to $1,389,599 in distribution revenue collected from May 1, 2013 to April 30, 2015 approved by the OEB</w:t>
      </w:r>
      <w:r w:rsidR="00675FAB" w:rsidRPr="00625D1F">
        <w:rPr>
          <w:rFonts w:ascii="Arial" w:hAnsi="Arial" w:cs="Arial"/>
          <w:sz w:val="24"/>
          <w:szCs w:val="24"/>
        </w:rPr>
        <w:t xml:space="preserve"> for disposition from the ICM variance account</w:t>
      </w:r>
      <w:r w:rsidR="00F87937">
        <w:rPr>
          <w:rFonts w:ascii="Arial" w:hAnsi="Arial" w:cs="Arial"/>
          <w:sz w:val="24"/>
          <w:szCs w:val="24"/>
        </w:rPr>
        <w:t>.</w:t>
      </w:r>
      <w:r w:rsidR="00675FAB" w:rsidRPr="00625D1F">
        <w:rPr>
          <w:rFonts w:ascii="Arial" w:hAnsi="Arial" w:cs="Arial"/>
          <w:sz w:val="24"/>
          <w:szCs w:val="24"/>
        </w:rPr>
        <w:t xml:space="preserve"> In addition, </w:t>
      </w:r>
      <w:r w:rsidR="00675FAB" w:rsidRPr="00625D1F">
        <w:rPr>
          <w:rFonts w:ascii="Arial" w:hAnsi="Arial" w:cs="Arial"/>
          <w:sz w:val="24"/>
          <w:szCs w:val="24"/>
        </w:rPr>
        <w:lastRenderedPageBreak/>
        <w:t>$529,558 in distribution revenues related to the new OEB approved ICM rate rider collected from June 1, 2015 to December 31, 2015. These revenues were offset by the ICM carrying charges and ICM depreciation expenses for a net overstatement of distribution income due to the ICM variance account of $1,299,999.</w:t>
      </w:r>
    </w:p>
    <w:p w:rsidR="00B81E5B" w:rsidRPr="00625D1F" w:rsidRDefault="002C4968" w:rsidP="00625D1F">
      <w:pPr>
        <w:rPr>
          <w:rFonts w:ascii="Arial" w:hAnsi="Arial" w:cs="Arial"/>
          <w:sz w:val="24"/>
          <w:szCs w:val="24"/>
        </w:rPr>
      </w:pPr>
      <w:r>
        <w:rPr>
          <w:rFonts w:ascii="Arial" w:hAnsi="Arial" w:cs="Arial"/>
          <w:sz w:val="24"/>
          <w:szCs w:val="24"/>
        </w:rPr>
        <w:t xml:space="preserve">Festival Hydro </w:t>
      </w:r>
      <w:r w:rsidR="00EE5883">
        <w:rPr>
          <w:rFonts w:ascii="Arial" w:hAnsi="Arial" w:cs="Arial"/>
          <w:sz w:val="24"/>
          <w:szCs w:val="24"/>
        </w:rPr>
        <w:t xml:space="preserve">indicated that it </w:t>
      </w:r>
      <w:r>
        <w:rPr>
          <w:rFonts w:ascii="Arial" w:hAnsi="Arial" w:cs="Arial"/>
          <w:sz w:val="24"/>
          <w:szCs w:val="24"/>
        </w:rPr>
        <w:t>recalculated the 2015 Regulatory ROE by removing the impact of the regulatory accounting implications for the ICM disposition us</w:t>
      </w:r>
      <w:r w:rsidR="00274EEA">
        <w:rPr>
          <w:rFonts w:ascii="Arial" w:hAnsi="Arial" w:cs="Arial"/>
          <w:sz w:val="24"/>
          <w:szCs w:val="24"/>
        </w:rPr>
        <w:t>ing</w:t>
      </w:r>
      <w:r w:rsidR="00675FAB" w:rsidRPr="00625D1F">
        <w:rPr>
          <w:rFonts w:ascii="Arial" w:hAnsi="Arial" w:cs="Arial"/>
          <w:sz w:val="24"/>
          <w:szCs w:val="24"/>
        </w:rPr>
        <w:t xml:space="preserve"> the RRR 2.1.5.6 ROE Excel Template</w:t>
      </w:r>
      <w:r w:rsidR="00274EEA">
        <w:rPr>
          <w:rFonts w:ascii="Arial" w:hAnsi="Arial" w:cs="Arial"/>
          <w:sz w:val="24"/>
          <w:szCs w:val="24"/>
        </w:rPr>
        <w:t>.</w:t>
      </w:r>
      <w:r w:rsidR="00675FAB" w:rsidRPr="00625D1F">
        <w:rPr>
          <w:rFonts w:ascii="Arial" w:hAnsi="Arial" w:cs="Arial"/>
          <w:sz w:val="24"/>
          <w:szCs w:val="24"/>
        </w:rPr>
        <w:t xml:space="preserve"> </w:t>
      </w:r>
      <w:r w:rsidR="00274EEA">
        <w:rPr>
          <w:rFonts w:ascii="Arial" w:hAnsi="Arial" w:cs="Arial"/>
          <w:sz w:val="24"/>
          <w:szCs w:val="24"/>
        </w:rPr>
        <w:t xml:space="preserve">Once Festival removed the ICM related </w:t>
      </w:r>
      <w:r w:rsidR="00EE5883">
        <w:rPr>
          <w:rFonts w:ascii="Arial" w:hAnsi="Arial" w:cs="Arial"/>
          <w:sz w:val="24"/>
          <w:szCs w:val="24"/>
        </w:rPr>
        <w:t xml:space="preserve">amount of </w:t>
      </w:r>
      <w:r w:rsidR="00B81E5B" w:rsidRPr="00625D1F">
        <w:rPr>
          <w:rFonts w:ascii="Arial" w:hAnsi="Arial" w:cs="Arial"/>
          <w:sz w:val="24"/>
          <w:szCs w:val="24"/>
        </w:rPr>
        <w:t xml:space="preserve">$1,299,999, the resulting ROE </w:t>
      </w:r>
      <w:r w:rsidR="00274EEA">
        <w:rPr>
          <w:rFonts w:ascii="Arial" w:hAnsi="Arial" w:cs="Arial"/>
          <w:sz w:val="24"/>
          <w:szCs w:val="24"/>
        </w:rPr>
        <w:t xml:space="preserve">was reduced to </w:t>
      </w:r>
      <w:r w:rsidR="00B81E5B" w:rsidRPr="00625D1F">
        <w:rPr>
          <w:rFonts w:ascii="Arial" w:hAnsi="Arial" w:cs="Arial"/>
          <w:sz w:val="24"/>
          <w:szCs w:val="24"/>
        </w:rPr>
        <w:t xml:space="preserve">10.41%, which </w:t>
      </w:r>
      <w:r w:rsidR="00274EEA">
        <w:rPr>
          <w:rFonts w:ascii="Arial" w:hAnsi="Arial" w:cs="Arial"/>
          <w:sz w:val="24"/>
          <w:szCs w:val="24"/>
        </w:rPr>
        <w:t xml:space="preserve">was below the </w:t>
      </w:r>
      <w:r w:rsidR="00B81E5B" w:rsidRPr="00625D1F">
        <w:rPr>
          <w:rFonts w:ascii="Arial" w:hAnsi="Arial" w:cs="Arial"/>
          <w:sz w:val="24"/>
          <w:szCs w:val="24"/>
        </w:rPr>
        <w:t>300 basis points dead band (comparing to the 9.30% deemed ROE f</w:t>
      </w:r>
      <w:r w:rsidR="00897F6C">
        <w:rPr>
          <w:rFonts w:ascii="Arial" w:hAnsi="Arial" w:cs="Arial"/>
          <w:sz w:val="24"/>
          <w:szCs w:val="24"/>
        </w:rPr>
        <w:t>r</w:t>
      </w:r>
      <w:r w:rsidR="00B81E5B" w:rsidRPr="00625D1F">
        <w:rPr>
          <w:rFonts w:ascii="Arial" w:hAnsi="Arial" w:cs="Arial"/>
          <w:sz w:val="24"/>
          <w:szCs w:val="24"/>
        </w:rPr>
        <w:t xml:space="preserve">om the last COS </w:t>
      </w:r>
      <w:r w:rsidR="00A6474C">
        <w:rPr>
          <w:rFonts w:ascii="Arial" w:hAnsi="Arial" w:cs="Arial"/>
          <w:sz w:val="24"/>
          <w:szCs w:val="24"/>
        </w:rPr>
        <w:t>d</w:t>
      </w:r>
      <w:r w:rsidR="00B81E5B" w:rsidRPr="00625D1F">
        <w:rPr>
          <w:rFonts w:ascii="Arial" w:hAnsi="Arial" w:cs="Arial"/>
          <w:sz w:val="24"/>
          <w:szCs w:val="24"/>
        </w:rPr>
        <w:t xml:space="preserve">ecision). </w:t>
      </w:r>
    </w:p>
    <w:p w:rsidR="0012291B" w:rsidRPr="00625D1F" w:rsidRDefault="003B6C1A" w:rsidP="00625D1F">
      <w:pPr>
        <w:rPr>
          <w:rFonts w:ascii="Arial" w:hAnsi="Arial" w:cs="Arial"/>
          <w:sz w:val="24"/>
          <w:szCs w:val="24"/>
        </w:rPr>
      </w:pPr>
      <w:r w:rsidRPr="00625D1F">
        <w:rPr>
          <w:rFonts w:ascii="Arial" w:hAnsi="Arial" w:cs="Arial"/>
          <w:sz w:val="24"/>
          <w:szCs w:val="24"/>
        </w:rPr>
        <w:t>Festival Hydro confirmed</w:t>
      </w:r>
      <w:r w:rsidR="00B81E5B" w:rsidRPr="00625D1F">
        <w:rPr>
          <w:rFonts w:ascii="Arial" w:hAnsi="Arial" w:cs="Arial"/>
          <w:sz w:val="24"/>
          <w:szCs w:val="24"/>
        </w:rPr>
        <w:t xml:space="preserve"> in </w:t>
      </w:r>
      <w:r w:rsidRPr="00625D1F">
        <w:rPr>
          <w:rFonts w:ascii="Arial" w:hAnsi="Arial" w:cs="Arial"/>
          <w:sz w:val="24"/>
          <w:szCs w:val="24"/>
        </w:rPr>
        <w:t>its responses to the interrogatories that the drivers to its 2015 overearnings are not expec</w:t>
      </w:r>
      <w:r w:rsidR="0069023B">
        <w:rPr>
          <w:rFonts w:ascii="Arial" w:hAnsi="Arial" w:cs="Arial"/>
          <w:sz w:val="24"/>
          <w:szCs w:val="24"/>
        </w:rPr>
        <w:t>ted to continue in 2016 or 2017</w:t>
      </w:r>
      <w:r w:rsidR="0069023B">
        <w:rPr>
          <w:rFonts w:ascii="Arial" w:eastAsia="Times New Roman" w:hAnsi="Arial" w:cs="Arial"/>
          <w:sz w:val="24"/>
          <w:szCs w:val="24"/>
          <w:lang w:val="en-US"/>
        </w:rPr>
        <w:t xml:space="preserve"> </w:t>
      </w:r>
      <w:r w:rsidRPr="00625D1F">
        <w:rPr>
          <w:rFonts w:ascii="Arial" w:hAnsi="Arial" w:cs="Arial"/>
          <w:sz w:val="24"/>
          <w:szCs w:val="24"/>
        </w:rPr>
        <w:t xml:space="preserve">as the ICM rate riders ended as of December 31, 2015, and as such Festival Hydro does not expect overearnings beyond 2015 </w:t>
      </w:r>
      <w:r w:rsidR="0069023B">
        <w:rPr>
          <w:rFonts w:ascii="Arial" w:eastAsia="Times New Roman" w:hAnsi="Arial" w:cs="Arial"/>
          <w:sz w:val="24"/>
          <w:szCs w:val="24"/>
          <w:lang w:val="en-US"/>
        </w:rPr>
        <w:t xml:space="preserve">(as per the 2016 pro-forma ROE provided by Festival Hydro) </w:t>
      </w:r>
      <w:r w:rsidRPr="00625D1F">
        <w:rPr>
          <w:rFonts w:ascii="Arial" w:hAnsi="Arial" w:cs="Arial"/>
          <w:sz w:val="24"/>
          <w:szCs w:val="24"/>
        </w:rPr>
        <w:t>and feels it’s reasonable to request base rates adjustment in its 2017 IRM proceeding.</w:t>
      </w:r>
      <w:r w:rsidR="0069023B" w:rsidRPr="0069023B">
        <w:rPr>
          <w:rFonts w:ascii="Arial" w:eastAsia="Times New Roman" w:hAnsi="Arial" w:cs="Arial"/>
          <w:sz w:val="24"/>
          <w:szCs w:val="24"/>
          <w:lang w:val="en-US"/>
        </w:rPr>
        <w:t xml:space="preserve"> </w:t>
      </w:r>
    </w:p>
    <w:p w:rsidR="0012291B" w:rsidRPr="0012291B" w:rsidRDefault="0012291B" w:rsidP="00625D1F">
      <w:pPr>
        <w:rPr>
          <w:rFonts w:ascii="Arial" w:eastAsia="Times New Roman" w:hAnsi="Arial" w:cs="Arial"/>
          <w:b/>
          <w:sz w:val="24"/>
          <w:szCs w:val="24"/>
        </w:rPr>
      </w:pPr>
      <w:r w:rsidRPr="0012291B">
        <w:rPr>
          <w:rFonts w:ascii="Arial" w:eastAsia="Times New Roman" w:hAnsi="Arial" w:cs="Arial"/>
          <w:b/>
          <w:sz w:val="24"/>
          <w:szCs w:val="24"/>
        </w:rPr>
        <w:t>Submission</w:t>
      </w:r>
    </w:p>
    <w:p w:rsidR="0069023B" w:rsidRPr="0069023B" w:rsidRDefault="0069023B" w:rsidP="00F87937">
      <w:pPr>
        <w:rPr>
          <w:rFonts w:ascii="Arial" w:eastAsia="Times New Roman" w:hAnsi="Arial" w:cs="Arial"/>
          <w:sz w:val="24"/>
          <w:szCs w:val="24"/>
          <w:lang w:val="en-US"/>
        </w:rPr>
      </w:pPr>
      <w:r w:rsidRPr="00F87937">
        <w:rPr>
          <w:rFonts w:ascii="Arial" w:hAnsi="Arial" w:cs="Arial"/>
          <w:sz w:val="24"/>
          <w:szCs w:val="24"/>
        </w:rPr>
        <w:t>OEB staff is of the view that Festival Hydro’s explanations are not entirely clear but OEB staff believes that it understands Festival Hydro’s approach to normalizing its ROE and accepts it, subject to an adjustment as noted below.</w:t>
      </w:r>
      <w:r w:rsidRPr="0069023B">
        <w:rPr>
          <w:rFonts w:ascii="Arial" w:eastAsia="Times New Roman" w:hAnsi="Arial" w:cs="Arial"/>
          <w:sz w:val="24"/>
          <w:szCs w:val="24"/>
          <w:lang w:val="en-US"/>
        </w:rPr>
        <w:t xml:space="preserve"> </w:t>
      </w:r>
    </w:p>
    <w:p w:rsidR="0069023B" w:rsidRPr="00F87937" w:rsidRDefault="0069023B" w:rsidP="00F87937">
      <w:pPr>
        <w:rPr>
          <w:rFonts w:ascii="Arial" w:hAnsi="Arial" w:cs="Arial"/>
          <w:sz w:val="24"/>
          <w:szCs w:val="24"/>
        </w:rPr>
      </w:pPr>
      <w:r w:rsidRPr="00F87937">
        <w:rPr>
          <w:rFonts w:ascii="Arial" w:hAnsi="Arial" w:cs="Arial"/>
          <w:sz w:val="24"/>
          <w:szCs w:val="24"/>
        </w:rPr>
        <w:t xml:space="preserve">In short, Festival Hydro tracked its ICM revenues in account 1508 (a balance sheet account) along with its approved costs pursuant to the OEB’s accounting directions. But, Festival Hydro did not recognize revenues (less ICM carrying charges and ICM depreciation expense) associated with the approved ICM until 2015. Therefore, Festival Hydro needed to remove the impact of ICM distribution revenue collected (less ICM carrying charges and ICM depreciation expense) for the period from May 1, 2013 to December 31, 2014 from the 2015 ROE calculation. In OEB staff’s view, Festival Hydro may be overstating the amount that it removed from the 2015 ROE calculation and should retain revenues associated with the January 1, 2015 to April 30, 2015 period, plus the amounts collected from the new ICM rate rider for the period from June 1, 2015 to December 31, 2015 related to the disposition for the residual balance in the 1508 variance account (less ICM carrying charges and ICM depreciation expense).  </w:t>
      </w:r>
    </w:p>
    <w:p w:rsidR="0069023B" w:rsidRDefault="0069023B" w:rsidP="00A34195">
      <w:pPr>
        <w:rPr>
          <w:rFonts w:ascii="Arial" w:hAnsi="Arial" w:cs="Arial"/>
          <w:sz w:val="24"/>
          <w:szCs w:val="24"/>
        </w:rPr>
      </w:pPr>
      <w:r w:rsidRPr="00F87937">
        <w:rPr>
          <w:rFonts w:ascii="Arial" w:hAnsi="Arial" w:cs="Arial"/>
          <w:sz w:val="24"/>
          <w:szCs w:val="24"/>
        </w:rPr>
        <w:t>The ICM net revenue effects relating to 2015 should not have been deducted when recalculating the 2015 Regulatory ROE. Festival Hydro may wish to confirm in its reply submission that its regulatory ROE calculation, taking the above adjustment into account, results in a 2015 ROE that is still within the dead band. If so, then OEB staff does not oppose Festival Hydro’s request for a price cap adjustment for 2017.</w:t>
      </w:r>
      <w:bookmarkStart w:id="0" w:name="_GoBack"/>
      <w:bookmarkEnd w:id="0"/>
    </w:p>
    <w:p w:rsidR="00307A3B" w:rsidRPr="00BB1F93" w:rsidRDefault="00307A3B" w:rsidP="00307A3B">
      <w:pPr>
        <w:autoSpaceDE w:val="0"/>
        <w:autoSpaceDN w:val="0"/>
        <w:adjustRightInd w:val="0"/>
        <w:spacing w:after="0" w:line="240" w:lineRule="auto"/>
        <w:rPr>
          <w:rFonts w:ascii="Arial" w:eastAsia="Times New Roman" w:hAnsi="Arial" w:cs="Arial"/>
          <w:b/>
          <w:sz w:val="24"/>
          <w:szCs w:val="24"/>
          <w:u w:val="single"/>
        </w:rPr>
      </w:pPr>
      <w:r w:rsidRPr="00BB1F93">
        <w:rPr>
          <w:rFonts w:ascii="Arial" w:eastAsia="Times New Roman" w:hAnsi="Arial" w:cs="Arial"/>
          <w:b/>
          <w:sz w:val="24"/>
          <w:szCs w:val="24"/>
          <w:u w:val="single"/>
        </w:rPr>
        <w:lastRenderedPageBreak/>
        <w:t>Retail Transmission Service Rates</w:t>
      </w:r>
    </w:p>
    <w:p w:rsidR="00307A3B" w:rsidRPr="00760CA3" w:rsidRDefault="00307A3B" w:rsidP="00307A3B">
      <w:pPr>
        <w:autoSpaceDE w:val="0"/>
        <w:autoSpaceDN w:val="0"/>
        <w:adjustRightInd w:val="0"/>
        <w:spacing w:after="0" w:line="300" w:lineRule="auto"/>
        <w:rPr>
          <w:rFonts w:ascii="Arial" w:eastAsia="Times New Roman" w:hAnsi="Arial" w:cs="Arial"/>
          <w:sz w:val="24"/>
          <w:szCs w:val="24"/>
        </w:rPr>
      </w:pPr>
    </w:p>
    <w:p w:rsidR="00307A3B" w:rsidRPr="00625D1F" w:rsidRDefault="00307A3B" w:rsidP="00307A3B">
      <w:pPr>
        <w:rPr>
          <w:rFonts w:ascii="Arial" w:hAnsi="Arial" w:cs="Arial"/>
          <w:sz w:val="24"/>
          <w:szCs w:val="24"/>
        </w:rPr>
      </w:pPr>
      <w:r w:rsidRPr="00625D1F">
        <w:rPr>
          <w:rFonts w:ascii="Arial" w:hAnsi="Arial" w:cs="Arial"/>
          <w:sz w:val="24"/>
          <w:szCs w:val="24"/>
        </w:rPr>
        <w:t xml:space="preserve">In reviewing tab 10 of Festival Hydro’s 2017 IRM Rate Generator Model, OEB staff noted the demand amount applied for Network Service Rate was higher than the demand amount applied for Line and Transformation Connection Service Rate for GS 50 to 4,999 rate class (non-interval). </w:t>
      </w:r>
      <w:r>
        <w:rPr>
          <w:rFonts w:ascii="Arial" w:hAnsi="Arial" w:cs="Arial"/>
          <w:sz w:val="24"/>
          <w:szCs w:val="24"/>
        </w:rPr>
        <w:t xml:space="preserve">In an interrogatory, </w:t>
      </w:r>
      <w:r w:rsidRPr="00625D1F">
        <w:rPr>
          <w:rFonts w:ascii="Arial" w:hAnsi="Arial" w:cs="Arial"/>
          <w:sz w:val="24"/>
          <w:szCs w:val="24"/>
        </w:rPr>
        <w:t xml:space="preserve">OEB staff asked Festival to explain why the demand </w:t>
      </w:r>
      <w:r>
        <w:rPr>
          <w:rFonts w:ascii="Arial" w:hAnsi="Arial" w:cs="Arial"/>
          <w:sz w:val="24"/>
          <w:szCs w:val="24"/>
        </w:rPr>
        <w:t xml:space="preserve">used </w:t>
      </w:r>
      <w:r w:rsidRPr="00625D1F">
        <w:rPr>
          <w:rFonts w:ascii="Arial" w:hAnsi="Arial" w:cs="Arial"/>
          <w:sz w:val="24"/>
          <w:szCs w:val="24"/>
        </w:rPr>
        <w:t xml:space="preserve">for Network charges was greater than the demand </w:t>
      </w:r>
      <w:r>
        <w:rPr>
          <w:rFonts w:ascii="Arial" w:hAnsi="Arial" w:cs="Arial"/>
          <w:sz w:val="24"/>
          <w:szCs w:val="24"/>
        </w:rPr>
        <w:t xml:space="preserve">used </w:t>
      </w:r>
      <w:r w:rsidRPr="00625D1F">
        <w:rPr>
          <w:rFonts w:ascii="Arial" w:hAnsi="Arial" w:cs="Arial"/>
          <w:sz w:val="24"/>
          <w:szCs w:val="24"/>
        </w:rPr>
        <w:t xml:space="preserve">for Connection charges. </w:t>
      </w:r>
    </w:p>
    <w:p w:rsidR="00307A3B" w:rsidRPr="00625D1F" w:rsidRDefault="00307A3B" w:rsidP="00307A3B">
      <w:pPr>
        <w:rPr>
          <w:rFonts w:ascii="Arial" w:hAnsi="Arial" w:cs="Arial"/>
          <w:sz w:val="24"/>
          <w:szCs w:val="24"/>
        </w:rPr>
      </w:pPr>
    </w:p>
    <w:p w:rsidR="00307A3B" w:rsidRPr="00625D1F" w:rsidRDefault="00307A3B" w:rsidP="00307A3B">
      <w:pPr>
        <w:rPr>
          <w:rFonts w:ascii="Arial" w:hAnsi="Arial" w:cs="Arial"/>
          <w:sz w:val="24"/>
          <w:szCs w:val="24"/>
        </w:rPr>
      </w:pPr>
      <w:r w:rsidRPr="00625D1F">
        <w:rPr>
          <w:rFonts w:ascii="Arial" w:hAnsi="Arial" w:cs="Arial"/>
          <w:noProof/>
          <w:sz w:val="24"/>
          <w:szCs w:val="24"/>
          <w:lang w:eastAsia="en-CA"/>
        </w:rPr>
        <w:drawing>
          <wp:inline distT="0" distB="0" distL="0" distR="0" wp14:anchorId="2F155CA3" wp14:editId="618FA843">
            <wp:extent cx="5943600" cy="16008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1600835"/>
                    </a:xfrm>
                    <a:prstGeom prst="rect">
                      <a:avLst/>
                    </a:prstGeom>
                  </pic:spPr>
                </pic:pic>
              </a:graphicData>
            </a:graphic>
          </wp:inline>
        </w:drawing>
      </w:r>
    </w:p>
    <w:p w:rsidR="00307A3B" w:rsidRPr="00625D1F" w:rsidRDefault="00307A3B" w:rsidP="00307A3B">
      <w:pPr>
        <w:rPr>
          <w:rFonts w:ascii="Arial" w:hAnsi="Arial" w:cs="Arial"/>
          <w:sz w:val="24"/>
          <w:szCs w:val="24"/>
        </w:rPr>
      </w:pPr>
    </w:p>
    <w:p w:rsidR="00307A3B" w:rsidRPr="00625D1F" w:rsidRDefault="00307A3B" w:rsidP="00307A3B">
      <w:pPr>
        <w:rPr>
          <w:rFonts w:ascii="Arial" w:hAnsi="Arial" w:cs="Arial"/>
          <w:sz w:val="24"/>
          <w:szCs w:val="24"/>
        </w:rPr>
      </w:pPr>
      <w:r w:rsidRPr="00625D1F">
        <w:rPr>
          <w:rFonts w:ascii="Arial" w:hAnsi="Arial" w:cs="Arial"/>
          <w:sz w:val="24"/>
          <w:szCs w:val="24"/>
        </w:rPr>
        <w:t>In its response to OEB staff interrogatory # 3, Festival Hydro note</w:t>
      </w:r>
      <w:r>
        <w:rPr>
          <w:rFonts w:ascii="Arial" w:hAnsi="Arial" w:cs="Arial"/>
          <w:sz w:val="24"/>
          <w:szCs w:val="24"/>
        </w:rPr>
        <w:t>d</w:t>
      </w:r>
      <w:r w:rsidRPr="00625D1F">
        <w:rPr>
          <w:rFonts w:ascii="Arial" w:hAnsi="Arial" w:cs="Arial"/>
          <w:sz w:val="24"/>
          <w:szCs w:val="24"/>
        </w:rPr>
        <w:t xml:space="preserve"> that customer Network charges are based on a 7:00 a</w:t>
      </w:r>
      <w:r>
        <w:rPr>
          <w:rFonts w:ascii="Arial" w:hAnsi="Arial" w:cs="Arial"/>
          <w:sz w:val="24"/>
          <w:szCs w:val="24"/>
        </w:rPr>
        <w:t>.</w:t>
      </w:r>
      <w:r w:rsidRPr="00625D1F">
        <w:rPr>
          <w:rFonts w:ascii="Arial" w:hAnsi="Arial" w:cs="Arial"/>
          <w:sz w:val="24"/>
          <w:szCs w:val="24"/>
        </w:rPr>
        <w:t>m</w:t>
      </w:r>
      <w:r>
        <w:rPr>
          <w:rFonts w:ascii="Arial" w:hAnsi="Arial" w:cs="Arial"/>
          <w:sz w:val="24"/>
          <w:szCs w:val="24"/>
        </w:rPr>
        <w:t>.</w:t>
      </w:r>
      <w:r w:rsidRPr="00625D1F">
        <w:rPr>
          <w:rFonts w:ascii="Arial" w:hAnsi="Arial" w:cs="Arial"/>
          <w:sz w:val="24"/>
          <w:szCs w:val="24"/>
        </w:rPr>
        <w:t xml:space="preserve"> to 7:00 p</w:t>
      </w:r>
      <w:r>
        <w:rPr>
          <w:rFonts w:ascii="Arial" w:hAnsi="Arial" w:cs="Arial"/>
          <w:sz w:val="24"/>
          <w:szCs w:val="24"/>
        </w:rPr>
        <w:t>.</w:t>
      </w:r>
      <w:r w:rsidRPr="00625D1F">
        <w:rPr>
          <w:rFonts w:ascii="Arial" w:hAnsi="Arial" w:cs="Arial"/>
          <w:sz w:val="24"/>
          <w:szCs w:val="24"/>
        </w:rPr>
        <w:t>m</w:t>
      </w:r>
      <w:r>
        <w:rPr>
          <w:rFonts w:ascii="Arial" w:hAnsi="Arial" w:cs="Arial"/>
          <w:sz w:val="24"/>
          <w:szCs w:val="24"/>
        </w:rPr>
        <w:t>.</w:t>
      </w:r>
      <w:r w:rsidRPr="00625D1F">
        <w:rPr>
          <w:rFonts w:ascii="Arial" w:hAnsi="Arial" w:cs="Arial"/>
          <w:sz w:val="24"/>
          <w:szCs w:val="24"/>
        </w:rPr>
        <w:t xml:space="preserve"> peak demand; and customer Connection charges are based on a 24-hour peak demand. While these peaks often are coincidental, there are occasions when the transformation connection peak occurs outside of the 7:00 a</w:t>
      </w:r>
      <w:r>
        <w:rPr>
          <w:rFonts w:ascii="Arial" w:hAnsi="Arial" w:cs="Arial"/>
          <w:sz w:val="24"/>
          <w:szCs w:val="24"/>
        </w:rPr>
        <w:t>.</w:t>
      </w:r>
      <w:r w:rsidRPr="00625D1F">
        <w:rPr>
          <w:rFonts w:ascii="Arial" w:hAnsi="Arial" w:cs="Arial"/>
          <w:sz w:val="24"/>
          <w:szCs w:val="24"/>
        </w:rPr>
        <w:t>m</w:t>
      </w:r>
      <w:r>
        <w:rPr>
          <w:rFonts w:ascii="Arial" w:hAnsi="Arial" w:cs="Arial"/>
          <w:sz w:val="24"/>
          <w:szCs w:val="24"/>
        </w:rPr>
        <w:t>.</w:t>
      </w:r>
      <w:r w:rsidRPr="00625D1F">
        <w:rPr>
          <w:rFonts w:ascii="Arial" w:hAnsi="Arial" w:cs="Arial"/>
          <w:sz w:val="24"/>
          <w:szCs w:val="24"/>
        </w:rPr>
        <w:t xml:space="preserve"> to 7:00 p</w:t>
      </w:r>
      <w:r>
        <w:rPr>
          <w:rFonts w:ascii="Arial" w:hAnsi="Arial" w:cs="Arial"/>
          <w:sz w:val="24"/>
          <w:szCs w:val="24"/>
        </w:rPr>
        <w:t>.</w:t>
      </w:r>
      <w:r w:rsidRPr="00625D1F">
        <w:rPr>
          <w:rFonts w:ascii="Arial" w:hAnsi="Arial" w:cs="Arial"/>
          <w:sz w:val="24"/>
          <w:szCs w:val="24"/>
        </w:rPr>
        <w:t>m</w:t>
      </w:r>
      <w:r>
        <w:rPr>
          <w:rFonts w:ascii="Arial" w:hAnsi="Arial" w:cs="Arial"/>
          <w:sz w:val="24"/>
          <w:szCs w:val="24"/>
        </w:rPr>
        <w:t>.</w:t>
      </w:r>
      <w:r w:rsidRPr="00625D1F">
        <w:rPr>
          <w:rFonts w:ascii="Arial" w:hAnsi="Arial" w:cs="Arial"/>
          <w:sz w:val="24"/>
          <w:szCs w:val="24"/>
        </w:rPr>
        <w:t xml:space="preserve"> pe</w:t>
      </w:r>
      <w:r>
        <w:rPr>
          <w:rFonts w:ascii="Arial" w:hAnsi="Arial" w:cs="Arial"/>
          <w:sz w:val="24"/>
          <w:szCs w:val="24"/>
        </w:rPr>
        <w:t>riod</w:t>
      </w:r>
      <w:r w:rsidRPr="00625D1F">
        <w:rPr>
          <w:rFonts w:ascii="Arial" w:hAnsi="Arial" w:cs="Arial"/>
          <w:sz w:val="24"/>
          <w:szCs w:val="24"/>
        </w:rPr>
        <w:t xml:space="preserve">. </w:t>
      </w:r>
    </w:p>
    <w:p w:rsidR="00307A3B" w:rsidRPr="00625D1F" w:rsidRDefault="00307A3B" w:rsidP="00307A3B">
      <w:pPr>
        <w:rPr>
          <w:rFonts w:ascii="Arial" w:hAnsi="Arial" w:cs="Arial"/>
          <w:sz w:val="24"/>
          <w:szCs w:val="24"/>
        </w:rPr>
      </w:pPr>
      <w:r w:rsidRPr="00625D1F">
        <w:rPr>
          <w:rFonts w:ascii="Arial" w:hAnsi="Arial" w:cs="Arial"/>
          <w:sz w:val="24"/>
          <w:szCs w:val="24"/>
        </w:rPr>
        <w:t>OEB staff agrees with the above statement th</w:t>
      </w:r>
      <w:r>
        <w:rPr>
          <w:rFonts w:ascii="Arial" w:hAnsi="Arial" w:cs="Arial"/>
          <w:sz w:val="24"/>
          <w:szCs w:val="24"/>
        </w:rPr>
        <w:t>at</w:t>
      </w:r>
      <w:r w:rsidRPr="00625D1F">
        <w:rPr>
          <w:rFonts w:ascii="Arial" w:hAnsi="Arial" w:cs="Arial"/>
          <w:sz w:val="24"/>
          <w:szCs w:val="24"/>
        </w:rPr>
        <w:t xml:space="preserve"> Festival Hydro provided. However, with a longer time-range for the peak demand, the Connection peak demand can only be equal to or greater than the Network peak demand</w:t>
      </w:r>
      <w:r w:rsidR="00BD2599">
        <w:rPr>
          <w:rFonts w:ascii="Arial" w:hAnsi="Arial" w:cs="Arial"/>
          <w:sz w:val="24"/>
          <w:szCs w:val="24"/>
        </w:rPr>
        <w:t xml:space="preserve">.  </w:t>
      </w:r>
      <w:r w:rsidR="00AE0A42">
        <w:rPr>
          <w:rFonts w:ascii="Arial" w:hAnsi="Arial" w:cs="Arial"/>
          <w:sz w:val="24"/>
          <w:szCs w:val="24"/>
        </w:rPr>
        <w:t xml:space="preserve">OEB staff </w:t>
      </w:r>
      <w:r w:rsidR="00BD2599">
        <w:rPr>
          <w:rFonts w:ascii="Arial" w:hAnsi="Arial" w:cs="Arial"/>
          <w:sz w:val="24"/>
          <w:szCs w:val="24"/>
        </w:rPr>
        <w:t xml:space="preserve">thus </w:t>
      </w:r>
      <w:r w:rsidR="004F179A">
        <w:rPr>
          <w:rFonts w:ascii="Arial" w:hAnsi="Arial" w:cs="Arial"/>
          <w:sz w:val="24"/>
          <w:szCs w:val="24"/>
        </w:rPr>
        <w:t xml:space="preserve">requests </w:t>
      </w:r>
      <w:r w:rsidR="00AE0A42">
        <w:rPr>
          <w:rFonts w:ascii="Arial" w:hAnsi="Arial" w:cs="Arial"/>
          <w:sz w:val="24"/>
          <w:szCs w:val="24"/>
        </w:rPr>
        <w:t xml:space="preserve">that Festival Hydro </w:t>
      </w:r>
      <w:r w:rsidR="00A55C90" w:rsidRPr="0069023B">
        <w:rPr>
          <w:rFonts w:ascii="Arial" w:hAnsi="Arial" w:cs="Arial"/>
          <w:sz w:val="24"/>
          <w:szCs w:val="24"/>
        </w:rPr>
        <w:t>provide the correct Network and Connection peak demand amounts for GS 50 to 4,999 rate class (non-interval)</w:t>
      </w:r>
      <w:r w:rsidR="00AE0A42">
        <w:rPr>
          <w:rFonts w:ascii="Arial" w:hAnsi="Arial" w:cs="Arial"/>
          <w:sz w:val="24"/>
          <w:szCs w:val="24"/>
        </w:rPr>
        <w:t xml:space="preserve"> with its reply submission.</w:t>
      </w:r>
      <w:r w:rsidRPr="00625D1F">
        <w:rPr>
          <w:rFonts w:ascii="Arial" w:hAnsi="Arial" w:cs="Arial"/>
          <w:sz w:val="24"/>
          <w:szCs w:val="24"/>
        </w:rPr>
        <w:t xml:space="preserve"> </w:t>
      </w:r>
    </w:p>
    <w:p w:rsidR="009A1BE6" w:rsidRDefault="00307A3B" w:rsidP="00307A3B">
      <w:pPr>
        <w:autoSpaceDE w:val="0"/>
        <w:autoSpaceDN w:val="0"/>
        <w:adjustRightInd w:val="0"/>
        <w:spacing w:after="0" w:line="300" w:lineRule="auto"/>
        <w:rPr>
          <w:rFonts w:ascii="Arial" w:hAnsi="Arial" w:cs="Arial"/>
          <w:sz w:val="24"/>
          <w:szCs w:val="24"/>
        </w:rPr>
      </w:pPr>
      <w:r w:rsidRPr="00625D1F">
        <w:rPr>
          <w:rFonts w:ascii="Arial" w:hAnsi="Arial" w:cs="Arial"/>
          <w:sz w:val="24"/>
          <w:szCs w:val="24"/>
        </w:rPr>
        <w:t xml:space="preserve">Pursuant to the OEB’s Guideline G-2008-0001, OEB staff notes that OEB staff will update the applicable data at the time of the OEB’s Decision on the </w:t>
      </w:r>
      <w:r w:rsidR="00BD2599">
        <w:rPr>
          <w:rFonts w:ascii="Arial" w:hAnsi="Arial" w:cs="Arial"/>
          <w:sz w:val="24"/>
          <w:szCs w:val="24"/>
        </w:rPr>
        <w:t>a</w:t>
      </w:r>
      <w:r w:rsidRPr="00625D1F">
        <w:rPr>
          <w:rFonts w:ascii="Arial" w:hAnsi="Arial" w:cs="Arial"/>
          <w:sz w:val="24"/>
          <w:szCs w:val="24"/>
        </w:rPr>
        <w:t>pplication based on the Uniform Transmission Rates in place at that time.</w:t>
      </w:r>
    </w:p>
    <w:p w:rsidR="00BD2599" w:rsidRDefault="00BD2599" w:rsidP="00307A3B">
      <w:pPr>
        <w:autoSpaceDE w:val="0"/>
        <w:autoSpaceDN w:val="0"/>
        <w:adjustRightInd w:val="0"/>
        <w:spacing w:after="0" w:line="300" w:lineRule="auto"/>
        <w:rPr>
          <w:rFonts w:ascii="Arial" w:hAnsi="Arial" w:cs="Arial"/>
          <w:sz w:val="24"/>
          <w:szCs w:val="24"/>
          <w:u w:val="single"/>
        </w:rPr>
      </w:pPr>
    </w:p>
    <w:p w:rsidR="00A55C90" w:rsidRDefault="00A55C90" w:rsidP="00307A3B">
      <w:pPr>
        <w:autoSpaceDE w:val="0"/>
        <w:autoSpaceDN w:val="0"/>
        <w:adjustRightInd w:val="0"/>
        <w:spacing w:after="0" w:line="300" w:lineRule="auto"/>
        <w:rPr>
          <w:rFonts w:ascii="Arial" w:hAnsi="Arial" w:cs="Arial"/>
          <w:sz w:val="24"/>
          <w:szCs w:val="24"/>
          <w:u w:val="single"/>
        </w:rPr>
      </w:pPr>
    </w:p>
    <w:p w:rsidR="00840ABE" w:rsidRDefault="00840ABE" w:rsidP="00307A3B">
      <w:pPr>
        <w:autoSpaceDE w:val="0"/>
        <w:autoSpaceDN w:val="0"/>
        <w:adjustRightInd w:val="0"/>
        <w:spacing w:after="0" w:line="300" w:lineRule="auto"/>
        <w:rPr>
          <w:rFonts w:ascii="Arial" w:hAnsi="Arial" w:cs="Arial"/>
          <w:sz w:val="24"/>
          <w:szCs w:val="24"/>
          <w:u w:val="single"/>
        </w:rPr>
      </w:pPr>
    </w:p>
    <w:p w:rsidR="00840ABE" w:rsidRDefault="00840ABE" w:rsidP="00307A3B">
      <w:pPr>
        <w:autoSpaceDE w:val="0"/>
        <w:autoSpaceDN w:val="0"/>
        <w:adjustRightInd w:val="0"/>
        <w:spacing w:after="0" w:line="300" w:lineRule="auto"/>
        <w:rPr>
          <w:rFonts w:ascii="Arial" w:hAnsi="Arial" w:cs="Arial"/>
          <w:sz w:val="24"/>
          <w:szCs w:val="24"/>
          <w:u w:val="single"/>
        </w:rPr>
      </w:pPr>
    </w:p>
    <w:p w:rsidR="00E441BE" w:rsidRPr="00BB1F93" w:rsidRDefault="00E441BE" w:rsidP="00E441BE">
      <w:pPr>
        <w:autoSpaceDE w:val="0"/>
        <w:autoSpaceDN w:val="0"/>
        <w:adjustRightInd w:val="0"/>
        <w:spacing w:after="0" w:line="300" w:lineRule="auto"/>
        <w:rPr>
          <w:rFonts w:ascii="Arial" w:hAnsi="Arial" w:cs="Arial"/>
          <w:b/>
          <w:sz w:val="24"/>
          <w:szCs w:val="24"/>
          <w:u w:val="single"/>
        </w:rPr>
      </w:pPr>
      <w:r w:rsidRPr="00BB1F93">
        <w:rPr>
          <w:rFonts w:ascii="Arial" w:hAnsi="Arial" w:cs="Arial"/>
          <w:b/>
          <w:sz w:val="24"/>
          <w:szCs w:val="24"/>
          <w:u w:val="single"/>
        </w:rPr>
        <w:lastRenderedPageBreak/>
        <w:t>Deferral and Variance Account Disposition</w:t>
      </w:r>
    </w:p>
    <w:p w:rsidR="00C16D61" w:rsidRPr="00A83C68" w:rsidRDefault="00C16D61" w:rsidP="00C16D61">
      <w:pPr>
        <w:widowControl w:val="0"/>
        <w:spacing w:after="0" w:line="300" w:lineRule="auto"/>
        <w:rPr>
          <w:rFonts w:ascii="Arial" w:eastAsia="Times New Roman" w:hAnsi="Arial" w:cs="Times New Roman"/>
          <w:snapToGrid w:val="0"/>
          <w:sz w:val="24"/>
          <w:szCs w:val="20"/>
        </w:rPr>
      </w:pPr>
    </w:p>
    <w:p w:rsidR="00625D1F" w:rsidRDefault="00DC6CE9" w:rsidP="00625D1F">
      <w:pPr>
        <w:rPr>
          <w:rFonts w:ascii="Arial" w:hAnsi="Arial" w:cs="Arial"/>
          <w:sz w:val="24"/>
          <w:szCs w:val="24"/>
        </w:rPr>
      </w:pPr>
      <w:r w:rsidRPr="00625D1F">
        <w:rPr>
          <w:rFonts w:ascii="Arial" w:hAnsi="Arial" w:cs="Arial"/>
          <w:sz w:val="24"/>
          <w:szCs w:val="24"/>
        </w:rPr>
        <w:t>Festival</w:t>
      </w:r>
      <w:r w:rsidR="00803C52" w:rsidRPr="00625D1F">
        <w:rPr>
          <w:rFonts w:ascii="Arial" w:hAnsi="Arial" w:cs="Arial"/>
          <w:sz w:val="24"/>
          <w:szCs w:val="24"/>
        </w:rPr>
        <w:t xml:space="preserve"> Hydro</w:t>
      </w:r>
      <w:r w:rsidR="00FA3312" w:rsidRPr="00625D1F">
        <w:rPr>
          <w:rFonts w:ascii="Arial" w:hAnsi="Arial" w:cs="Arial"/>
          <w:sz w:val="24"/>
          <w:szCs w:val="24"/>
        </w:rPr>
        <w:t xml:space="preserve"> completed the Deferral and Variance Account continui</w:t>
      </w:r>
      <w:r w:rsidR="00803C52" w:rsidRPr="00625D1F">
        <w:rPr>
          <w:rFonts w:ascii="Arial" w:hAnsi="Arial" w:cs="Arial"/>
          <w:sz w:val="24"/>
          <w:szCs w:val="24"/>
        </w:rPr>
        <w:t>ty schedule included in the 2017</w:t>
      </w:r>
      <w:r w:rsidR="00FA3312" w:rsidRPr="00625D1F">
        <w:rPr>
          <w:rFonts w:ascii="Arial" w:hAnsi="Arial" w:cs="Arial"/>
          <w:sz w:val="24"/>
          <w:szCs w:val="24"/>
        </w:rPr>
        <w:t xml:space="preserve"> IRM Rate Generator Model at Tab 3 for its Group 1 Deferral and Variance Accounts</w:t>
      </w:r>
      <w:r w:rsidR="00A55C90">
        <w:rPr>
          <w:rFonts w:ascii="Arial" w:hAnsi="Arial" w:cs="Arial"/>
          <w:sz w:val="24"/>
          <w:szCs w:val="24"/>
        </w:rPr>
        <w:t>.</w:t>
      </w:r>
      <w:r w:rsidR="00BD2599">
        <w:rPr>
          <w:rFonts w:ascii="Arial" w:hAnsi="Arial" w:cs="Arial"/>
          <w:sz w:val="24"/>
          <w:szCs w:val="24"/>
        </w:rPr>
        <w:t xml:space="preserve"> </w:t>
      </w:r>
      <w:r w:rsidRPr="00625D1F">
        <w:rPr>
          <w:rFonts w:ascii="Arial" w:hAnsi="Arial" w:cs="Arial"/>
          <w:sz w:val="24"/>
          <w:szCs w:val="24"/>
        </w:rPr>
        <w:t>Festival</w:t>
      </w:r>
      <w:r w:rsidR="00803C52" w:rsidRPr="00625D1F">
        <w:rPr>
          <w:rFonts w:ascii="Arial" w:hAnsi="Arial" w:cs="Arial"/>
          <w:sz w:val="24"/>
          <w:szCs w:val="24"/>
        </w:rPr>
        <w:t xml:space="preserve"> Hydro’</w:t>
      </w:r>
      <w:r w:rsidR="00FA3312" w:rsidRPr="00625D1F">
        <w:rPr>
          <w:rFonts w:ascii="Arial" w:hAnsi="Arial" w:cs="Arial"/>
          <w:sz w:val="24"/>
          <w:szCs w:val="24"/>
        </w:rPr>
        <w:t>s total Group 1 Deferral and Variance Account balance</w:t>
      </w:r>
      <w:r w:rsidR="00803C52" w:rsidRPr="00625D1F">
        <w:rPr>
          <w:rFonts w:ascii="Arial" w:hAnsi="Arial" w:cs="Arial"/>
          <w:sz w:val="24"/>
          <w:szCs w:val="24"/>
        </w:rPr>
        <w:t>s amount to a credit of $</w:t>
      </w:r>
      <w:r w:rsidRPr="00625D1F">
        <w:rPr>
          <w:rFonts w:ascii="Arial" w:hAnsi="Arial" w:cs="Arial"/>
          <w:sz w:val="24"/>
          <w:szCs w:val="24"/>
        </w:rPr>
        <w:t>848,382</w:t>
      </w:r>
      <w:r w:rsidR="00FA3312" w:rsidRPr="00625D1F">
        <w:rPr>
          <w:rFonts w:ascii="Arial" w:hAnsi="Arial" w:cs="Arial"/>
          <w:sz w:val="24"/>
          <w:szCs w:val="24"/>
        </w:rPr>
        <w:t xml:space="preserve">. </w:t>
      </w:r>
      <w:r w:rsidR="000A62AF" w:rsidRPr="00625D1F">
        <w:rPr>
          <w:rFonts w:ascii="Arial" w:hAnsi="Arial" w:cs="Arial"/>
          <w:sz w:val="24"/>
          <w:szCs w:val="24"/>
        </w:rPr>
        <w:t xml:space="preserve">The balance of Account 1589 – Global Adjustment (GA) is a credit of $292,025 and is applicable only to Non-RPP Class B customers. </w:t>
      </w:r>
      <w:r w:rsidR="00550B29" w:rsidRPr="00550B29">
        <w:rPr>
          <w:rFonts w:ascii="Arial" w:hAnsi="Arial" w:cs="Arial"/>
          <w:sz w:val="24"/>
          <w:szCs w:val="24"/>
        </w:rPr>
        <w:t xml:space="preserve">The remaining deferral and variance accounts excluding </w:t>
      </w:r>
      <w:r w:rsidR="00550B29">
        <w:rPr>
          <w:rFonts w:ascii="Arial" w:hAnsi="Arial" w:cs="Arial"/>
          <w:sz w:val="24"/>
          <w:szCs w:val="24"/>
        </w:rPr>
        <w:t xml:space="preserve">GA </w:t>
      </w:r>
      <w:r w:rsidR="00550B29" w:rsidRPr="00550B29">
        <w:rPr>
          <w:rFonts w:ascii="Arial" w:hAnsi="Arial" w:cs="Arial"/>
          <w:sz w:val="24"/>
          <w:szCs w:val="24"/>
        </w:rPr>
        <w:t xml:space="preserve">amounted to a credit of $556,357. </w:t>
      </w:r>
      <w:r w:rsidR="000A62AF" w:rsidRPr="00625D1F">
        <w:rPr>
          <w:rFonts w:ascii="Arial" w:hAnsi="Arial" w:cs="Arial"/>
          <w:sz w:val="24"/>
          <w:szCs w:val="24"/>
        </w:rPr>
        <w:t xml:space="preserve">These balances also include interest calculated to December 31, 2016. </w:t>
      </w:r>
      <w:r w:rsidR="00FA3312" w:rsidRPr="00625D1F">
        <w:rPr>
          <w:rFonts w:ascii="Arial" w:hAnsi="Arial" w:cs="Arial"/>
          <w:sz w:val="24"/>
          <w:szCs w:val="24"/>
        </w:rPr>
        <w:t>Based on the threshold test calculation, the Group 1 Deferral and Variance Account balanc</w:t>
      </w:r>
      <w:r w:rsidR="00803C52" w:rsidRPr="00625D1F">
        <w:rPr>
          <w:rFonts w:ascii="Arial" w:hAnsi="Arial" w:cs="Arial"/>
          <w:sz w:val="24"/>
          <w:szCs w:val="24"/>
        </w:rPr>
        <w:t>es equate to a credit of $0.00</w:t>
      </w:r>
      <w:r w:rsidR="000A62AF" w:rsidRPr="00625D1F">
        <w:rPr>
          <w:rFonts w:ascii="Arial" w:hAnsi="Arial" w:cs="Arial"/>
          <w:sz w:val="24"/>
          <w:szCs w:val="24"/>
        </w:rPr>
        <w:t>14</w:t>
      </w:r>
      <w:r w:rsidR="00FA3312" w:rsidRPr="00625D1F">
        <w:rPr>
          <w:rFonts w:ascii="Arial" w:hAnsi="Arial" w:cs="Arial"/>
          <w:sz w:val="24"/>
          <w:szCs w:val="24"/>
        </w:rPr>
        <w:t xml:space="preserve"> per kWh which </w:t>
      </w:r>
      <w:r w:rsidR="00803C52" w:rsidRPr="00625D1F">
        <w:rPr>
          <w:rFonts w:ascii="Arial" w:hAnsi="Arial" w:cs="Arial"/>
          <w:sz w:val="24"/>
          <w:szCs w:val="24"/>
        </w:rPr>
        <w:t>exceed</w:t>
      </w:r>
      <w:r w:rsidR="000A62AF" w:rsidRPr="00625D1F">
        <w:rPr>
          <w:rFonts w:ascii="Arial" w:hAnsi="Arial" w:cs="Arial"/>
          <w:sz w:val="24"/>
          <w:szCs w:val="24"/>
        </w:rPr>
        <w:t>s</w:t>
      </w:r>
      <w:r w:rsidR="00FA3312" w:rsidRPr="00625D1F">
        <w:rPr>
          <w:rFonts w:ascii="Arial" w:hAnsi="Arial" w:cs="Arial"/>
          <w:sz w:val="24"/>
          <w:szCs w:val="24"/>
        </w:rPr>
        <w:t xml:space="preserve"> the pre-set disposition thresh</w:t>
      </w:r>
      <w:r w:rsidR="000A62AF" w:rsidRPr="00625D1F">
        <w:rPr>
          <w:rFonts w:ascii="Arial" w:hAnsi="Arial" w:cs="Arial"/>
          <w:sz w:val="24"/>
          <w:szCs w:val="24"/>
        </w:rPr>
        <w:t>old.</w:t>
      </w:r>
      <w:r w:rsidR="00FA3312" w:rsidRPr="00625D1F">
        <w:rPr>
          <w:rFonts w:ascii="Arial" w:hAnsi="Arial" w:cs="Arial"/>
          <w:sz w:val="24"/>
          <w:szCs w:val="24"/>
        </w:rPr>
        <w:t xml:space="preserve"> </w:t>
      </w:r>
      <w:r w:rsidR="000A62AF" w:rsidRPr="00625D1F">
        <w:rPr>
          <w:rFonts w:ascii="Arial" w:hAnsi="Arial" w:cs="Arial"/>
          <w:sz w:val="24"/>
          <w:szCs w:val="24"/>
        </w:rPr>
        <w:t>Festival</w:t>
      </w:r>
      <w:r w:rsidR="00803C52" w:rsidRPr="00625D1F">
        <w:rPr>
          <w:rFonts w:ascii="Arial" w:hAnsi="Arial" w:cs="Arial"/>
          <w:sz w:val="24"/>
          <w:szCs w:val="24"/>
        </w:rPr>
        <w:t xml:space="preserve"> Hydro request</w:t>
      </w:r>
      <w:r w:rsidR="0092372C" w:rsidRPr="00625D1F">
        <w:rPr>
          <w:rFonts w:ascii="Arial" w:hAnsi="Arial" w:cs="Arial"/>
          <w:sz w:val="24"/>
          <w:szCs w:val="24"/>
        </w:rPr>
        <w:t>ed</w:t>
      </w:r>
      <w:r w:rsidR="00FA3312" w:rsidRPr="00625D1F">
        <w:rPr>
          <w:rFonts w:ascii="Arial" w:hAnsi="Arial" w:cs="Arial"/>
          <w:sz w:val="24"/>
          <w:szCs w:val="24"/>
        </w:rPr>
        <w:t xml:space="preserve"> disposition of these a</w:t>
      </w:r>
      <w:r w:rsidR="00803C52" w:rsidRPr="00625D1F">
        <w:rPr>
          <w:rFonts w:ascii="Arial" w:hAnsi="Arial" w:cs="Arial"/>
          <w:sz w:val="24"/>
          <w:szCs w:val="24"/>
        </w:rPr>
        <w:t>ccounts</w:t>
      </w:r>
      <w:r w:rsidR="0092372C" w:rsidRPr="00625D1F">
        <w:rPr>
          <w:rFonts w:ascii="Arial" w:hAnsi="Arial" w:cs="Arial"/>
          <w:sz w:val="24"/>
          <w:szCs w:val="24"/>
        </w:rPr>
        <w:t xml:space="preserve"> over a one-year period</w:t>
      </w:r>
      <w:r w:rsidR="00803C52" w:rsidRPr="00625D1F">
        <w:rPr>
          <w:rFonts w:ascii="Arial" w:hAnsi="Arial" w:cs="Arial"/>
          <w:sz w:val="24"/>
          <w:szCs w:val="24"/>
        </w:rPr>
        <w:t>.</w:t>
      </w:r>
    </w:p>
    <w:p w:rsidR="00472524" w:rsidRPr="00625D1F" w:rsidRDefault="00472524" w:rsidP="00625D1F">
      <w:pPr>
        <w:rPr>
          <w:rFonts w:ascii="Arial" w:hAnsi="Arial" w:cs="Arial"/>
          <w:sz w:val="24"/>
          <w:szCs w:val="24"/>
        </w:rPr>
      </w:pPr>
      <w:r w:rsidRPr="00625D1F">
        <w:rPr>
          <w:rFonts w:ascii="Arial" w:hAnsi="Arial" w:cs="Arial"/>
          <w:sz w:val="24"/>
          <w:szCs w:val="24"/>
        </w:rPr>
        <w:t xml:space="preserve">The GA balances being requested for disposition in this application were incurred for all Group 1 accounts during the year of 2015. During this period, Festival Hydro had four customers transitioned from Class B to Class A as of July 1, 2015 </w:t>
      </w:r>
      <w:r w:rsidR="00DE4124">
        <w:rPr>
          <w:rFonts w:ascii="Arial" w:hAnsi="Arial" w:cs="Arial"/>
          <w:sz w:val="24"/>
          <w:szCs w:val="24"/>
        </w:rPr>
        <w:t>as part of</w:t>
      </w:r>
      <w:r w:rsidR="00DE4124" w:rsidRPr="00625D1F">
        <w:rPr>
          <w:rFonts w:ascii="Arial" w:hAnsi="Arial" w:cs="Arial"/>
          <w:sz w:val="24"/>
          <w:szCs w:val="24"/>
        </w:rPr>
        <w:t xml:space="preserve"> </w:t>
      </w:r>
      <w:r w:rsidRPr="00625D1F">
        <w:rPr>
          <w:rFonts w:ascii="Arial" w:hAnsi="Arial" w:cs="Arial"/>
          <w:sz w:val="24"/>
          <w:szCs w:val="24"/>
        </w:rPr>
        <w:t>the Industrial Conservation Initiative (ICI). Festival Hydro proposes to dispose a total credit balance of $42,417 related to GA to the four newly-eligible Class A (former Class B) customers for their Class B portion of consumption in 2015. Festival Hydro used tab 6a of the IRM Rate Generator Model to allocate the amount to each of the four customers and proposed to dispose of these amounts via 12 equal monthly payments.</w:t>
      </w:r>
    </w:p>
    <w:p w:rsidR="00472524" w:rsidRDefault="00472524" w:rsidP="00625D1F">
      <w:pPr>
        <w:rPr>
          <w:rFonts w:ascii="Arial" w:hAnsi="Arial" w:cs="Arial"/>
          <w:sz w:val="24"/>
          <w:szCs w:val="24"/>
        </w:rPr>
      </w:pPr>
      <w:r>
        <w:rPr>
          <w:rFonts w:ascii="Arial" w:hAnsi="Arial" w:cs="Arial"/>
          <w:sz w:val="24"/>
          <w:szCs w:val="24"/>
        </w:rPr>
        <w:t xml:space="preserve">The </w:t>
      </w:r>
      <w:r w:rsidR="00D96F03">
        <w:rPr>
          <w:rFonts w:ascii="Arial" w:hAnsi="Arial" w:cs="Arial"/>
          <w:sz w:val="24"/>
          <w:szCs w:val="24"/>
        </w:rPr>
        <w:t xml:space="preserve">Group 1 </w:t>
      </w:r>
      <w:r>
        <w:rPr>
          <w:rFonts w:ascii="Arial" w:hAnsi="Arial" w:cs="Arial"/>
          <w:sz w:val="24"/>
          <w:szCs w:val="24"/>
        </w:rPr>
        <w:t xml:space="preserve">balances to be disposed include the recovery of charges for Capacity Based Recovery (CBR) relating to bringing in </w:t>
      </w:r>
      <w:r w:rsidRPr="008046EB">
        <w:rPr>
          <w:rFonts w:ascii="Arial" w:hAnsi="Arial" w:cs="Arial"/>
          <w:sz w:val="24"/>
          <w:szCs w:val="24"/>
        </w:rPr>
        <w:t xml:space="preserve">contracted </w:t>
      </w:r>
      <w:r>
        <w:rPr>
          <w:rFonts w:ascii="Arial" w:hAnsi="Arial" w:cs="Arial"/>
          <w:sz w:val="24"/>
          <w:szCs w:val="24"/>
        </w:rPr>
        <w:t>D</w:t>
      </w:r>
      <w:r w:rsidRPr="008046EB">
        <w:rPr>
          <w:rFonts w:ascii="Arial" w:hAnsi="Arial" w:cs="Arial"/>
          <w:sz w:val="24"/>
          <w:szCs w:val="24"/>
        </w:rPr>
        <w:t xml:space="preserve">emand </w:t>
      </w:r>
      <w:r>
        <w:rPr>
          <w:rFonts w:ascii="Arial" w:hAnsi="Arial" w:cs="Arial"/>
          <w:sz w:val="24"/>
          <w:szCs w:val="24"/>
        </w:rPr>
        <w:t>R</w:t>
      </w:r>
      <w:r w:rsidRPr="008046EB">
        <w:rPr>
          <w:rFonts w:ascii="Arial" w:hAnsi="Arial" w:cs="Arial"/>
          <w:sz w:val="24"/>
          <w:szCs w:val="24"/>
        </w:rPr>
        <w:t>esponse (DR) providers from the Demand Response 3 (DR3) program into the wholesale energy market</w:t>
      </w:r>
      <w:r>
        <w:rPr>
          <w:rFonts w:ascii="Arial" w:hAnsi="Arial" w:cs="Arial"/>
          <w:sz w:val="24"/>
          <w:szCs w:val="24"/>
        </w:rPr>
        <w:t xml:space="preserve">. </w:t>
      </w:r>
      <w:r w:rsidR="00D96F03">
        <w:rPr>
          <w:rFonts w:ascii="Arial" w:hAnsi="Arial" w:cs="Arial"/>
          <w:sz w:val="24"/>
          <w:szCs w:val="24"/>
        </w:rPr>
        <w:t>Festival Hydro</w:t>
      </w:r>
      <w:r>
        <w:rPr>
          <w:rFonts w:ascii="Arial" w:hAnsi="Arial" w:cs="Arial"/>
          <w:sz w:val="24"/>
          <w:szCs w:val="24"/>
        </w:rPr>
        <w:t xml:space="preserve"> paid the IESO CBR charges in 2015 and recorded these to a dedicated sub-account. The disposition of this sub-account is impacted by whether or not a distributor has any Class A customers.</w:t>
      </w:r>
    </w:p>
    <w:p w:rsidR="00A55C90" w:rsidRDefault="00472524" w:rsidP="00625D1F">
      <w:pPr>
        <w:rPr>
          <w:rFonts w:ascii="Arial" w:hAnsi="Arial" w:cs="Arial"/>
          <w:sz w:val="24"/>
          <w:szCs w:val="24"/>
        </w:rPr>
      </w:pPr>
      <w:r>
        <w:rPr>
          <w:rFonts w:ascii="Arial" w:hAnsi="Arial" w:cs="Arial"/>
          <w:sz w:val="24"/>
          <w:szCs w:val="24"/>
        </w:rPr>
        <w:t xml:space="preserve">In this application, </w:t>
      </w:r>
      <w:r w:rsidR="00D96F03">
        <w:rPr>
          <w:rFonts w:ascii="Arial" w:hAnsi="Arial" w:cs="Arial"/>
          <w:sz w:val="24"/>
          <w:szCs w:val="24"/>
        </w:rPr>
        <w:t xml:space="preserve">Festival </w:t>
      </w:r>
      <w:r w:rsidRPr="00836D2B">
        <w:rPr>
          <w:rFonts w:ascii="Arial" w:hAnsi="Arial" w:cs="Arial"/>
          <w:sz w:val="24"/>
          <w:szCs w:val="24"/>
        </w:rPr>
        <w:t>Hydro</w:t>
      </w:r>
      <w:r>
        <w:rPr>
          <w:rFonts w:ascii="Arial" w:hAnsi="Arial" w:cs="Arial"/>
          <w:sz w:val="24"/>
          <w:szCs w:val="24"/>
        </w:rPr>
        <w:t xml:space="preserve"> </w:t>
      </w:r>
      <w:r w:rsidRPr="00091B4C">
        <w:rPr>
          <w:rFonts w:ascii="Arial" w:hAnsi="Arial" w:cs="Arial"/>
          <w:sz w:val="24"/>
          <w:szCs w:val="24"/>
        </w:rPr>
        <w:t>had Class A customers so it requested</w:t>
      </w:r>
      <w:r w:rsidR="00D96F03">
        <w:rPr>
          <w:rFonts w:ascii="Arial" w:hAnsi="Arial" w:cs="Arial"/>
          <w:sz w:val="24"/>
          <w:szCs w:val="24"/>
        </w:rPr>
        <w:t xml:space="preserve"> that the balance of the sub-</w:t>
      </w:r>
      <w:r>
        <w:rPr>
          <w:rFonts w:ascii="Arial" w:hAnsi="Arial" w:cs="Arial"/>
          <w:sz w:val="24"/>
          <w:szCs w:val="24"/>
        </w:rPr>
        <w:t>account</w:t>
      </w:r>
      <w:r w:rsidR="00D96F03">
        <w:rPr>
          <w:rFonts w:ascii="Arial" w:hAnsi="Arial" w:cs="Arial"/>
          <w:sz w:val="24"/>
          <w:szCs w:val="24"/>
        </w:rPr>
        <w:t xml:space="preserve"> CBR Class B</w:t>
      </w:r>
      <w:r>
        <w:rPr>
          <w:rFonts w:ascii="Arial" w:hAnsi="Arial" w:cs="Arial"/>
          <w:sz w:val="24"/>
          <w:szCs w:val="24"/>
        </w:rPr>
        <w:t xml:space="preserve"> be </w:t>
      </w:r>
      <w:r w:rsidRPr="009A5E5E">
        <w:rPr>
          <w:rFonts w:ascii="Arial" w:hAnsi="Arial" w:cs="Arial"/>
          <w:sz w:val="24"/>
          <w:szCs w:val="24"/>
        </w:rPr>
        <w:t>disposed</w:t>
      </w:r>
      <w:r>
        <w:rPr>
          <w:rFonts w:ascii="Arial" w:hAnsi="Arial" w:cs="Arial"/>
          <w:sz w:val="24"/>
          <w:szCs w:val="24"/>
        </w:rPr>
        <w:t xml:space="preserve"> </w:t>
      </w:r>
      <w:r w:rsidRPr="009A5E5E">
        <w:rPr>
          <w:rFonts w:ascii="Arial" w:hAnsi="Arial" w:cs="Arial"/>
          <w:sz w:val="24"/>
          <w:szCs w:val="24"/>
        </w:rPr>
        <w:t>through a separate rate rider in order to ensure proper allocation between Class A and Class B customers</w:t>
      </w:r>
      <w:r>
        <w:rPr>
          <w:rFonts w:ascii="Arial" w:hAnsi="Arial" w:cs="Arial"/>
          <w:sz w:val="24"/>
          <w:szCs w:val="24"/>
        </w:rPr>
        <w:t xml:space="preserve">. </w:t>
      </w:r>
      <w:r w:rsidR="00D96F03">
        <w:rPr>
          <w:rFonts w:ascii="Arial" w:hAnsi="Arial" w:cs="Arial"/>
          <w:sz w:val="24"/>
          <w:szCs w:val="24"/>
        </w:rPr>
        <w:t>As Festival Hydro had four customers transitioned from Class B to Class A in 2015, Festival Hydro requested to recover a portion of the CBR Class B costs from these customers (for the period they were Class B customer</w:t>
      </w:r>
      <w:r w:rsidR="00DE4124">
        <w:rPr>
          <w:rFonts w:ascii="Arial" w:hAnsi="Arial" w:cs="Arial"/>
          <w:sz w:val="24"/>
          <w:szCs w:val="24"/>
        </w:rPr>
        <w:t>s</w:t>
      </w:r>
      <w:r w:rsidR="00D96F03">
        <w:rPr>
          <w:rFonts w:ascii="Arial" w:hAnsi="Arial" w:cs="Arial"/>
          <w:sz w:val="24"/>
          <w:szCs w:val="24"/>
        </w:rPr>
        <w:t>) through 12 equal monthly charges.</w:t>
      </w:r>
    </w:p>
    <w:p w:rsidR="00EB7659" w:rsidRPr="00625D1F" w:rsidRDefault="0092372C" w:rsidP="00625D1F">
      <w:pPr>
        <w:rPr>
          <w:rFonts w:ascii="Arial" w:hAnsi="Arial" w:cs="Arial"/>
          <w:sz w:val="24"/>
          <w:szCs w:val="24"/>
        </w:rPr>
      </w:pPr>
      <w:r w:rsidRPr="00625D1F">
        <w:rPr>
          <w:rFonts w:ascii="Arial" w:hAnsi="Arial" w:cs="Arial"/>
          <w:sz w:val="24"/>
          <w:szCs w:val="24"/>
        </w:rPr>
        <w:t xml:space="preserve">OEB staff has reviewed Festival Hydro’s Group 1 Deferral and Variance Account balances and notes that the principal balances </w:t>
      </w:r>
      <w:r w:rsidR="007E40EE">
        <w:rPr>
          <w:rFonts w:ascii="Arial" w:hAnsi="Arial" w:cs="Arial"/>
          <w:sz w:val="24"/>
          <w:szCs w:val="24"/>
        </w:rPr>
        <w:t xml:space="preserve">and </w:t>
      </w:r>
      <w:r w:rsidR="006025A4">
        <w:rPr>
          <w:rFonts w:ascii="Arial" w:hAnsi="Arial" w:cs="Arial"/>
          <w:sz w:val="24"/>
          <w:szCs w:val="24"/>
        </w:rPr>
        <w:t>interest</w:t>
      </w:r>
      <w:r w:rsidR="007E40EE">
        <w:rPr>
          <w:rFonts w:ascii="Arial" w:hAnsi="Arial" w:cs="Arial"/>
          <w:sz w:val="24"/>
          <w:szCs w:val="24"/>
        </w:rPr>
        <w:t xml:space="preserve"> </w:t>
      </w:r>
      <w:r w:rsidRPr="00625D1F">
        <w:rPr>
          <w:rFonts w:ascii="Arial" w:hAnsi="Arial" w:cs="Arial"/>
          <w:sz w:val="24"/>
          <w:szCs w:val="24"/>
        </w:rPr>
        <w:t xml:space="preserve">as of December 31, 2015 reconcile with the balances reported as part of the </w:t>
      </w:r>
      <w:r w:rsidR="00DE4124">
        <w:rPr>
          <w:rFonts w:ascii="Arial" w:hAnsi="Arial" w:cs="Arial"/>
          <w:sz w:val="24"/>
          <w:szCs w:val="24"/>
        </w:rPr>
        <w:t>RRRs</w:t>
      </w:r>
      <w:r w:rsidRPr="00625D1F">
        <w:rPr>
          <w:rFonts w:ascii="Arial" w:hAnsi="Arial" w:cs="Arial"/>
          <w:sz w:val="24"/>
          <w:szCs w:val="24"/>
        </w:rPr>
        <w:t xml:space="preserve">. Also, the pre-set disposition </w:t>
      </w:r>
      <w:r w:rsidRPr="00625D1F">
        <w:rPr>
          <w:rFonts w:ascii="Arial" w:hAnsi="Arial" w:cs="Arial"/>
          <w:sz w:val="24"/>
          <w:szCs w:val="24"/>
        </w:rPr>
        <w:lastRenderedPageBreak/>
        <w:t>threshold has been exceeded.</w:t>
      </w:r>
      <w:r w:rsidR="00D96F03" w:rsidRPr="00625D1F">
        <w:rPr>
          <w:rFonts w:ascii="Arial" w:hAnsi="Arial" w:cs="Arial"/>
          <w:sz w:val="24"/>
          <w:szCs w:val="24"/>
        </w:rPr>
        <w:t xml:space="preserve"> </w:t>
      </w:r>
      <w:r w:rsidR="00397B34" w:rsidRPr="00625D1F">
        <w:rPr>
          <w:rFonts w:ascii="Arial" w:hAnsi="Arial" w:cs="Arial"/>
          <w:sz w:val="24"/>
          <w:szCs w:val="24"/>
        </w:rPr>
        <w:t xml:space="preserve"> Accordingly, OEB staff has no issue with Festival Hydro’s request to dispose of the Deferral and Variance Accounts. </w:t>
      </w:r>
    </w:p>
    <w:p w:rsidR="00794D0B" w:rsidRDefault="00794D0B" w:rsidP="00D96F03">
      <w:pPr>
        <w:autoSpaceDE w:val="0"/>
        <w:autoSpaceDN w:val="0"/>
        <w:adjustRightInd w:val="0"/>
        <w:spacing w:after="0" w:line="300" w:lineRule="auto"/>
        <w:rPr>
          <w:rFonts w:ascii="Arial" w:eastAsia="Times New Roman" w:hAnsi="Arial" w:cs="Arial"/>
          <w:b/>
          <w:sz w:val="24"/>
          <w:szCs w:val="24"/>
          <w:u w:val="single"/>
        </w:rPr>
      </w:pPr>
    </w:p>
    <w:p w:rsidR="00840ABE" w:rsidRDefault="00840ABE" w:rsidP="00D96F03">
      <w:pPr>
        <w:autoSpaceDE w:val="0"/>
        <w:autoSpaceDN w:val="0"/>
        <w:adjustRightInd w:val="0"/>
        <w:spacing w:after="0" w:line="300" w:lineRule="auto"/>
        <w:rPr>
          <w:rFonts w:ascii="Arial" w:eastAsia="Times New Roman" w:hAnsi="Arial" w:cs="Arial"/>
          <w:b/>
          <w:sz w:val="24"/>
          <w:szCs w:val="24"/>
          <w:u w:val="single"/>
        </w:rPr>
      </w:pPr>
    </w:p>
    <w:p w:rsidR="00D96F03" w:rsidRPr="00D96F03" w:rsidRDefault="00D96F03" w:rsidP="00D96F03">
      <w:pPr>
        <w:autoSpaceDE w:val="0"/>
        <w:autoSpaceDN w:val="0"/>
        <w:adjustRightInd w:val="0"/>
        <w:spacing w:after="0" w:line="300" w:lineRule="auto"/>
        <w:rPr>
          <w:rFonts w:ascii="Arial" w:eastAsia="Times New Roman" w:hAnsi="Arial" w:cs="Arial"/>
          <w:b/>
          <w:sz w:val="24"/>
          <w:szCs w:val="24"/>
          <w:u w:val="single"/>
        </w:rPr>
      </w:pPr>
      <w:r w:rsidRPr="00D96F03">
        <w:rPr>
          <w:rFonts w:ascii="Arial" w:eastAsia="Times New Roman" w:hAnsi="Arial" w:cs="Arial"/>
          <w:b/>
          <w:sz w:val="24"/>
          <w:szCs w:val="24"/>
          <w:u w:val="single"/>
        </w:rPr>
        <w:t xml:space="preserve">Lost Revenue Adjustment Mechanism Variance Account (LRAMVA) Balance </w:t>
      </w:r>
    </w:p>
    <w:p w:rsidR="00EB7659" w:rsidRDefault="00EB7659" w:rsidP="00005C03">
      <w:pPr>
        <w:autoSpaceDE w:val="0"/>
        <w:autoSpaceDN w:val="0"/>
        <w:adjustRightInd w:val="0"/>
        <w:spacing w:after="0" w:line="300" w:lineRule="auto"/>
        <w:rPr>
          <w:rFonts w:ascii="Arial" w:hAnsi="Arial" w:cs="Arial"/>
          <w:sz w:val="24"/>
          <w:szCs w:val="24"/>
          <w:u w:val="single"/>
        </w:rPr>
      </w:pPr>
    </w:p>
    <w:p w:rsidR="00625D1F" w:rsidRDefault="00625D1F" w:rsidP="00625D1F">
      <w:pPr>
        <w:rPr>
          <w:rFonts w:ascii="Arial" w:hAnsi="Arial" w:cs="Arial"/>
          <w:b/>
          <w:sz w:val="24"/>
          <w:szCs w:val="24"/>
        </w:rPr>
      </w:pPr>
      <w:r w:rsidRPr="003E6718">
        <w:rPr>
          <w:rFonts w:ascii="Arial" w:hAnsi="Arial" w:cs="Arial"/>
          <w:b/>
          <w:sz w:val="24"/>
          <w:szCs w:val="24"/>
        </w:rPr>
        <w:t>Background</w:t>
      </w:r>
    </w:p>
    <w:p w:rsidR="00625D1F" w:rsidRPr="00625D1F" w:rsidRDefault="00BD2599" w:rsidP="00625D1F">
      <w:pPr>
        <w:rPr>
          <w:rFonts w:ascii="Arial" w:hAnsi="Arial" w:cs="Arial"/>
          <w:b/>
          <w:sz w:val="24"/>
          <w:szCs w:val="24"/>
        </w:rPr>
      </w:pPr>
      <w:r>
        <w:rPr>
          <w:rFonts w:ascii="Arial" w:hAnsi="Arial" w:cs="Arial"/>
          <w:sz w:val="24"/>
          <w:szCs w:val="24"/>
        </w:rPr>
        <w:t xml:space="preserve">In its application, </w:t>
      </w:r>
      <w:r w:rsidR="00625D1F">
        <w:rPr>
          <w:rFonts w:ascii="Arial" w:hAnsi="Arial" w:cs="Arial"/>
          <w:sz w:val="24"/>
          <w:szCs w:val="24"/>
        </w:rPr>
        <w:t xml:space="preserve">Festival Hydro </w:t>
      </w:r>
      <w:r>
        <w:rPr>
          <w:rFonts w:ascii="Arial" w:hAnsi="Arial" w:cs="Arial"/>
          <w:sz w:val="24"/>
          <w:szCs w:val="24"/>
        </w:rPr>
        <w:t xml:space="preserve">proposed </w:t>
      </w:r>
      <w:r w:rsidR="00625D1F">
        <w:rPr>
          <w:rFonts w:ascii="Arial" w:hAnsi="Arial" w:cs="Arial"/>
          <w:sz w:val="24"/>
          <w:szCs w:val="24"/>
        </w:rPr>
        <w:t xml:space="preserve">to dispose of a debit balance in Account 1568 - LRAMVA of $131,949. Festival Hydro’s LRAMVA amount consists of lost revenues from new CDM programs in 2015, as well as persisting savings in 2015 from CDM programs delivered between 2011 and 2014, and </w:t>
      </w:r>
      <w:r w:rsidR="00D14DD0">
        <w:rPr>
          <w:rFonts w:ascii="Arial" w:hAnsi="Arial" w:cs="Arial"/>
          <w:sz w:val="24"/>
          <w:szCs w:val="24"/>
        </w:rPr>
        <w:t xml:space="preserve">associated </w:t>
      </w:r>
      <w:r w:rsidR="00625D1F">
        <w:rPr>
          <w:rFonts w:ascii="Arial" w:hAnsi="Arial" w:cs="Arial"/>
          <w:sz w:val="24"/>
          <w:szCs w:val="24"/>
        </w:rPr>
        <w:t xml:space="preserve">carrying charges. Festival Hydro’s LRAMVA balance is net of the 2015 forecasted CDM savings that were embedded into rates as part of its 2015 cost of service application.  </w:t>
      </w:r>
    </w:p>
    <w:p w:rsidR="00625D1F" w:rsidRDefault="00625D1F" w:rsidP="00625D1F">
      <w:pPr>
        <w:rPr>
          <w:rFonts w:ascii="Arial" w:hAnsi="Arial" w:cs="Arial"/>
          <w:sz w:val="24"/>
          <w:szCs w:val="24"/>
        </w:rPr>
      </w:pPr>
      <w:r>
        <w:rPr>
          <w:rFonts w:ascii="Arial" w:hAnsi="Arial" w:cs="Arial"/>
          <w:sz w:val="24"/>
          <w:szCs w:val="24"/>
        </w:rPr>
        <w:t xml:space="preserve">In response to OEB Staff interrogatories, Festival Hydro updated its LRAMVA balance </w:t>
      </w:r>
      <w:r w:rsidR="00BD2599">
        <w:rPr>
          <w:rFonts w:ascii="Arial" w:hAnsi="Arial" w:cs="Arial"/>
          <w:sz w:val="24"/>
          <w:szCs w:val="24"/>
        </w:rPr>
        <w:t xml:space="preserve">in order </w:t>
      </w:r>
      <w:r>
        <w:rPr>
          <w:rFonts w:ascii="Arial" w:hAnsi="Arial" w:cs="Arial"/>
          <w:sz w:val="24"/>
          <w:szCs w:val="24"/>
        </w:rPr>
        <w:t xml:space="preserve">to make </w:t>
      </w:r>
      <w:r w:rsidR="00BD2599">
        <w:rPr>
          <w:rFonts w:ascii="Arial" w:hAnsi="Arial" w:cs="Arial"/>
          <w:sz w:val="24"/>
          <w:szCs w:val="24"/>
        </w:rPr>
        <w:t xml:space="preserve">certain </w:t>
      </w:r>
      <w:r>
        <w:rPr>
          <w:rFonts w:ascii="Arial" w:hAnsi="Arial" w:cs="Arial"/>
          <w:sz w:val="24"/>
          <w:szCs w:val="24"/>
        </w:rPr>
        <w:t>minor corrections and to incorporate IESO verified savings adjustments that were not included in Festival Hydro’s initial LRAMVA balance. Festival Hydro’s updates to the LRAMVA balance results in a decrease of $462 and an updated LRAMVA amount of a debit of $131,487.</w:t>
      </w:r>
      <w:r w:rsidRPr="005F6C4D">
        <w:rPr>
          <w:rFonts w:ascii="Arial" w:hAnsi="Arial" w:cs="Arial"/>
          <w:sz w:val="24"/>
          <w:szCs w:val="24"/>
        </w:rPr>
        <w:t xml:space="preserve"> </w:t>
      </w:r>
      <w:r>
        <w:rPr>
          <w:rFonts w:ascii="Arial" w:hAnsi="Arial" w:cs="Arial"/>
          <w:sz w:val="24"/>
          <w:szCs w:val="24"/>
        </w:rPr>
        <w:t xml:space="preserve"> Festival Hydro’s LRAMVA balance is supported by a third party review, which calculated Festival Hydro’s LRAMVA balance using information provided by the IESO, including initiative level persistence rates.</w:t>
      </w:r>
    </w:p>
    <w:p w:rsidR="00625D1F" w:rsidRPr="00493FFE" w:rsidRDefault="00625D1F" w:rsidP="00625D1F">
      <w:pPr>
        <w:rPr>
          <w:rFonts w:ascii="Arial" w:hAnsi="Arial" w:cs="Arial"/>
          <w:b/>
          <w:sz w:val="24"/>
          <w:szCs w:val="24"/>
        </w:rPr>
      </w:pPr>
      <w:r w:rsidRPr="00493FFE">
        <w:rPr>
          <w:rFonts w:ascii="Arial" w:hAnsi="Arial" w:cs="Arial"/>
          <w:b/>
          <w:sz w:val="24"/>
          <w:szCs w:val="24"/>
        </w:rPr>
        <w:t>Submission</w:t>
      </w:r>
    </w:p>
    <w:p w:rsidR="00625D1F" w:rsidRDefault="00625D1F" w:rsidP="00625D1F">
      <w:pPr>
        <w:rPr>
          <w:rFonts w:ascii="Arial" w:hAnsi="Arial" w:cs="Arial"/>
          <w:sz w:val="24"/>
          <w:szCs w:val="24"/>
        </w:rPr>
      </w:pPr>
      <w:r>
        <w:rPr>
          <w:rFonts w:ascii="Arial" w:hAnsi="Arial" w:cs="Arial"/>
          <w:sz w:val="24"/>
          <w:szCs w:val="24"/>
        </w:rPr>
        <w:t xml:space="preserve">OEB </w:t>
      </w:r>
      <w:r w:rsidR="00BD2599">
        <w:rPr>
          <w:rFonts w:ascii="Arial" w:hAnsi="Arial" w:cs="Arial"/>
          <w:sz w:val="24"/>
          <w:szCs w:val="24"/>
        </w:rPr>
        <w:t>s</w:t>
      </w:r>
      <w:r>
        <w:rPr>
          <w:rFonts w:ascii="Arial" w:hAnsi="Arial" w:cs="Arial"/>
          <w:sz w:val="24"/>
          <w:szCs w:val="24"/>
        </w:rPr>
        <w:t>taff supports the updated LRAMVA debit balance of $131,487</w:t>
      </w:r>
      <w:r w:rsidR="00BD2599">
        <w:rPr>
          <w:rFonts w:ascii="Arial" w:hAnsi="Arial" w:cs="Arial"/>
          <w:sz w:val="24"/>
          <w:szCs w:val="24"/>
        </w:rPr>
        <w:t>,</w:t>
      </w:r>
      <w:r>
        <w:rPr>
          <w:rFonts w:ascii="Arial" w:hAnsi="Arial" w:cs="Arial"/>
          <w:sz w:val="24"/>
          <w:szCs w:val="24"/>
        </w:rPr>
        <w:t xml:space="preserve"> which consists of lost revenues from new CDM programs in 2015, persisting savings in 2015 from CDM programs delivered between 2011 and 2014, and carrying charges.  OEB </w:t>
      </w:r>
      <w:r w:rsidR="00BD2599">
        <w:rPr>
          <w:rFonts w:ascii="Arial" w:hAnsi="Arial" w:cs="Arial"/>
          <w:sz w:val="24"/>
          <w:szCs w:val="24"/>
        </w:rPr>
        <w:t>s</w:t>
      </w:r>
      <w:r>
        <w:rPr>
          <w:rFonts w:ascii="Arial" w:hAnsi="Arial" w:cs="Arial"/>
          <w:sz w:val="24"/>
          <w:szCs w:val="24"/>
        </w:rPr>
        <w:t xml:space="preserve">taff submits that Festival Hydro has calculated its LRAMVA balance in accordance with the CDM </w:t>
      </w:r>
      <w:r w:rsidRPr="001E2C33">
        <w:rPr>
          <w:rFonts w:ascii="Arial" w:hAnsi="Arial" w:cs="Arial"/>
          <w:sz w:val="24"/>
          <w:szCs w:val="24"/>
        </w:rPr>
        <w:t>Guidelines (</w:t>
      </w:r>
      <w:r w:rsidRPr="00A95963">
        <w:rPr>
          <w:rFonts w:ascii="Arial" w:hAnsi="Arial" w:cs="Arial"/>
          <w:sz w:val="24"/>
          <w:szCs w:val="24"/>
        </w:rPr>
        <w:t xml:space="preserve">EB-2012-0003) </w:t>
      </w:r>
      <w:r w:rsidRPr="001E2C33">
        <w:rPr>
          <w:rFonts w:ascii="Arial" w:hAnsi="Arial" w:cs="Arial"/>
          <w:sz w:val="24"/>
          <w:szCs w:val="24"/>
        </w:rPr>
        <w:t>and updated LRAMVA policy (</w:t>
      </w:r>
      <w:r w:rsidRPr="00A95963">
        <w:rPr>
          <w:rFonts w:ascii="Arial" w:hAnsi="Arial" w:cs="Arial"/>
          <w:sz w:val="24"/>
          <w:szCs w:val="24"/>
        </w:rPr>
        <w:t>EB-2016-0182)</w:t>
      </w:r>
      <w:r w:rsidRPr="001E2C33">
        <w:rPr>
          <w:rFonts w:ascii="Arial" w:hAnsi="Arial" w:cs="Arial"/>
          <w:sz w:val="24"/>
          <w:szCs w:val="24"/>
        </w:rPr>
        <w:t>.</w:t>
      </w:r>
      <w:r>
        <w:rPr>
          <w:rFonts w:ascii="Arial" w:hAnsi="Arial" w:cs="Arial"/>
          <w:sz w:val="24"/>
          <w:szCs w:val="24"/>
        </w:rPr>
        <w:t xml:space="preserve">  </w:t>
      </w:r>
    </w:p>
    <w:p w:rsidR="006E5ED0" w:rsidRPr="00BB3868" w:rsidRDefault="006E5ED0" w:rsidP="006E5ED0">
      <w:pPr>
        <w:spacing w:after="0" w:line="300" w:lineRule="auto"/>
        <w:rPr>
          <w:rFonts w:ascii="Arial" w:eastAsia="Times New Roman" w:hAnsi="Arial" w:cs="Arial"/>
          <w:snapToGrid w:val="0"/>
          <w:sz w:val="24"/>
          <w:szCs w:val="24"/>
        </w:rPr>
      </w:pPr>
    </w:p>
    <w:p w:rsidR="00746080" w:rsidRPr="002E1DC0" w:rsidRDefault="00CE177A" w:rsidP="002E1DC0">
      <w:pPr>
        <w:widowControl w:val="0"/>
        <w:spacing w:after="0" w:line="300" w:lineRule="auto"/>
        <w:jc w:val="center"/>
        <w:rPr>
          <w:rFonts w:ascii="Arial" w:eastAsia="Times New Roman" w:hAnsi="Arial" w:cs="Arial"/>
          <w:snapToGrid w:val="0"/>
          <w:sz w:val="24"/>
          <w:szCs w:val="20"/>
        </w:rPr>
      </w:pPr>
      <w:r>
        <w:rPr>
          <w:rFonts w:ascii="Arial" w:eastAsia="Times New Roman" w:hAnsi="Arial" w:cs="Arial"/>
          <w:snapToGrid w:val="0"/>
          <w:sz w:val="24"/>
          <w:szCs w:val="20"/>
        </w:rPr>
        <w:t>All of which is respectfully submitted</w:t>
      </w:r>
    </w:p>
    <w:sectPr w:rsidR="00746080" w:rsidRPr="002E1DC0" w:rsidSect="008B6690">
      <w:headerReference w:type="even" r:id="rId16"/>
      <w:headerReference w:type="default" r:id="rId17"/>
      <w:footerReference w:type="default" r:id="rId18"/>
      <w:headerReference w:type="first" r:id="rId19"/>
      <w:footerReference w:type="first" r:id="rId20"/>
      <w:endnotePr>
        <w:numFmt w:val="decimal"/>
      </w:endnotePr>
      <w:pgSz w:w="12240" w:h="15840"/>
      <w:pgMar w:top="1440" w:right="1440" w:bottom="1440" w:left="1440" w:header="720" w:footer="720"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938" w:rsidRDefault="009F6938" w:rsidP="00CE177A">
      <w:pPr>
        <w:spacing w:after="0" w:line="240" w:lineRule="auto"/>
      </w:pPr>
      <w:r>
        <w:separator/>
      </w:r>
    </w:p>
  </w:endnote>
  <w:endnote w:type="continuationSeparator" w:id="0">
    <w:p w:rsidR="009F6938" w:rsidRDefault="009F6938" w:rsidP="00CE1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812" w:rsidRPr="00B9220C" w:rsidRDefault="00630812" w:rsidP="008B6690">
    <w:pPr>
      <w:pStyle w:val="Footer"/>
      <w:jc w:val="center"/>
      <w:rPr>
        <w:rFonts w:ascii="Arial" w:hAnsi="Arial" w:cs="Arial"/>
      </w:rPr>
    </w:pPr>
    <w:r w:rsidRPr="00B9220C">
      <w:rPr>
        <w:rFonts w:ascii="Arial" w:hAnsi="Arial" w:cs="Arial"/>
      </w:rPr>
      <w:t xml:space="preserve">- </w:t>
    </w:r>
    <w:r w:rsidRPr="00B9220C">
      <w:rPr>
        <w:rStyle w:val="PageNumber"/>
        <w:rFonts w:ascii="Arial" w:hAnsi="Arial" w:cs="Arial"/>
      </w:rPr>
      <w:fldChar w:fldCharType="begin"/>
    </w:r>
    <w:r w:rsidRPr="00B9220C">
      <w:rPr>
        <w:rStyle w:val="PageNumber"/>
        <w:rFonts w:ascii="Arial" w:hAnsi="Arial" w:cs="Arial"/>
      </w:rPr>
      <w:instrText xml:space="preserve"> PAGE </w:instrText>
    </w:r>
    <w:r w:rsidRPr="00B9220C">
      <w:rPr>
        <w:rStyle w:val="PageNumber"/>
        <w:rFonts w:ascii="Arial" w:hAnsi="Arial" w:cs="Arial"/>
      </w:rPr>
      <w:fldChar w:fldCharType="separate"/>
    </w:r>
    <w:r w:rsidR="0098145F">
      <w:rPr>
        <w:rStyle w:val="PageNumber"/>
        <w:rFonts w:ascii="Arial" w:hAnsi="Arial" w:cs="Arial"/>
        <w:noProof/>
      </w:rPr>
      <w:t>2</w:t>
    </w:r>
    <w:r w:rsidRPr="00B9220C">
      <w:rPr>
        <w:rStyle w:val="PageNumber"/>
        <w:rFonts w:ascii="Arial" w:hAnsi="Arial" w:cs="Arial"/>
      </w:rPr>
      <w:fldChar w:fldCharType="end"/>
    </w:r>
    <w:r w:rsidRPr="00B9220C">
      <w:rPr>
        <w:rStyle w:val="PageNumber"/>
        <w:rFonts w:ascii="Arial" w:hAnsi="Arial" w:cs="Arial"/>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812" w:rsidRPr="00B9220C" w:rsidRDefault="00630812" w:rsidP="008B6690">
    <w:pPr>
      <w:pStyle w:val="Footer"/>
      <w:jc w:val="center"/>
      <w:rPr>
        <w:rFonts w:ascii="Arial" w:hAnsi="Arial" w:cs="Arial"/>
      </w:rPr>
    </w:pPr>
    <w:r w:rsidRPr="00B9220C">
      <w:rPr>
        <w:rFonts w:ascii="Arial" w:hAnsi="Arial" w:cs="Arial"/>
      </w:rPr>
      <w:t xml:space="preserve">- </w:t>
    </w:r>
    <w:r w:rsidRPr="00B9220C">
      <w:rPr>
        <w:rStyle w:val="PageNumber"/>
        <w:rFonts w:ascii="Arial" w:hAnsi="Arial" w:cs="Arial"/>
      </w:rPr>
      <w:fldChar w:fldCharType="begin"/>
    </w:r>
    <w:r w:rsidRPr="00B9220C">
      <w:rPr>
        <w:rStyle w:val="PageNumber"/>
        <w:rFonts w:ascii="Arial" w:hAnsi="Arial" w:cs="Arial"/>
      </w:rPr>
      <w:instrText xml:space="preserve"> PAGE </w:instrText>
    </w:r>
    <w:r w:rsidRPr="00B9220C">
      <w:rPr>
        <w:rStyle w:val="PageNumber"/>
        <w:rFonts w:ascii="Arial" w:hAnsi="Arial" w:cs="Arial"/>
      </w:rPr>
      <w:fldChar w:fldCharType="separate"/>
    </w:r>
    <w:r w:rsidR="00F87937">
      <w:rPr>
        <w:rStyle w:val="PageNumber"/>
        <w:rFonts w:ascii="Arial" w:hAnsi="Arial" w:cs="Arial"/>
        <w:noProof/>
      </w:rPr>
      <w:t>4</w:t>
    </w:r>
    <w:r w:rsidRPr="00B9220C">
      <w:rPr>
        <w:rStyle w:val="PageNumber"/>
        <w:rFonts w:ascii="Arial" w:hAnsi="Arial" w:cs="Arial"/>
      </w:rPr>
      <w:fldChar w:fldCharType="end"/>
    </w:r>
    <w:r w:rsidRPr="00B9220C">
      <w:rPr>
        <w:rStyle w:val="PageNumber"/>
        <w:rFonts w:ascii="Arial" w:hAnsi="Arial" w:cs="Arial"/>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812" w:rsidRPr="00B9220C" w:rsidRDefault="00630812" w:rsidP="008B6690">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938" w:rsidRDefault="009F6938" w:rsidP="00CE177A">
      <w:pPr>
        <w:spacing w:after="0" w:line="240" w:lineRule="auto"/>
      </w:pPr>
      <w:r>
        <w:separator/>
      </w:r>
    </w:p>
  </w:footnote>
  <w:footnote w:type="continuationSeparator" w:id="0">
    <w:p w:rsidR="009F6938" w:rsidRDefault="009F6938" w:rsidP="00CE177A">
      <w:pPr>
        <w:spacing w:after="0" w:line="240" w:lineRule="auto"/>
      </w:pPr>
      <w:r>
        <w:continuationSeparator/>
      </w:r>
    </w:p>
  </w:footnote>
  <w:footnote w:id="1">
    <w:p w:rsidR="001B7288" w:rsidRPr="00307A3B" w:rsidRDefault="001B7288">
      <w:pPr>
        <w:pStyle w:val="FootnoteText"/>
        <w:rPr>
          <w:rFonts w:ascii="Arial" w:hAnsi="Arial" w:cs="Arial"/>
        </w:rPr>
      </w:pPr>
      <w:r w:rsidRPr="00307A3B">
        <w:rPr>
          <w:rStyle w:val="FootnoteReference"/>
          <w:rFonts w:ascii="Arial" w:hAnsi="Arial" w:cs="Arial"/>
        </w:rPr>
        <w:footnoteRef/>
      </w:r>
      <w:r w:rsidRPr="00307A3B">
        <w:rPr>
          <w:rFonts w:ascii="Arial" w:hAnsi="Arial" w:cs="Arial"/>
        </w:rPr>
        <w:t xml:space="preserve"> </w:t>
      </w:r>
      <w:r w:rsidRPr="00307A3B">
        <w:rPr>
          <w:rFonts w:ascii="Arial" w:hAnsi="Arial" w:cs="Arial"/>
          <w:i/>
        </w:rPr>
        <w:t>Filing Requirements For Electricity Distribution Rate Applications; Chapter 3 Incentive Rate-Setting Applications</w:t>
      </w:r>
      <w:r w:rsidRPr="00307A3B">
        <w:rPr>
          <w:rFonts w:ascii="Arial" w:hAnsi="Arial" w:cs="Arial"/>
        </w:rPr>
        <w:t>, issued July 14, 2016, page 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812" w:rsidRPr="002204E6" w:rsidRDefault="00AE08CC" w:rsidP="008B6690">
    <w:pPr>
      <w:pStyle w:val="Header"/>
      <w:jc w:val="right"/>
      <w:rPr>
        <w:rFonts w:ascii="Arial" w:hAnsi="Arial" w:cs="Arial"/>
        <w:b/>
        <w:sz w:val="16"/>
      </w:rPr>
    </w:pPr>
    <w:r>
      <w:rPr>
        <w:rFonts w:ascii="Arial" w:hAnsi="Arial" w:cs="Arial"/>
        <w:b/>
        <w:sz w:val="16"/>
      </w:rPr>
      <w:t>OEB</w:t>
    </w:r>
    <w:r w:rsidR="00630812" w:rsidRPr="002204E6">
      <w:rPr>
        <w:rFonts w:ascii="Arial" w:hAnsi="Arial" w:cs="Arial"/>
        <w:b/>
        <w:sz w:val="16"/>
      </w:rPr>
      <w:t xml:space="preserve"> Staff Submission</w:t>
    </w:r>
  </w:p>
  <w:p w:rsidR="00630812" w:rsidRDefault="00630812" w:rsidP="008B6690">
    <w:pPr>
      <w:pStyle w:val="Header"/>
      <w:jc w:val="right"/>
      <w:rPr>
        <w:rFonts w:ascii="Arial" w:hAnsi="Arial" w:cs="Arial"/>
        <w:b/>
        <w:noProof/>
        <w:sz w:val="16"/>
      </w:rPr>
    </w:pPr>
    <w:r>
      <w:rPr>
        <w:rFonts w:ascii="Arial" w:hAnsi="Arial" w:cs="Arial"/>
        <w:b/>
        <w:noProof/>
        <w:sz w:val="16"/>
      </w:rPr>
      <w:t>Oakville Hydro Electricity Distribution Inc.</w:t>
    </w:r>
  </w:p>
  <w:p w:rsidR="00630812" w:rsidRPr="00183373" w:rsidRDefault="00630812" w:rsidP="008B6690">
    <w:pPr>
      <w:pStyle w:val="Header"/>
      <w:jc w:val="right"/>
      <w:rPr>
        <w:rFonts w:ascii="Arial" w:hAnsi="Arial" w:cs="Arial"/>
        <w:b/>
        <w:sz w:val="16"/>
      </w:rPr>
    </w:pPr>
    <w:r w:rsidRPr="00183373">
      <w:rPr>
        <w:rFonts w:ascii="Arial" w:hAnsi="Arial" w:cs="Arial"/>
        <w:b/>
        <w:sz w:val="16"/>
      </w:rPr>
      <w:t>201</w:t>
    </w:r>
    <w:r>
      <w:rPr>
        <w:rFonts w:ascii="Arial" w:hAnsi="Arial" w:cs="Arial"/>
        <w:b/>
        <w:sz w:val="16"/>
      </w:rPr>
      <w:t>2</w:t>
    </w:r>
    <w:r w:rsidRPr="00183373">
      <w:rPr>
        <w:rFonts w:ascii="Arial" w:hAnsi="Arial" w:cs="Arial"/>
        <w:b/>
        <w:sz w:val="16"/>
      </w:rPr>
      <w:t xml:space="preserve"> </w:t>
    </w:r>
    <w:r w:rsidRPr="006669DB">
      <w:rPr>
        <w:rFonts w:ascii="Arial" w:hAnsi="Arial" w:cs="Arial"/>
        <w:b/>
        <w:noProof/>
        <w:sz w:val="16"/>
      </w:rPr>
      <w:t>IRM3</w:t>
    </w:r>
    <w:r w:rsidRPr="00183373">
      <w:rPr>
        <w:rFonts w:ascii="Arial" w:hAnsi="Arial" w:cs="Arial"/>
        <w:b/>
        <w:sz w:val="16"/>
      </w:rPr>
      <w:t xml:space="preserve"> Application</w:t>
    </w:r>
  </w:p>
  <w:p w:rsidR="00630812" w:rsidRDefault="00630812" w:rsidP="008B6690">
    <w:pPr>
      <w:pStyle w:val="Header"/>
      <w:jc w:val="right"/>
      <w:rPr>
        <w:rFonts w:ascii="Arial" w:hAnsi="Arial" w:cs="Arial"/>
        <w:b/>
        <w:noProof/>
        <w:sz w:val="16"/>
      </w:rPr>
    </w:pPr>
    <w:r w:rsidRPr="006669DB">
      <w:rPr>
        <w:rFonts w:ascii="Arial" w:hAnsi="Arial" w:cs="Arial"/>
        <w:b/>
        <w:noProof/>
        <w:sz w:val="16"/>
      </w:rPr>
      <w:t>EB-</w:t>
    </w:r>
    <w:r>
      <w:rPr>
        <w:rFonts w:ascii="Arial" w:hAnsi="Arial" w:cs="Arial"/>
        <w:b/>
        <w:noProof/>
        <w:sz w:val="16"/>
      </w:rPr>
      <w:t>2011-0189</w:t>
    </w:r>
  </w:p>
  <w:p w:rsidR="00630812" w:rsidRDefault="00630812" w:rsidP="008B669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812" w:rsidRDefault="006308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812" w:rsidRPr="001668D2" w:rsidRDefault="00AE08CC" w:rsidP="008B6690">
    <w:pPr>
      <w:pStyle w:val="Header"/>
      <w:jc w:val="right"/>
      <w:rPr>
        <w:rFonts w:ascii="Arial" w:hAnsi="Arial" w:cs="Arial"/>
        <w:b/>
        <w:sz w:val="16"/>
        <w:szCs w:val="16"/>
      </w:rPr>
    </w:pPr>
    <w:r>
      <w:rPr>
        <w:rFonts w:ascii="Arial" w:hAnsi="Arial" w:cs="Arial"/>
        <w:b/>
        <w:sz w:val="16"/>
        <w:szCs w:val="16"/>
      </w:rPr>
      <w:t>OEB</w:t>
    </w:r>
    <w:r w:rsidR="00630812" w:rsidRPr="001668D2">
      <w:rPr>
        <w:rFonts w:ascii="Arial" w:hAnsi="Arial" w:cs="Arial"/>
        <w:b/>
        <w:sz w:val="16"/>
        <w:szCs w:val="16"/>
      </w:rPr>
      <w:t xml:space="preserve"> Staff Submission</w:t>
    </w:r>
  </w:p>
  <w:p w:rsidR="00630812" w:rsidRPr="001668D2" w:rsidRDefault="00937045" w:rsidP="008B6690">
    <w:pPr>
      <w:pStyle w:val="Header"/>
      <w:jc w:val="right"/>
      <w:rPr>
        <w:rFonts w:ascii="Arial" w:hAnsi="Arial" w:cs="Arial"/>
        <w:b/>
        <w:sz w:val="16"/>
        <w:szCs w:val="16"/>
      </w:rPr>
    </w:pPr>
    <w:r>
      <w:rPr>
        <w:rFonts w:ascii="Arial" w:hAnsi="Arial" w:cs="Arial"/>
        <w:b/>
        <w:sz w:val="16"/>
        <w:szCs w:val="16"/>
      </w:rPr>
      <w:t>Festival Hydro Inc.</w:t>
    </w:r>
  </w:p>
  <w:p w:rsidR="00630812" w:rsidRPr="001668D2" w:rsidRDefault="00630812" w:rsidP="008B6690">
    <w:pPr>
      <w:pStyle w:val="Header"/>
      <w:jc w:val="right"/>
      <w:rPr>
        <w:rFonts w:ascii="Arial" w:hAnsi="Arial" w:cs="Arial"/>
        <w:b/>
        <w:sz w:val="16"/>
        <w:szCs w:val="16"/>
      </w:rPr>
    </w:pPr>
    <w:r>
      <w:rPr>
        <w:rFonts w:ascii="Arial" w:hAnsi="Arial" w:cs="Arial"/>
        <w:b/>
        <w:sz w:val="16"/>
        <w:szCs w:val="16"/>
      </w:rPr>
      <w:t>201</w:t>
    </w:r>
    <w:r w:rsidR="00F42DF9">
      <w:rPr>
        <w:rFonts w:ascii="Arial" w:hAnsi="Arial" w:cs="Arial"/>
        <w:b/>
        <w:sz w:val="16"/>
        <w:szCs w:val="16"/>
      </w:rPr>
      <w:t>7</w:t>
    </w:r>
    <w:r>
      <w:rPr>
        <w:rFonts w:ascii="Arial" w:hAnsi="Arial" w:cs="Arial"/>
        <w:b/>
        <w:sz w:val="16"/>
        <w:szCs w:val="16"/>
      </w:rPr>
      <w:t xml:space="preserve"> IRM</w:t>
    </w:r>
    <w:r w:rsidRPr="001668D2">
      <w:rPr>
        <w:rFonts w:ascii="Arial" w:hAnsi="Arial" w:cs="Arial"/>
        <w:b/>
        <w:sz w:val="16"/>
        <w:szCs w:val="16"/>
      </w:rPr>
      <w:t xml:space="preserve"> Application</w:t>
    </w:r>
  </w:p>
  <w:p w:rsidR="00630812" w:rsidRPr="001668D2" w:rsidRDefault="00F42DF9" w:rsidP="008B6690">
    <w:pPr>
      <w:pStyle w:val="Header"/>
      <w:jc w:val="right"/>
      <w:rPr>
        <w:rFonts w:ascii="Arial" w:hAnsi="Arial" w:cs="Arial"/>
        <w:b/>
        <w:sz w:val="16"/>
        <w:szCs w:val="16"/>
      </w:rPr>
    </w:pPr>
    <w:r>
      <w:rPr>
        <w:rFonts w:ascii="Arial" w:hAnsi="Arial" w:cs="Arial"/>
        <w:b/>
        <w:sz w:val="16"/>
        <w:szCs w:val="16"/>
      </w:rPr>
      <w:t>EB-2016</w:t>
    </w:r>
    <w:r w:rsidR="00D13226">
      <w:rPr>
        <w:rFonts w:ascii="Arial" w:hAnsi="Arial" w:cs="Arial"/>
        <w:b/>
        <w:sz w:val="16"/>
        <w:szCs w:val="16"/>
      </w:rPr>
      <w:t>-0</w:t>
    </w:r>
    <w:r w:rsidR="00937045">
      <w:rPr>
        <w:rFonts w:ascii="Arial" w:hAnsi="Arial" w:cs="Arial"/>
        <w:b/>
        <w:sz w:val="16"/>
        <w:szCs w:val="16"/>
      </w:rPr>
      <w:t>070</w:t>
    </w:r>
  </w:p>
  <w:p w:rsidR="00630812" w:rsidRDefault="00630812" w:rsidP="008B6690">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812" w:rsidRPr="00C863CA" w:rsidRDefault="00630812" w:rsidP="008B66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F222E"/>
    <w:multiLevelType w:val="hybridMultilevel"/>
    <w:tmpl w:val="1CBE2C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78928A4"/>
    <w:multiLevelType w:val="hybridMultilevel"/>
    <w:tmpl w:val="87400B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E395C69"/>
    <w:multiLevelType w:val="hybridMultilevel"/>
    <w:tmpl w:val="EE68BE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54132ED7"/>
    <w:multiLevelType w:val="hybridMultilevel"/>
    <w:tmpl w:val="467C80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54785558"/>
    <w:multiLevelType w:val="hybridMultilevel"/>
    <w:tmpl w:val="79E492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5DAF5F57"/>
    <w:multiLevelType w:val="hybridMultilevel"/>
    <w:tmpl w:val="3B98AF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759814AF"/>
    <w:multiLevelType w:val="hybridMultilevel"/>
    <w:tmpl w:val="977051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77A"/>
    <w:rsid w:val="0000096D"/>
    <w:rsid w:val="00003C4D"/>
    <w:rsid w:val="00005C03"/>
    <w:rsid w:val="000104FC"/>
    <w:rsid w:val="00011B6B"/>
    <w:rsid w:val="000127F1"/>
    <w:rsid w:val="00015CDE"/>
    <w:rsid w:val="000225EF"/>
    <w:rsid w:val="00034FB2"/>
    <w:rsid w:val="00050F6F"/>
    <w:rsid w:val="00054808"/>
    <w:rsid w:val="000615F1"/>
    <w:rsid w:val="00073594"/>
    <w:rsid w:val="000814FE"/>
    <w:rsid w:val="000856A4"/>
    <w:rsid w:val="00087414"/>
    <w:rsid w:val="000A62AF"/>
    <w:rsid w:val="000A72D5"/>
    <w:rsid w:val="000B20CF"/>
    <w:rsid w:val="000B644E"/>
    <w:rsid w:val="000C6F92"/>
    <w:rsid w:val="000D0509"/>
    <w:rsid w:val="000E0194"/>
    <w:rsid w:val="000E1C2A"/>
    <w:rsid w:val="000F4212"/>
    <w:rsid w:val="000F49CD"/>
    <w:rsid w:val="000F4A5F"/>
    <w:rsid w:val="000F6684"/>
    <w:rsid w:val="0010009A"/>
    <w:rsid w:val="00100A42"/>
    <w:rsid w:val="00103F9A"/>
    <w:rsid w:val="00117F7F"/>
    <w:rsid w:val="0012291B"/>
    <w:rsid w:val="0012733D"/>
    <w:rsid w:val="00145159"/>
    <w:rsid w:val="00166CE4"/>
    <w:rsid w:val="00172AC0"/>
    <w:rsid w:val="00173739"/>
    <w:rsid w:val="0017663B"/>
    <w:rsid w:val="00180560"/>
    <w:rsid w:val="0019055C"/>
    <w:rsid w:val="00193335"/>
    <w:rsid w:val="001A11A3"/>
    <w:rsid w:val="001A1C50"/>
    <w:rsid w:val="001B7288"/>
    <w:rsid w:val="001D3CA6"/>
    <w:rsid w:val="001D722F"/>
    <w:rsid w:val="001F6044"/>
    <w:rsid w:val="00205A08"/>
    <w:rsid w:val="00223987"/>
    <w:rsid w:val="00225993"/>
    <w:rsid w:val="00227498"/>
    <w:rsid w:val="00230255"/>
    <w:rsid w:val="00231C24"/>
    <w:rsid w:val="00250F56"/>
    <w:rsid w:val="00256D3A"/>
    <w:rsid w:val="002701C5"/>
    <w:rsid w:val="00270202"/>
    <w:rsid w:val="00274EEA"/>
    <w:rsid w:val="0029290E"/>
    <w:rsid w:val="002B7A49"/>
    <w:rsid w:val="002C4968"/>
    <w:rsid w:val="002D0709"/>
    <w:rsid w:val="002E1DC0"/>
    <w:rsid w:val="002F2D89"/>
    <w:rsid w:val="002F2E61"/>
    <w:rsid w:val="00303314"/>
    <w:rsid w:val="00307A3B"/>
    <w:rsid w:val="00323A8A"/>
    <w:rsid w:val="00325E89"/>
    <w:rsid w:val="003309B0"/>
    <w:rsid w:val="00335D88"/>
    <w:rsid w:val="00345D6B"/>
    <w:rsid w:val="0039002B"/>
    <w:rsid w:val="0039280B"/>
    <w:rsid w:val="00393EE5"/>
    <w:rsid w:val="00397B34"/>
    <w:rsid w:val="003A5FC2"/>
    <w:rsid w:val="003B6949"/>
    <w:rsid w:val="003B6C1A"/>
    <w:rsid w:val="003C01F0"/>
    <w:rsid w:val="003C028A"/>
    <w:rsid w:val="003D0134"/>
    <w:rsid w:val="003D38FD"/>
    <w:rsid w:val="003F4FEB"/>
    <w:rsid w:val="003F69AE"/>
    <w:rsid w:val="00400DAF"/>
    <w:rsid w:val="00401931"/>
    <w:rsid w:val="0040602C"/>
    <w:rsid w:val="00412DC6"/>
    <w:rsid w:val="004149D9"/>
    <w:rsid w:val="00430A45"/>
    <w:rsid w:val="00436458"/>
    <w:rsid w:val="004504E4"/>
    <w:rsid w:val="00463D16"/>
    <w:rsid w:val="00465311"/>
    <w:rsid w:val="004703C3"/>
    <w:rsid w:val="00470FBB"/>
    <w:rsid w:val="00472524"/>
    <w:rsid w:val="004745F2"/>
    <w:rsid w:val="00475D22"/>
    <w:rsid w:val="00475DB5"/>
    <w:rsid w:val="00476CE4"/>
    <w:rsid w:val="00481E68"/>
    <w:rsid w:val="004820D5"/>
    <w:rsid w:val="004A09C2"/>
    <w:rsid w:val="004A4555"/>
    <w:rsid w:val="004A4748"/>
    <w:rsid w:val="004B398E"/>
    <w:rsid w:val="004B4DB6"/>
    <w:rsid w:val="004D07E9"/>
    <w:rsid w:val="004D0BE5"/>
    <w:rsid w:val="004D279B"/>
    <w:rsid w:val="004E4DC8"/>
    <w:rsid w:val="004E639D"/>
    <w:rsid w:val="004F0497"/>
    <w:rsid w:val="004F0A5E"/>
    <w:rsid w:val="004F179A"/>
    <w:rsid w:val="004F759E"/>
    <w:rsid w:val="00514BE9"/>
    <w:rsid w:val="005236D4"/>
    <w:rsid w:val="005371B1"/>
    <w:rsid w:val="00537BBB"/>
    <w:rsid w:val="005440A3"/>
    <w:rsid w:val="00550B29"/>
    <w:rsid w:val="005532F7"/>
    <w:rsid w:val="00556ED2"/>
    <w:rsid w:val="00561883"/>
    <w:rsid w:val="0056459F"/>
    <w:rsid w:val="005747AC"/>
    <w:rsid w:val="00577538"/>
    <w:rsid w:val="00583E01"/>
    <w:rsid w:val="00585EA4"/>
    <w:rsid w:val="005A4FD5"/>
    <w:rsid w:val="005B100E"/>
    <w:rsid w:val="005B3C2D"/>
    <w:rsid w:val="005D0490"/>
    <w:rsid w:val="005D0547"/>
    <w:rsid w:val="005D0852"/>
    <w:rsid w:val="005D153A"/>
    <w:rsid w:val="005D4723"/>
    <w:rsid w:val="005D4B2D"/>
    <w:rsid w:val="005F0E2C"/>
    <w:rsid w:val="005F3C92"/>
    <w:rsid w:val="005F4B64"/>
    <w:rsid w:val="006025A4"/>
    <w:rsid w:val="00604ADB"/>
    <w:rsid w:val="00605DF6"/>
    <w:rsid w:val="00612265"/>
    <w:rsid w:val="00613E28"/>
    <w:rsid w:val="00617C84"/>
    <w:rsid w:val="006228B4"/>
    <w:rsid w:val="00625D1F"/>
    <w:rsid w:val="00630812"/>
    <w:rsid w:val="006420DF"/>
    <w:rsid w:val="00646743"/>
    <w:rsid w:val="006527DC"/>
    <w:rsid w:val="00655490"/>
    <w:rsid w:val="00662273"/>
    <w:rsid w:val="006734DC"/>
    <w:rsid w:val="00675FAB"/>
    <w:rsid w:val="00682AA4"/>
    <w:rsid w:val="00684C74"/>
    <w:rsid w:val="00686815"/>
    <w:rsid w:val="0069023B"/>
    <w:rsid w:val="00691DFA"/>
    <w:rsid w:val="006A3795"/>
    <w:rsid w:val="006A6EE7"/>
    <w:rsid w:val="006B0037"/>
    <w:rsid w:val="006B1C25"/>
    <w:rsid w:val="006B7BFD"/>
    <w:rsid w:val="006D15EF"/>
    <w:rsid w:val="006D2A58"/>
    <w:rsid w:val="006E496A"/>
    <w:rsid w:val="006E5ED0"/>
    <w:rsid w:val="006F6559"/>
    <w:rsid w:val="00701F6E"/>
    <w:rsid w:val="007212E8"/>
    <w:rsid w:val="00723D4E"/>
    <w:rsid w:val="0072763E"/>
    <w:rsid w:val="007307EC"/>
    <w:rsid w:val="00742867"/>
    <w:rsid w:val="007458E7"/>
    <w:rsid w:val="00745B32"/>
    <w:rsid w:val="00746080"/>
    <w:rsid w:val="007466CC"/>
    <w:rsid w:val="00760CA3"/>
    <w:rsid w:val="00776A9A"/>
    <w:rsid w:val="00777BCE"/>
    <w:rsid w:val="00777EFE"/>
    <w:rsid w:val="0078000A"/>
    <w:rsid w:val="00794D0B"/>
    <w:rsid w:val="007A03DE"/>
    <w:rsid w:val="007B3E7F"/>
    <w:rsid w:val="007B6173"/>
    <w:rsid w:val="007C02ED"/>
    <w:rsid w:val="007D0CDD"/>
    <w:rsid w:val="007E40EE"/>
    <w:rsid w:val="007E4DBF"/>
    <w:rsid w:val="007F2697"/>
    <w:rsid w:val="00803C52"/>
    <w:rsid w:val="00807E48"/>
    <w:rsid w:val="00834A12"/>
    <w:rsid w:val="008368CD"/>
    <w:rsid w:val="00840ABE"/>
    <w:rsid w:val="008462D3"/>
    <w:rsid w:val="00857150"/>
    <w:rsid w:val="008620C4"/>
    <w:rsid w:val="00880386"/>
    <w:rsid w:val="00880F4B"/>
    <w:rsid w:val="0088413E"/>
    <w:rsid w:val="008846D5"/>
    <w:rsid w:val="00890C27"/>
    <w:rsid w:val="0089640E"/>
    <w:rsid w:val="00896ED8"/>
    <w:rsid w:val="00897F6C"/>
    <w:rsid w:val="008B195C"/>
    <w:rsid w:val="008B5BB4"/>
    <w:rsid w:val="008B6690"/>
    <w:rsid w:val="008B6A1F"/>
    <w:rsid w:val="008C562A"/>
    <w:rsid w:val="008C7399"/>
    <w:rsid w:val="008F16AD"/>
    <w:rsid w:val="00904025"/>
    <w:rsid w:val="0090535A"/>
    <w:rsid w:val="00912DEB"/>
    <w:rsid w:val="0092010A"/>
    <w:rsid w:val="0092372C"/>
    <w:rsid w:val="009256B6"/>
    <w:rsid w:val="009306F9"/>
    <w:rsid w:val="0093109F"/>
    <w:rsid w:val="00937045"/>
    <w:rsid w:val="00937487"/>
    <w:rsid w:val="00940D81"/>
    <w:rsid w:val="0094710D"/>
    <w:rsid w:val="009739A9"/>
    <w:rsid w:val="0098145F"/>
    <w:rsid w:val="0099774F"/>
    <w:rsid w:val="009A1BE6"/>
    <w:rsid w:val="009B052C"/>
    <w:rsid w:val="009C3072"/>
    <w:rsid w:val="009D213B"/>
    <w:rsid w:val="009E2062"/>
    <w:rsid w:val="009E791B"/>
    <w:rsid w:val="009F3115"/>
    <w:rsid w:val="009F6938"/>
    <w:rsid w:val="00A0391A"/>
    <w:rsid w:val="00A072D1"/>
    <w:rsid w:val="00A07C6C"/>
    <w:rsid w:val="00A34195"/>
    <w:rsid w:val="00A55AFF"/>
    <w:rsid w:val="00A55C90"/>
    <w:rsid w:val="00A62E92"/>
    <w:rsid w:val="00A6474C"/>
    <w:rsid w:val="00A80DA0"/>
    <w:rsid w:val="00A83C68"/>
    <w:rsid w:val="00A85E8C"/>
    <w:rsid w:val="00A8652E"/>
    <w:rsid w:val="00A90D17"/>
    <w:rsid w:val="00A9580E"/>
    <w:rsid w:val="00AA06D9"/>
    <w:rsid w:val="00AA11B6"/>
    <w:rsid w:val="00AA6793"/>
    <w:rsid w:val="00AB1F1E"/>
    <w:rsid w:val="00AB282B"/>
    <w:rsid w:val="00AB7476"/>
    <w:rsid w:val="00AC0855"/>
    <w:rsid w:val="00AC64B4"/>
    <w:rsid w:val="00AD4A4F"/>
    <w:rsid w:val="00AE08CC"/>
    <w:rsid w:val="00AE0A42"/>
    <w:rsid w:val="00AE44C9"/>
    <w:rsid w:val="00AF2843"/>
    <w:rsid w:val="00AF2987"/>
    <w:rsid w:val="00B171B4"/>
    <w:rsid w:val="00B232DC"/>
    <w:rsid w:val="00B247FB"/>
    <w:rsid w:val="00B25576"/>
    <w:rsid w:val="00B26802"/>
    <w:rsid w:val="00B300BD"/>
    <w:rsid w:val="00B34CFB"/>
    <w:rsid w:val="00B45C7C"/>
    <w:rsid w:val="00B45F59"/>
    <w:rsid w:val="00B51009"/>
    <w:rsid w:val="00B7287D"/>
    <w:rsid w:val="00B81257"/>
    <w:rsid w:val="00B81E5B"/>
    <w:rsid w:val="00B825D0"/>
    <w:rsid w:val="00B91D15"/>
    <w:rsid w:val="00BA7548"/>
    <w:rsid w:val="00BB1F93"/>
    <w:rsid w:val="00BB3868"/>
    <w:rsid w:val="00BC22BA"/>
    <w:rsid w:val="00BC3811"/>
    <w:rsid w:val="00BC4E6D"/>
    <w:rsid w:val="00BC6CD3"/>
    <w:rsid w:val="00BD2599"/>
    <w:rsid w:val="00BE3F01"/>
    <w:rsid w:val="00BE53BD"/>
    <w:rsid w:val="00BF2C07"/>
    <w:rsid w:val="00C015EE"/>
    <w:rsid w:val="00C16D61"/>
    <w:rsid w:val="00C17451"/>
    <w:rsid w:val="00C17CE6"/>
    <w:rsid w:val="00C36904"/>
    <w:rsid w:val="00C442D1"/>
    <w:rsid w:val="00C46B6D"/>
    <w:rsid w:val="00C55D90"/>
    <w:rsid w:val="00C6724C"/>
    <w:rsid w:val="00C7779D"/>
    <w:rsid w:val="00C777F9"/>
    <w:rsid w:val="00CA0711"/>
    <w:rsid w:val="00CB5B28"/>
    <w:rsid w:val="00CB722C"/>
    <w:rsid w:val="00CC5043"/>
    <w:rsid w:val="00CD5EB7"/>
    <w:rsid w:val="00CE177A"/>
    <w:rsid w:val="00CE76AF"/>
    <w:rsid w:val="00CF2143"/>
    <w:rsid w:val="00D07FA6"/>
    <w:rsid w:val="00D13226"/>
    <w:rsid w:val="00D14DD0"/>
    <w:rsid w:val="00D32955"/>
    <w:rsid w:val="00D429CD"/>
    <w:rsid w:val="00D51B36"/>
    <w:rsid w:val="00D61F36"/>
    <w:rsid w:val="00D65C97"/>
    <w:rsid w:val="00D73291"/>
    <w:rsid w:val="00D75C70"/>
    <w:rsid w:val="00D75F39"/>
    <w:rsid w:val="00D92A66"/>
    <w:rsid w:val="00D96F03"/>
    <w:rsid w:val="00DC1A1C"/>
    <w:rsid w:val="00DC27B2"/>
    <w:rsid w:val="00DC572D"/>
    <w:rsid w:val="00DC6CE9"/>
    <w:rsid w:val="00DD0D13"/>
    <w:rsid w:val="00DD3ED2"/>
    <w:rsid w:val="00DD77C3"/>
    <w:rsid w:val="00DE4124"/>
    <w:rsid w:val="00E15316"/>
    <w:rsid w:val="00E441BE"/>
    <w:rsid w:val="00E651F4"/>
    <w:rsid w:val="00E8044D"/>
    <w:rsid w:val="00E872FD"/>
    <w:rsid w:val="00E94F75"/>
    <w:rsid w:val="00EA0919"/>
    <w:rsid w:val="00EA1BA1"/>
    <w:rsid w:val="00EA28F0"/>
    <w:rsid w:val="00EB7659"/>
    <w:rsid w:val="00EB7A95"/>
    <w:rsid w:val="00EC1B25"/>
    <w:rsid w:val="00EC3B41"/>
    <w:rsid w:val="00ED1F0D"/>
    <w:rsid w:val="00ED6D5A"/>
    <w:rsid w:val="00EE5883"/>
    <w:rsid w:val="00F015D7"/>
    <w:rsid w:val="00F0250C"/>
    <w:rsid w:val="00F02A6B"/>
    <w:rsid w:val="00F04869"/>
    <w:rsid w:val="00F15B95"/>
    <w:rsid w:val="00F37EE3"/>
    <w:rsid w:val="00F42DF9"/>
    <w:rsid w:val="00F45C38"/>
    <w:rsid w:val="00F47C63"/>
    <w:rsid w:val="00F5148F"/>
    <w:rsid w:val="00F538D7"/>
    <w:rsid w:val="00F60380"/>
    <w:rsid w:val="00F64F22"/>
    <w:rsid w:val="00F7423F"/>
    <w:rsid w:val="00F75032"/>
    <w:rsid w:val="00F87937"/>
    <w:rsid w:val="00F909C5"/>
    <w:rsid w:val="00F940D2"/>
    <w:rsid w:val="00F94E5A"/>
    <w:rsid w:val="00FA11EC"/>
    <w:rsid w:val="00FA3312"/>
    <w:rsid w:val="00FB196D"/>
    <w:rsid w:val="00FB408B"/>
    <w:rsid w:val="00FB5AE1"/>
    <w:rsid w:val="00FC2F8C"/>
    <w:rsid w:val="00FD6A43"/>
    <w:rsid w:val="00FE2B68"/>
    <w:rsid w:val="00FF2276"/>
    <w:rsid w:val="00FF3A02"/>
    <w:rsid w:val="00FF568E"/>
    <w:rsid w:val="00FF6A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1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77A"/>
  </w:style>
  <w:style w:type="paragraph" w:styleId="Header">
    <w:name w:val="header"/>
    <w:basedOn w:val="Normal"/>
    <w:link w:val="HeaderChar"/>
    <w:uiPriority w:val="99"/>
    <w:unhideWhenUsed/>
    <w:rsid w:val="00CE1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77A"/>
  </w:style>
  <w:style w:type="character" w:styleId="PageNumber">
    <w:name w:val="page number"/>
    <w:basedOn w:val="DefaultParagraphFont"/>
    <w:rsid w:val="00CE177A"/>
  </w:style>
  <w:style w:type="paragraph" w:styleId="FootnoteText">
    <w:name w:val="footnote text"/>
    <w:basedOn w:val="Normal"/>
    <w:link w:val="FootnoteTextChar1"/>
    <w:semiHidden/>
    <w:rsid w:val="00CE177A"/>
    <w:pPr>
      <w:widowControl w:val="0"/>
      <w:spacing w:after="0" w:line="240" w:lineRule="auto"/>
    </w:pPr>
    <w:rPr>
      <w:rFonts w:ascii="Times New Roman" w:eastAsia="Times New Roman" w:hAnsi="Times New Roman" w:cs="Times New Roman"/>
      <w:snapToGrid w:val="0"/>
      <w:sz w:val="20"/>
      <w:szCs w:val="20"/>
    </w:rPr>
  </w:style>
  <w:style w:type="character" w:customStyle="1" w:styleId="FootnoteTextChar">
    <w:name w:val="Footnote Text Char"/>
    <w:basedOn w:val="DefaultParagraphFont"/>
    <w:uiPriority w:val="99"/>
    <w:semiHidden/>
    <w:rsid w:val="00CE177A"/>
    <w:rPr>
      <w:sz w:val="20"/>
      <w:szCs w:val="20"/>
    </w:rPr>
  </w:style>
  <w:style w:type="character" w:styleId="FootnoteReference">
    <w:name w:val="footnote reference"/>
    <w:semiHidden/>
    <w:rsid w:val="00CE177A"/>
    <w:rPr>
      <w:vertAlign w:val="superscript"/>
    </w:rPr>
  </w:style>
  <w:style w:type="character" w:customStyle="1" w:styleId="FootnoteTextChar1">
    <w:name w:val="Footnote Text Char1"/>
    <w:link w:val="FootnoteText"/>
    <w:semiHidden/>
    <w:rsid w:val="00CE177A"/>
    <w:rPr>
      <w:rFonts w:ascii="Times New Roman" w:eastAsia="Times New Roman" w:hAnsi="Times New Roman" w:cs="Times New Roman"/>
      <w:snapToGrid w:val="0"/>
      <w:sz w:val="20"/>
      <w:szCs w:val="20"/>
    </w:rPr>
  </w:style>
  <w:style w:type="character" w:styleId="CommentReference">
    <w:name w:val="annotation reference"/>
    <w:basedOn w:val="DefaultParagraphFont"/>
    <w:uiPriority w:val="99"/>
    <w:semiHidden/>
    <w:unhideWhenUsed/>
    <w:rsid w:val="00CE177A"/>
    <w:rPr>
      <w:sz w:val="16"/>
      <w:szCs w:val="16"/>
    </w:rPr>
  </w:style>
  <w:style w:type="paragraph" w:styleId="ListParagraph">
    <w:name w:val="List Paragraph"/>
    <w:basedOn w:val="Normal"/>
    <w:uiPriority w:val="34"/>
    <w:qFormat/>
    <w:rsid w:val="00CE177A"/>
    <w:pPr>
      <w:ind w:left="720"/>
      <w:contextualSpacing/>
    </w:pPr>
  </w:style>
  <w:style w:type="paragraph" w:customStyle="1" w:styleId="Default">
    <w:name w:val="Default"/>
    <w:rsid w:val="00CE177A"/>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CE1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77A"/>
    <w:rPr>
      <w:rFonts w:ascii="Tahoma" w:hAnsi="Tahoma" w:cs="Tahoma"/>
      <w:sz w:val="16"/>
      <w:szCs w:val="16"/>
    </w:rPr>
  </w:style>
  <w:style w:type="paragraph" w:styleId="CommentText">
    <w:name w:val="annotation text"/>
    <w:basedOn w:val="Normal"/>
    <w:link w:val="CommentTextChar"/>
    <w:uiPriority w:val="99"/>
    <w:semiHidden/>
    <w:unhideWhenUsed/>
    <w:rsid w:val="004703C3"/>
    <w:pPr>
      <w:spacing w:line="240" w:lineRule="auto"/>
    </w:pPr>
    <w:rPr>
      <w:sz w:val="20"/>
      <w:szCs w:val="20"/>
    </w:rPr>
  </w:style>
  <w:style w:type="character" w:customStyle="1" w:styleId="CommentTextChar">
    <w:name w:val="Comment Text Char"/>
    <w:basedOn w:val="DefaultParagraphFont"/>
    <w:link w:val="CommentText"/>
    <w:uiPriority w:val="99"/>
    <w:semiHidden/>
    <w:rsid w:val="004703C3"/>
    <w:rPr>
      <w:sz w:val="20"/>
      <w:szCs w:val="20"/>
    </w:rPr>
  </w:style>
  <w:style w:type="paragraph" w:styleId="CommentSubject">
    <w:name w:val="annotation subject"/>
    <w:basedOn w:val="CommentText"/>
    <w:next w:val="CommentText"/>
    <w:link w:val="CommentSubjectChar"/>
    <w:uiPriority w:val="99"/>
    <w:semiHidden/>
    <w:unhideWhenUsed/>
    <w:rsid w:val="004703C3"/>
    <w:rPr>
      <w:b/>
      <w:bCs/>
    </w:rPr>
  </w:style>
  <w:style w:type="character" w:customStyle="1" w:styleId="CommentSubjectChar">
    <w:name w:val="Comment Subject Char"/>
    <w:basedOn w:val="CommentTextChar"/>
    <w:link w:val="CommentSubject"/>
    <w:uiPriority w:val="99"/>
    <w:semiHidden/>
    <w:rsid w:val="004703C3"/>
    <w:rPr>
      <w:b/>
      <w:bCs/>
      <w:sz w:val="20"/>
      <w:szCs w:val="20"/>
    </w:rPr>
  </w:style>
  <w:style w:type="character" w:styleId="Hyperlink">
    <w:name w:val="Hyperlink"/>
    <w:basedOn w:val="DefaultParagraphFont"/>
    <w:uiPriority w:val="99"/>
    <w:unhideWhenUsed/>
    <w:rsid w:val="00C777F9"/>
    <w:rPr>
      <w:color w:val="0000FF" w:themeColor="hyperlink"/>
      <w:u w:val="single"/>
    </w:rPr>
  </w:style>
  <w:style w:type="paragraph" w:styleId="Revision">
    <w:name w:val="Revision"/>
    <w:hidden/>
    <w:uiPriority w:val="99"/>
    <w:semiHidden/>
    <w:rsid w:val="00AC64B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1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77A"/>
  </w:style>
  <w:style w:type="paragraph" w:styleId="Header">
    <w:name w:val="header"/>
    <w:basedOn w:val="Normal"/>
    <w:link w:val="HeaderChar"/>
    <w:uiPriority w:val="99"/>
    <w:unhideWhenUsed/>
    <w:rsid w:val="00CE1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77A"/>
  </w:style>
  <w:style w:type="character" w:styleId="PageNumber">
    <w:name w:val="page number"/>
    <w:basedOn w:val="DefaultParagraphFont"/>
    <w:rsid w:val="00CE177A"/>
  </w:style>
  <w:style w:type="paragraph" w:styleId="FootnoteText">
    <w:name w:val="footnote text"/>
    <w:basedOn w:val="Normal"/>
    <w:link w:val="FootnoteTextChar1"/>
    <w:semiHidden/>
    <w:rsid w:val="00CE177A"/>
    <w:pPr>
      <w:widowControl w:val="0"/>
      <w:spacing w:after="0" w:line="240" w:lineRule="auto"/>
    </w:pPr>
    <w:rPr>
      <w:rFonts w:ascii="Times New Roman" w:eastAsia="Times New Roman" w:hAnsi="Times New Roman" w:cs="Times New Roman"/>
      <w:snapToGrid w:val="0"/>
      <w:sz w:val="20"/>
      <w:szCs w:val="20"/>
    </w:rPr>
  </w:style>
  <w:style w:type="character" w:customStyle="1" w:styleId="FootnoteTextChar">
    <w:name w:val="Footnote Text Char"/>
    <w:basedOn w:val="DefaultParagraphFont"/>
    <w:uiPriority w:val="99"/>
    <w:semiHidden/>
    <w:rsid w:val="00CE177A"/>
    <w:rPr>
      <w:sz w:val="20"/>
      <w:szCs w:val="20"/>
    </w:rPr>
  </w:style>
  <w:style w:type="character" w:styleId="FootnoteReference">
    <w:name w:val="footnote reference"/>
    <w:semiHidden/>
    <w:rsid w:val="00CE177A"/>
    <w:rPr>
      <w:vertAlign w:val="superscript"/>
    </w:rPr>
  </w:style>
  <w:style w:type="character" w:customStyle="1" w:styleId="FootnoteTextChar1">
    <w:name w:val="Footnote Text Char1"/>
    <w:link w:val="FootnoteText"/>
    <w:semiHidden/>
    <w:rsid w:val="00CE177A"/>
    <w:rPr>
      <w:rFonts w:ascii="Times New Roman" w:eastAsia="Times New Roman" w:hAnsi="Times New Roman" w:cs="Times New Roman"/>
      <w:snapToGrid w:val="0"/>
      <w:sz w:val="20"/>
      <w:szCs w:val="20"/>
    </w:rPr>
  </w:style>
  <w:style w:type="character" w:styleId="CommentReference">
    <w:name w:val="annotation reference"/>
    <w:basedOn w:val="DefaultParagraphFont"/>
    <w:uiPriority w:val="99"/>
    <w:semiHidden/>
    <w:unhideWhenUsed/>
    <w:rsid w:val="00CE177A"/>
    <w:rPr>
      <w:sz w:val="16"/>
      <w:szCs w:val="16"/>
    </w:rPr>
  </w:style>
  <w:style w:type="paragraph" w:styleId="ListParagraph">
    <w:name w:val="List Paragraph"/>
    <w:basedOn w:val="Normal"/>
    <w:uiPriority w:val="34"/>
    <w:qFormat/>
    <w:rsid w:val="00CE177A"/>
    <w:pPr>
      <w:ind w:left="720"/>
      <w:contextualSpacing/>
    </w:pPr>
  </w:style>
  <w:style w:type="paragraph" w:customStyle="1" w:styleId="Default">
    <w:name w:val="Default"/>
    <w:rsid w:val="00CE177A"/>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CE1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77A"/>
    <w:rPr>
      <w:rFonts w:ascii="Tahoma" w:hAnsi="Tahoma" w:cs="Tahoma"/>
      <w:sz w:val="16"/>
      <w:szCs w:val="16"/>
    </w:rPr>
  </w:style>
  <w:style w:type="paragraph" w:styleId="CommentText">
    <w:name w:val="annotation text"/>
    <w:basedOn w:val="Normal"/>
    <w:link w:val="CommentTextChar"/>
    <w:uiPriority w:val="99"/>
    <w:semiHidden/>
    <w:unhideWhenUsed/>
    <w:rsid w:val="004703C3"/>
    <w:pPr>
      <w:spacing w:line="240" w:lineRule="auto"/>
    </w:pPr>
    <w:rPr>
      <w:sz w:val="20"/>
      <w:szCs w:val="20"/>
    </w:rPr>
  </w:style>
  <w:style w:type="character" w:customStyle="1" w:styleId="CommentTextChar">
    <w:name w:val="Comment Text Char"/>
    <w:basedOn w:val="DefaultParagraphFont"/>
    <w:link w:val="CommentText"/>
    <w:uiPriority w:val="99"/>
    <w:semiHidden/>
    <w:rsid w:val="004703C3"/>
    <w:rPr>
      <w:sz w:val="20"/>
      <w:szCs w:val="20"/>
    </w:rPr>
  </w:style>
  <w:style w:type="paragraph" w:styleId="CommentSubject">
    <w:name w:val="annotation subject"/>
    <w:basedOn w:val="CommentText"/>
    <w:next w:val="CommentText"/>
    <w:link w:val="CommentSubjectChar"/>
    <w:uiPriority w:val="99"/>
    <w:semiHidden/>
    <w:unhideWhenUsed/>
    <w:rsid w:val="004703C3"/>
    <w:rPr>
      <w:b/>
      <w:bCs/>
    </w:rPr>
  </w:style>
  <w:style w:type="character" w:customStyle="1" w:styleId="CommentSubjectChar">
    <w:name w:val="Comment Subject Char"/>
    <w:basedOn w:val="CommentTextChar"/>
    <w:link w:val="CommentSubject"/>
    <w:uiPriority w:val="99"/>
    <w:semiHidden/>
    <w:rsid w:val="004703C3"/>
    <w:rPr>
      <w:b/>
      <w:bCs/>
      <w:sz w:val="20"/>
      <w:szCs w:val="20"/>
    </w:rPr>
  </w:style>
  <w:style w:type="character" w:styleId="Hyperlink">
    <w:name w:val="Hyperlink"/>
    <w:basedOn w:val="DefaultParagraphFont"/>
    <w:uiPriority w:val="99"/>
    <w:unhideWhenUsed/>
    <w:rsid w:val="00C777F9"/>
    <w:rPr>
      <w:color w:val="0000FF" w:themeColor="hyperlink"/>
      <w:u w:val="single"/>
    </w:rPr>
  </w:style>
  <w:style w:type="paragraph" w:styleId="Revision">
    <w:name w:val="Revision"/>
    <w:hidden/>
    <w:uiPriority w:val="99"/>
    <w:semiHidden/>
    <w:rsid w:val="00AC64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097205">
      <w:bodyDiv w:val="1"/>
      <w:marLeft w:val="0"/>
      <w:marRight w:val="0"/>
      <w:marTop w:val="0"/>
      <w:marBottom w:val="0"/>
      <w:divBdr>
        <w:top w:val="none" w:sz="0" w:space="0" w:color="auto"/>
        <w:left w:val="none" w:sz="0" w:space="0" w:color="auto"/>
        <w:bottom w:val="none" w:sz="0" w:space="0" w:color="auto"/>
        <w:right w:val="none" w:sz="0" w:space="0" w:color="auto"/>
      </w:divBdr>
    </w:div>
    <w:div w:id="1019820705">
      <w:bodyDiv w:val="1"/>
      <w:marLeft w:val="0"/>
      <w:marRight w:val="0"/>
      <w:marTop w:val="0"/>
      <w:marBottom w:val="0"/>
      <w:divBdr>
        <w:top w:val="none" w:sz="0" w:space="0" w:color="auto"/>
        <w:left w:val="none" w:sz="0" w:space="0" w:color="auto"/>
        <w:bottom w:val="none" w:sz="0" w:space="0" w:color="auto"/>
        <w:right w:val="none" w:sz="0" w:space="0" w:color="auto"/>
      </w:divBdr>
    </w:div>
    <w:div w:id="1683780784">
      <w:bodyDiv w:val="1"/>
      <w:marLeft w:val="0"/>
      <w:marRight w:val="0"/>
      <w:marTop w:val="0"/>
      <w:marBottom w:val="0"/>
      <w:divBdr>
        <w:top w:val="none" w:sz="0" w:space="0" w:color="auto"/>
        <w:left w:val="none" w:sz="0" w:space="0" w:color="auto"/>
        <w:bottom w:val="none" w:sz="0" w:space="0" w:color="auto"/>
        <w:right w:val="none" w:sz="0" w:space="0" w:color="auto"/>
      </w:divBdr>
    </w:div>
    <w:div w:id="1888949020">
      <w:bodyDiv w:val="1"/>
      <w:marLeft w:val="0"/>
      <w:marRight w:val="0"/>
      <w:marTop w:val="0"/>
      <w:marBottom w:val="0"/>
      <w:divBdr>
        <w:top w:val="none" w:sz="0" w:space="0" w:color="auto"/>
        <w:left w:val="none" w:sz="0" w:space="0" w:color="auto"/>
        <w:bottom w:val="none" w:sz="0" w:space="0" w:color="auto"/>
        <w:right w:val="none" w:sz="0" w:space="0" w:color="auto"/>
      </w:divBdr>
    </w:div>
    <w:div w:id="2051761395">
      <w:bodyDiv w:val="1"/>
      <w:marLeft w:val="0"/>
      <w:marRight w:val="0"/>
      <w:marTop w:val="0"/>
      <w:marBottom w:val="0"/>
      <w:divBdr>
        <w:top w:val="none" w:sz="0" w:space="0" w:color="auto"/>
        <w:left w:val="none" w:sz="0" w:space="0" w:color="auto"/>
        <w:bottom w:val="none" w:sz="0" w:space="0" w:color="auto"/>
        <w:right w:val="none" w:sz="0" w:space="0" w:color="auto"/>
      </w:divBdr>
      <w:divsChild>
        <w:div w:id="688992899">
          <w:marLeft w:val="0"/>
          <w:marRight w:val="0"/>
          <w:marTop w:val="0"/>
          <w:marBottom w:val="0"/>
          <w:divBdr>
            <w:top w:val="none" w:sz="0" w:space="0" w:color="auto"/>
            <w:left w:val="none" w:sz="0" w:space="0" w:color="auto"/>
            <w:bottom w:val="none" w:sz="0" w:space="0" w:color="auto"/>
            <w:right w:val="none" w:sz="0" w:space="0" w:color="auto"/>
          </w:divBdr>
        </w:div>
        <w:div w:id="1379432070">
          <w:marLeft w:val="0"/>
          <w:marRight w:val="0"/>
          <w:marTop w:val="0"/>
          <w:marBottom w:val="0"/>
          <w:divBdr>
            <w:top w:val="none" w:sz="0" w:space="0" w:color="auto"/>
            <w:left w:val="none" w:sz="0" w:space="0" w:color="auto"/>
            <w:bottom w:val="none" w:sz="0" w:space="0" w:color="auto"/>
            <w:right w:val="none" w:sz="0" w:space="0" w:color="auto"/>
          </w:divBdr>
        </w:div>
        <w:div w:id="446582022">
          <w:marLeft w:val="0"/>
          <w:marRight w:val="0"/>
          <w:marTop w:val="0"/>
          <w:marBottom w:val="0"/>
          <w:divBdr>
            <w:top w:val="none" w:sz="0" w:space="0" w:color="auto"/>
            <w:left w:val="none" w:sz="0" w:space="0" w:color="auto"/>
            <w:bottom w:val="none" w:sz="0" w:space="0" w:color="auto"/>
            <w:right w:val="none" w:sz="0" w:space="0" w:color="auto"/>
          </w:divBdr>
        </w:div>
        <w:div w:id="1869757602">
          <w:marLeft w:val="0"/>
          <w:marRight w:val="0"/>
          <w:marTop w:val="0"/>
          <w:marBottom w:val="0"/>
          <w:divBdr>
            <w:top w:val="none" w:sz="0" w:space="0" w:color="auto"/>
            <w:left w:val="none" w:sz="0" w:space="0" w:color="auto"/>
            <w:bottom w:val="none" w:sz="0" w:space="0" w:color="auto"/>
            <w:right w:val="none" w:sz="0" w:space="0" w:color="auto"/>
          </w:divBdr>
        </w:div>
        <w:div w:id="537739949">
          <w:marLeft w:val="0"/>
          <w:marRight w:val="0"/>
          <w:marTop w:val="0"/>
          <w:marBottom w:val="0"/>
          <w:divBdr>
            <w:top w:val="none" w:sz="0" w:space="0" w:color="auto"/>
            <w:left w:val="none" w:sz="0" w:space="0" w:color="auto"/>
            <w:bottom w:val="none" w:sz="0" w:space="0" w:color="auto"/>
            <w:right w:val="none" w:sz="0" w:space="0" w:color="auto"/>
          </w:divBdr>
        </w:div>
      </w:divsChild>
    </w:div>
    <w:div w:id="2145654380">
      <w:bodyDiv w:val="1"/>
      <w:marLeft w:val="0"/>
      <w:marRight w:val="0"/>
      <w:marTop w:val="0"/>
      <w:marBottom w:val="0"/>
      <w:divBdr>
        <w:top w:val="none" w:sz="0" w:space="0" w:color="auto"/>
        <w:left w:val="none" w:sz="0" w:space="0" w:color="auto"/>
        <w:bottom w:val="none" w:sz="0" w:space="0" w:color="auto"/>
        <w:right w:val="none" w:sz="0" w:space="0" w:color="auto"/>
      </w:divBdr>
      <w:divsChild>
        <w:div w:id="601112101">
          <w:marLeft w:val="0"/>
          <w:marRight w:val="0"/>
          <w:marTop w:val="0"/>
          <w:marBottom w:val="0"/>
          <w:divBdr>
            <w:top w:val="none" w:sz="0" w:space="0" w:color="auto"/>
            <w:left w:val="none" w:sz="0" w:space="0" w:color="auto"/>
            <w:bottom w:val="none" w:sz="0" w:space="0" w:color="auto"/>
            <w:right w:val="none" w:sz="0" w:space="0" w:color="auto"/>
          </w:divBdr>
        </w:div>
        <w:div w:id="503521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mailto:Kirsten.Walli@ontarioenergyboard.ca"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CDFC2-FB95-43D8-813E-136853527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2298</Words>
  <Characters>13101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Georgette Vlahos</dc:creator>
  <cp:lastModifiedBy>Katherine Wang</cp:lastModifiedBy>
  <cp:revision>11</cp:revision>
  <cp:lastPrinted>2016-11-09T20:32:00Z</cp:lastPrinted>
  <dcterms:created xsi:type="dcterms:W3CDTF">2016-11-09T20:16:00Z</dcterms:created>
  <dcterms:modified xsi:type="dcterms:W3CDTF">2016-11-09T21:23:00Z</dcterms:modified>
</cp:coreProperties>
</file>