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E9A" w:rsidRDefault="006F6975" w:rsidP="006350F2">
      <w:pPr>
        <w:jc w:val="center"/>
        <w:rPr>
          <w:rFonts w:ascii="Arial" w:hAnsi="Arial" w:cs="Arial"/>
          <w:b/>
          <w:sz w:val="24"/>
          <w:szCs w:val="24"/>
        </w:rPr>
      </w:pPr>
      <w:bookmarkStart w:id="0" w:name="_GoBack"/>
      <w:bookmarkEnd w:id="0"/>
      <w:r>
        <w:rPr>
          <w:rFonts w:ascii="Arial" w:hAnsi="Arial" w:cs="Arial"/>
          <w:b/>
          <w:sz w:val="24"/>
          <w:szCs w:val="24"/>
        </w:rPr>
        <w:t>Orillia</w:t>
      </w:r>
      <w:r w:rsidR="00D35384">
        <w:rPr>
          <w:rFonts w:ascii="Arial" w:hAnsi="Arial" w:cs="Arial"/>
          <w:b/>
          <w:sz w:val="24"/>
          <w:szCs w:val="24"/>
        </w:rPr>
        <w:t xml:space="preserve"> </w:t>
      </w:r>
      <w:r w:rsidR="00C27A98">
        <w:rPr>
          <w:rFonts w:ascii="Arial" w:hAnsi="Arial" w:cs="Arial"/>
          <w:b/>
          <w:sz w:val="24"/>
          <w:szCs w:val="24"/>
        </w:rPr>
        <w:t>Power Distribution Corporation (</w:t>
      </w:r>
      <w:r>
        <w:rPr>
          <w:rFonts w:ascii="Arial" w:hAnsi="Arial" w:cs="Arial"/>
          <w:b/>
          <w:sz w:val="24"/>
          <w:szCs w:val="24"/>
        </w:rPr>
        <w:t>Orillia</w:t>
      </w:r>
      <w:r w:rsidR="00802971">
        <w:rPr>
          <w:rFonts w:ascii="Arial" w:hAnsi="Arial" w:cs="Arial"/>
          <w:b/>
          <w:sz w:val="24"/>
          <w:szCs w:val="24"/>
        </w:rPr>
        <w:t>)</w:t>
      </w:r>
    </w:p>
    <w:p w:rsidR="00746080" w:rsidRPr="00EC7A4C" w:rsidRDefault="004313B7" w:rsidP="006350F2">
      <w:pPr>
        <w:jc w:val="center"/>
        <w:rPr>
          <w:rFonts w:ascii="Arial" w:hAnsi="Arial" w:cs="Arial"/>
          <w:b/>
          <w:sz w:val="24"/>
          <w:szCs w:val="24"/>
        </w:rPr>
      </w:pPr>
      <w:r>
        <w:rPr>
          <w:rFonts w:ascii="Arial" w:hAnsi="Arial" w:cs="Arial"/>
          <w:b/>
          <w:sz w:val="24"/>
          <w:szCs w:val="24"/>
        </w:rPr>
        <w:t>EB-2016-0321</w:t>
      </w:r>
    </w:p>
    <w:p w:rsidR="004D18DD" w:rsidRDefault="004E6FF4" w:rsidP="006350F2">
      <w:pPr>
        <w:jc w:val="center"/>
        <w:rPr>
          <w:rFonts w:ascii="Arial" w:hAnsi="Arial" w:cs="Arial"/>
          <w:b/>
          <w:sz w:val="24"/>
          <w:szCs w:val="24"/>
        </w:rPr>
      </w:pPr>
      <w:r>
        <w:rPr>
          <w:rFonts w:ascii="Arial" w:hAnsi="Arial" w:cs="Arial"/>
          <w:b/>
          <w:sz w:val="24"/>
          <w:szCs w:val="24"/>
        </w:rPr>
        <w:t>Response to Board Staff Questions</w:t>
      </w:r>
    </w:p>
    <w:p w:rsidR="009C45F9" w:rsidRPr="009F152E" w:rsidRDefault="009C45F9" w:rsidP="009C45F9">
      <w:pPr>
        <w:rPr>
          <w:rFonts w:ascii="Arial" w:hAnsi="Arial" w:cs="Arial"/>
          <w:b/>
          <w:sz w:val="24"/>
          <w:szCs w:val="24"/>
        </w:rPr>
      </w:pPr>
      <w:r w:rsidRPr="009F152E">
        <w:rPr>
          <w:rFonts w:ascii="Arial" w:hAnsi="Arial" w:cs="Arial"/>
          <w:b/>
          <w:sz w:val="24"/>
          <w:szCs w:val="24"/>
        </w:rPr>
        <w:t>Interrogatory #1</w:t>
      </w:r>
    </w:p>
    <w:p w:rsidR="00DB146D" w:rsidRDefault="00DB146D" w:rsidP="00DB146D">
      <w:pPr>
        <w:rPr>
          <w:rFonts w:ascii="Arial" w:hAnsi="Arial" w:cs="Arial"/>
          <w:sz w:val="24"/>
          <w:szCs w:val="24"/>
          <w:u w:val="single"/>
        </w:rPr>
      </w:pPr>
      <w:r w:rsidRPr="009F152E">
        <w:rPr>
          <w:rFonts w:ascii="Arial" w:hAnsi="Arial" w:cs="Arial"/>
          <w:sz w:val="24"/>
          <w:szCs w:val="24"/>
          <w:u w:val="single"/>
        </w:rPr>
        <w:t xml:space="preserve">Ref:  </w:t>
      </w:r>
    </w:p>
    <w:p w:rsidR="00DB146D" w:rsidRPr="009F152E" w:rsidRDefault="00DB146D" w:rsidP="00DB146D">
      <w:pPr>
        <w:rPr>
          <w:rFonts w:ascii="Arial" w:hAnsi="Arial" w:cs="Arial"/>
          <w:sz w:val="24"/>
          <w:szCs w:val="24"/>
        </w:rPr>
      </w:pPr>
      <w:r>
        <w:rPr>
          <w:rFonts w:ascii="Arial" w:hAnsi="Arial" w:cs="Arial"/>
          <w:sz w:val="24"/>
          <w:szCs w:val="24"/>
        </w:rPr>
        <w:t xml:space="preserve">D16-12494 </w:t>
      </w:r>
      <w:r w:rsidRPr="009F152E">
        <w:rPr>
          <w:rFonts w:ascii="Arial" w:hAnsi="Arial" w:cs="Arial"/>
          <w:sz w:val="24"/>
          <w:szCs w:val="24"/>
        </w:rPr>
        <w:t>Orillia_APPL_2017 IRM_2016</w:t>
      </w:r>
      <w:r>
        <w:rPr>
          <w:rFonts w:ascii="Arial" w:hAnsi="Arial" w:cs="Arial"/>
          <w:sz w:val="24"/>
          <w:szCs w:val="24"/>
        </w:rPr>
        <w:t>1114</w:t>
      </w:r>
      <w:r w:rsidRPr="009F152E">
        <w:rPr>
          <w:rFonts w:ascii="Arial" w:hAnsi="Arial" w:cs="Arial"/>
          <w:sz w:val="24"/>
          <w:szCs w:val="24"/>
        </w:rPr>
        <w:t xml:space="preserve">, </w:t>
      </w:r>
      <w:r>
        <w:rPr>
          <w:rFonts w:ascii="Arial" w:hAnsi="Arial" w:cs="Arial"/>
          <w:sz w:val="24"/>
          <w:szCs w:val="24"/>
        </w:rPr>
        <w:t>Revised Application, Page 20 of 26</w:t>
      </w:r>
    </w:p>
    <w:p w:rsidR="00DB146D" w:rsidRPr="009F152E" w:rsidRDefault="00DB146D" w:rsidP="00DB146D">
      <w:pPr>
        <w:rPr>
          <w:rFonts w:ascii="Arial" w:hAnsi="Arial" w:cs="Arial"/>
          <w:sz w:val="24"/>
          <w:szCs w:val="24"/>
        </w:rPr>
      </w:pPr>
      <w:r w:rsidRPr="002C54A6">
        <w:rPr>
          <w:rFonts w:ascii="Arial" w:hAnsi="Arial" w:cs="Arial"/>
          <w:sz w:val="24"/>
          <w:szCs w:val="24"/>
        </w:rPr>
        <w:t>EB-2009-0273</w:t>
      </w:r>
      <w:r>
        <w:rPr>
          <w:rFonts w:ascii="Arial" w:hAnsi="Arial" w:cs="Arial"/>
          <w:sz w:val="24"/>
          <w:szCs w:val="24"/>
        </w:rPr>
        <w:t>, Settlement Proposal</w:t>
      </w:r>
    </w:p>
    <w:p w:rsidR="00DB146D" w:rsidRPr="00C7169F" w:rsidRDefault="00DB146D" w:rsidP="00DB146D">
      <w:pPr>
        <w:rPr>
          <w:rFonts w:ascii="Arial" w:hAnsi="Arial" w:cs="Arial"/>
          <w:sz w:val="24"/>
          <w:szCs w:val="24"/>
          <w:u w:val="single"/>
        </w:rPr>
      </w:pPr>
      <w:r w:rsidRPr="00C7169F">
        <w:rPr>
          <w:rFonts w:ascii="Arial" w:hAnsi="Arial" w:cs="Arial"/>
          <w:sz w:val="24"/>
          <w:szCs w:val="24"/>
          <w:u w:val="single"/>
        </w:rPr>
        <w:t>Question:</w:t>
      </w:r>
    </w:p>
    <w:p w:rsidR="00DB146D" w:rsidRDefault="00DB146D" w:rsidP="00DB146D">
      <w:pPr>
        <w:rPr>
          <w:rFonts w:ascii="Arial" w:hAnsi="Arial" w:cs="Arial"/>
          <w:sz w:val="24"/>
          <w:szCs w:val="24"/>
        </w:rPr>
      </w:pPr>
      <w:r w:rsidRPr="002C54A6">
        <w:rPr>
          <w:rFonts w:ascii="Arial" w:hAnsi="Arial" w:cs="Arial"/>
          <w:sz w:val="24"/>
          <w:szCs w:val="24"/>
        </w:rPr>
        <w:t>Orillia has indicated that its 2010 load forecast was not adjusted to account for CDM impacts.  However, in the Settlement Proposal in EB-2009-0273</w:t>
      </w:r>
      <w:r>
        <w:rPr>
          <w:rFonts w:ascii="Arial" w:hAnsi="Arial" w:cs="Arial"/>
          <w:sz w:val="24"/>
          <w:szCs w:val="24"/>
        </w:rPr>
        <w:t xml:space="preserve"> (S</w:t>
      </w:r>
      <w:r w:rsidRPr="002C54A6">
        <w:rPr>
          <w:rFonts w:ascii="Arial" w:hAnsi="Arial" w:cs="Arial"/>
          <w:sz w:val="24"/>
          <w:szCs w:val="24"/>
        </w:rPr>
        <w:t>ection 3 Operating Revenue</w:t>
      </w:r>
      <w:r>
        <w:rPr>
          <w:rFonts w:ascii="Arial" w:hAnsi="Arial" w:cs="Arial"/>
          <w:sz w:val="24"/>
          <w:szCs w:val="24"/>
        </w:rPr>
        <w:t>,</w:t>
      </w:r>
      <w:r w:rsidRPr="009F152E">
        <w:rPr>
          <w:rFonts w:ascii="Arial" w:hAnsi="Arial" w:cs="Arial"/>
          <w:sz w:val="24"/>
          <w:szCs w:val="24"/>
        </w:rPr>
        <w:t xml:space="preserve"> </w:t>
      </w:r>
      <w:r w:rsidRPr="002C54A6">
        <w:rPr>
          <w:rFonts w:ascii="Arial" w:hAnsi="Arial" w:cs="Arial"/>
          <w:sz w:val="24"/>
          <w:szCs w:val="24"/>
        </w:rPr>
        <w:t>page 15 of 38</w:t>
      </w:r>
      <w:r>
        <w:rPr>
          <w:rFonts w:ascii="Arial" w:hAnsi="Arial" w:cs="Arial"/>
          <w:sz w:val="24"/>
          <w:szCs w:val="24"/>
        </w:rPr>
        <w:t>)</w:t>
      </w:r>
      <w:r w:rsidRPr="002C54A6">
        <w:rPr>
          <w:rFonts w:ascii="Arial" w:hAnsi="Arial" w:cs="Arial"/>
          <w:sz w:val="24"/>
          <w:szCs w:val="24"/>
        </w:rPr>
        <w:t xml:space="preserve">, it states “the parties agree to an updated load forecast including the impacts of conservation and demand management”.  </w:t>
      </w:r>
    </w:p>
    <w:p w:rsidR="00DB146D" w:rsidRPr="002C54A6" w:rsidRDefault="00DB146D" w:rsidP="00DB146D">
      <w:pPr>
        <w:rPr>
          <w:rFonts w:ascii="Arial" w:hAnsi="Arial" w:cs="Arial"/>
          <w:sz w:val="24"/>
          <w:szCs w:val="24"/>
        </w:rPr>
      </w:pPr>
      <w:r w:rsidRPr="002C54A6">
        <w:rPr>
          <w:rFonts w:ascii="Arial" w:hAnsi="Arial" w:cs="Arial"/>
          <w:sz w:val="24"/>
          <w:szCs w:val="24"/>
        </w:rPr>
        <w:t>Please reconcile these two conflicting statements and provide the reference that supports the statement that Orillia’s 2010 load forecast was not adjusted for CDM impacts.</w:t>
      </w:r>
    </w:p>
    <w:p w:rsidR="00DB146D" w:rsidRDefault="00DB146D" w:rsidP="00DB146D">
      <w:pPr>
        <w:rPr>
          <w:rFonts w:ascii="Arial" w:hAnsi="Arial" w:cs="Arial"/>
          <w:sz w:val="24"/>
          <w:szCs w:val="24"/>
        </w:rPr>
      </w:pPr>
    </w:p>
    <w:p w:rsidR="00547726" w:rsidRPr="0049610F" w:rsidRDefault="00547726" w:rsidP="00DB146D">
      <w:pPr>
        <w:rPr>
          <w:rFonts w:ascii="Arial" w:hAnsi="Arial" w:cs="Arial"/>
          <w:sz w:val="24"/>
          <w:szCs w:val="24"/>
          <w:u w:val="single"/>
        </w:rPr>
      </w:pPr>
      <w:r w:rsidRPr="0049610F">
        <w:rPr>
          <w:rFonts w:ascii="Arial" w:hAnsi="Arial" w:cs="Arial"/>
          <w:sz w:val="24"/>
          <w:szCs w:val="24"/>
          <w:u w:val="single"/>
        </w:rPr>
        <w:t>Reply:</w:t>
      </w:r>
    </w:p>
    <w:p w:rsidR="002D36D2" w:rsidRDefault="006E56B4" w:rsidP="00FB0CE2">
      <w:pPr>
        <w:rPr>
          <w:rFonts w:ascii="Arial" w:hAnsi="Arial" w:cs="Arial"/>
          <w:sz w:val="24"/>
          <w:szCs w:val="24"/>
        </w:rPr>
      </w:pPr>
      <w:r>
        <w:rPr>
          <w:rFonts w:ascii="Arial" w:hAnsi="Arial" w:cs="Arial"/>
          <w:sz w:val="24"/>
          <w:szCs w:val="24"/>
        </w:rPr>
        <w:t xml:space="preserve">Orillia did not indicate that its </w:t>
      </w:r>
      <w:r w:rsidRPr="002C54A6">
        <w:rPr>
          <w:rFonts w:ascii="Arial" w:hAnsi="Arial" w:cs="Arial"/>
          <w:sz w:val="24"/>
          <w:szCs w:val="24"/>
        </w:rPr>
        <w:t>2010 load forecast was not adjusted to account for CDM impacts.</w:t>
      </w:r>
      <w:r>
        <w:rPr>
          <w:rFonts w:ascii="Arial" w:hAnsi="Arial" w:cs="Arial"/>
          <w:sz w:val="24"/>
          <w:szCs w:val="24"/>
        </w:rPr>
        <w:t xml:space="preserve">  In fact, </w:t>
      </w:r>
      <w:r w:rsidR="006372C2">
        <w:rPr>
          <w:rFonts w:ascii="Arial" w:hAnsi="Arial" w:cs="Arial"/>
          <w:sz w:val="24"/>
          <w:szCs w:val="24"/>
        </w:rPr>
        <w:t>Orillia</w:t>
      </w:r>
      <w:r w:rsidR="00A609FA">
        <w:rPr>
          <w:rFonts w:ascii="Arial" w:hAnsi="Arial" w:cs="Arial"/>
          <w:sz w:val="24"/>
          <w:szCs w:val="24"/>
        </w:rPr>
        <w:t>’s</w:t>
      </w:r>
      <w:r w:rsidR="006372C2">
        <w:rPr>
          <w:rFonts w:ascii="Arial" w:hAnsi="Arial" w:cs="Arial"/>
          <w:sz w:val="24"/>
          <w:szCs w:val="24"/>
        </w:rPr>
        <w:t xml:space="preserve"> 2010 load forecast was adjusted to account for CDM impacts</w:t>
      </w:r>
      <w:r w:rsidR="00A02870">
        <w:rPr>
          <w:rFonts w:ascii="Arial" w:hAnsi="Arial" w:cs="Arial"/>
          <w:sz w:val="24"/>
          <w:szCs w:val="24"/>
        </w:rPr>
        <w:t xml:space="preserve"> of 2005</w:t>
      </w:r>
      <w:r w:rsidR="00A609FA">
        <w:rPr>
          <w:rFonts w:ascii="Arial" w:hAnsi="Arial" w:cs="Arial"/>
          <w:sz w:val="24"/>
          <w:szCs w:val="24"/>
        </w:rPr>
        <w:t>-</w:t>
      </w:r>
      <w:r w:rsidR="00A02870">
        <w:rPr>
          <w:rFonts w:ascii="Arial" w:hAnsi="Arial" w:cs="Arial"/>
          <w:sz w:val="24"/>
          <w:szCs w:val="24"/>
        </w:rPr>
        <w:t>2010 CDM programs</w:t>
      </w:r>
      <w:r w:rsidR="007B122E">
        <w:rPr>
          <w:rFonts w:ascii="Arial" w:hAnsi="Arial" w:cs="Arial"/>
          <w:sz w:val="24"/>
          <w:szCs w:val="24"/>
        </w:rPr>
        <w:t>.  Please note that t</w:t>
      </w:r>
      <w:r w:rsidR="00A609FA">
        <w:rPr>
          <w:rFonts w:ascii="Arial" w:hAnsi="Arial" w:cs="Arial"/>
          <w:sz w:val="24"/>
          <w:szCs w:val="24"/>
        </w:rPr>
        <w:t xml:space="preserve">he </w:t>
      </w:r>
      <w:r w:rsidR="007B122E">
        <w:rPr>
          <w:rFonts w:ascii="Arial" w:hAnsi="Arial" w:cs="Arial"/>
          <w:sz w:val="24"/>
          <w:szCs w:val="24"/>
        </w:rPr>
        <w:t>Revised</w:t>
      </w:r>
      <w:r w:rsidR="00A609FA">
        <w:rPr>
          <w:rFonts w:ascii="Arial" w:hAnsi="Arial" w:cs="Arial"/>
          <w:sz w:val="24"/>
          <w:szCs w:val="24"/>
        </w:rPr>
        <w:t xml:space="preserve"> Application</w:t>
      </w:r>
      <w:r w:rsidR="007B122E">
        <w:rPr>
          <w:rFonts w:ascii="Arial" w:hAnsi="Arial" w:cs="Arial"/>
          <w:sz w:val="24"/>
          <w:szCs w:val="24"/>
        </w:rPr>
        <w:t>,</w:t>
      </w:r>
      <w:r w:rsidR="00FB0CE2">
        <w:rPr>
          <w:rFonts w:ascii="Arial" w:hAnsi="Arial" w:cs="Arial"/>
          <w:sz w:val="24"/>
          <w:szCs w:val="24"/>
        </w:rPr>
        <w:t xml:space="preserve"> </w:t>
      </w:r>
      <w:r w:rsidR="007B122E">
        <w:rPr>
          <w:rFonts w:ascii="Arial" w:hAnsi="Arial" w:cs="Arial"/>
          <w:sz w:val="24"/>
          <w:szCs w:val="24"/>
        </w:rPr>
        <w:t xml:space="preserve">Page 20 of 26 </w:t>
      </w:r>
      <w:r w:rsidR="00FB0CE2">
        <w:rPr>
          <w:rFonts w:ascii="Arial" w:hAnsi="Arial" w:cs="Arial"/>
          <w:sz w:val="24"/>
          <w:szCs w:val="24"/>
        </w:rPr>
        <w:t xml:space="preserve">states, </w:t>
      </w:r>
    </w:p>
    <w:p w:rsidR="00FB0CE2" w:rsidRDefault="00FB0CE2" w:rsidP="0089044C">
      <w:pPr>
        <w:ind w:left="284"/>
        <w:rPr>
          <w:rFonts w:ascii="Arial" w:hAnsi="Arial" w:cs="Arial"/>
          <w:sz w:val="24"/>
          <w:szCs w:val="24"/>
        </w:rPr>
      </w:pPr>
      <w:r w:rsidRPr="00172223">
        <w:rPr>
          <w:rFonts w:ascii="Arial" w:hAnsi="Arial" w:cs="Arial"/>
          <w:i/>
          <w:sz w:val="24"/>
          <w:szCs w:val="24"/>
        </w:rPr>
        <w:t>“Orillia Power’s 2010 approved load forecast did not include any CDM on account of IESO 2011-2015 CDM programs. Orillia Power has not submitted a claim for lost revenues from the 2011-2015 CDM programs in any previous rate applications.”</w:t>
      </w:r>
      <w:r w:rsidR="00A609FA">
        <w:rPr>
          <w:rFonts w:ascii="Arial" w:hAnsi="Arial" w:cs="Arial"/>
          <w:i/>
          <w:sz w:val="24"/>
          <w:szCs w:val="24"/>
        </w:rPr>
        <w:t xml:space="preserve"> </w:t>
      </w:r>
    </w:p>
    <w:p w:rsidR="006C0542" w:rsidRDefault="00006F07" w:rsidP="00781C72">
      <w:pPr>
        <w:autoSpaceDE w:val="0"/>
        <w:autoSpaceDN w:val="0"/>
        <w:adjustRightInd w:val="0"/>
        <w:spacing w:after="0"/>
        <w:rPr>
          <w:rFonts w:ascii="Arial" w:hAnsi="Arial" w:cs="Arial"/>
          <w:sz w:val="24"/>
          <w:szCs w:val="24"/>
        </w:rPr>
      </w:pPr>
      <w:r>
        <w:rPr>
          <w:rFonts w:ascii="Arial" w:hAnsi="Arial" w:cs="Arial"/>
          <w:sz w:val="24"/>
          <w:szCs w:val="24"/>
        </w:rPr>
        <w:t>It is important to note that t</w:t>
      </w:r>
      <w:r w:rsidR="00A02870">
        <w:rPr>
          <w:rFonts w:ascii="Arial" w:hAnsi="Arial" w:cs="Arial"/>
          <w:sz w:val="24"/>
          <w:szCs w:val="24"/>
        </w:rPr>
        <w:t xml:space="preserve">he LRAMVA balance in Account 1568 included in the </w:t>
      </w:r>
      <w:r w:rsidR="007B122E">
        <w:rPr>
          <w:rFonts w:ascii="Arial" w:hAnsi="Arial" w:cs="Arial"/>
          <w:sz w:val="24"/>
          <w:szCs w:val="24"/>
        </w:rPr>
        <w:t xml:space="preserve">Revised </w:t>
      </w:r>
      <w:r w:rsidR="00A02870">
        <w:rPr>
          <w:rFonts w:ascii="Arial" w:hAnsi="Arial" w:cs="Arial"/>
          <w:sz w:val="24"/>
          <w:szCs w:val="24"/>
        </w:rPr>
        <w:t xml:space="preserve">Application has been calculated using </w:t>
      </w:r>
      <w:r w:rsidR="006C0542">
        <w:rPr>
          <w:rFonts w:ascii="Arial" w:hAnsi="Arial" w:cs="Arial"/>
          <w:sz w:val="24"/>
          <w:szCs w:val="24"/>
        </w:rPr>
        <w:t>IESO final verified results for 2011-201</w:t>
      </w:r>
      <w:r w:rsidR="00A609FA">
        <w:rPr>
          <w:rFonts w:ascii="Arial" w:hAnsi="Arial" w:cs="Arial"/>
          <w:sz w:val="24"/>
          <w:szCs w:val="24"/>
        </w:rPr>
        <w:t>5</w:t>
      </w:r>
      <w:r w:rsidR="00DA7D62">
        <w:rPr>
          <w:rFonts w:ascii="Arial" w:hAnsi="Arial" w:cs="Arial"/>
          <w:sz w:val="24"/>
          <w:szCs w:val="24"/>
        </w:rPr>
        <w:t>.</w:t>
      </w:r>
      <w:r w:rsidR="006C0542">
        <w:rPr>
          <w:rFonts w:ascii="Arial" w:hAnsi="Arial" w:cs="Arial"/>
          <w:sz w:val="24"/>
          <w:szCs w:val="24"/>
        </w:rPr>
        <w:t xml:space="preserve"> </w:t>
      </w:r>
    </w:p>
    <w:p w:rsidR="006C0542" w:rsidRDefault="006C0542" w:rsidP="00781C72">
      <w:pPr>
        <w:autoSpaceDE w:val="0"/>
        <w:autoSpaceDN w:val="0"/>
        <w:adjustRightInd w:val="0"/>
        <w:spacing w:after="0"/>
        <w:rPr>
          <w:rFonts w:ascii="Arial" w:hAnsi="Arial" w:cs="Arial"/>
          <w:sz w:val="24"/>
          <w:szCs w:val="24"/>
        </w:rPr>
      </w:pPr>
    </w:p>
    <w:p w:rsidR="002D36D2" w:rsidRDefault="00FF5570" w:rsidP="00781C72">
      <w:pPr>
        <w:autoSpaceDE w:val="0"/>
        <w:autoSpaceDN w:val="0"/>
        <w:adjustRightInd w:val="0"/>
        <w:spacing w:after="0"/>
        <w:rPr>
          <w:rFonts w:ascii="Arial" w:hAnsi="Arial" w:cs="Arial"/>
          <w:sz w:val="24"/>
          <w:szCs w:val="24"/>
        </w:rPr>
      </w:pPr>
      <w:r>
        <w:rPr>
          <w:rFonts w:ascii="Arial" w:hAnsi="Arial" w:cs="Arial"/>
          <w:sz w:val="24"/>
          <w:szCs w:val="24"/>
        </w:rPr>
        <w:t>Please refer to</w:t>
      </w:r>
      <w:r w:rsidR="00A609FA">
        <w:rPr>
          <w:rFonts w:ascii="Arial" w:hAnsi="Arial" w:cs="Arial"/>
          <w:sz w:val="24"/>
          <w:szCs w:val="24"/>
        </w:rPr>
        <w:t xml:space="preserve"> the </w:t>
      </w:r>
      <w:r>
        <w:rPr>
          <w:rFonts w:ascii="Arial" w:hAnsi="Arial" w:cs="Arial"/>
          <w:sz w:val="24"/>
          <w:szCs w:val="24"/>
        </w:rPr>
        <w:t xml:space="preserve">Indeco report, </w:t>
      </w:r>
      <w:r w:rsidR="00FB0CE2">
        <w:rPr>
          <w:rFonts w:ascii="Arial" w:hAnsi="Arial" w:cs="Arial"/>
          <w:sz w:val="24"/>
          <w:szCs w:val="24"/>
        </w:rPr>
        <w:t xml:space="preserve">OPDC 2011-2015 LRAMVA Report </w:t>
      </w:r>
      <w:r>
        <w:rPr>
          <w:rFonts w:ascii="Arial" w:hAnsi="Arial" w:cs="Arial"/>
          <w:sz w:val="24"/>
          <w:szCs w:val="24"/>
        </w:rPr>
        <w:t>(</w:t>
      </w:r>
      <w:r w:rsidR="00180280">
        <w:rPr>
          <w:rFonts w:ascii="Arial" w:hAnsi="Arial" w:cs="Arial"/>
          <w:sz w:val="24"/>
          <w:szCs w:val="24"/>
        </w:rPr>
        <w:t>Appendix E).</w:t>
      </w:r>
      <w:r>
        <w:rPr>
          <w:rFonts w:ascii="Arial" w:hAnsi="Arial" w:cs="Arial"/>
          <w:sz w:val="24"/>
          <w:szCs w:val="24"/>
        </w:rPr>
        <w:t xml:space="preserve">  The introduction (page 1)</w:t>
      </w:r>
      <w:r w:rsidR="00A609FA">
        <w:rPr>
          <w:rFonts w:ascii="Arial" w:hAnsi="Arial" w:cs="Arial"/>
          <w:sz w:val="24"/>
          <w:szCs w:val="24"/>
        </w:rPr>
        <w:t xml:space="preserve"> states</w:t>
      </w:r>
      <w:r w:rsidR="00FB0CE2">
        <w:rPr>
          <w:rFonts w:ascii="Arial" w:hAnsi="Arial" w:cs="Arial"/>
          <w:sz w:val="24"/>
          <w:szCs w:val="24"/>
        </w:rPr>
        <w:t xml:space="preserve">, </w:t>
      </w:r>
    </w:p>
    <w:p w:rsidR="002D36D2" w:rsidRDefault="002D36D2" w:rsidP="00C07FE8">
      <w:pPr>
        <w:autoSpaceDE w:val="0"/>
        <w:autoSpaceDN w:val="0"/>
        <w:adjustRightInd w:val="0"/>
        <w:spacing w:after="0" w:line="240" w:lineRule="exact"/>
        <w:rPr>
          <w:rFonts w:ascii="Arial" w:hAnsi="Arial" w:cs="Arial"/>
          <w:sz w:val="24"/>
          <w:szCs w:val="24"/>
        </w:rPr>
      </w:pPr>
    </w:p>
    <w:p w:rsidR="00FB0CE2" w:rsidRPr="00172223" w:rsidRDefault="00FB0CE2" w:rsidP="00FF5570">
      <w:pPr>
        <w:autoSpaceDE w:val="0"/>
        <w:autoSpaceDN w:val="0"/>
        <w:adjustRightInd w:val="0"/>
        <w:spacing w:after="0"/>
        <w:ind w:left="284"/>
        <w:rPr>
          <w:rFonts w:ascii="Arial" w:hAnsi="Arial" w:cs="Arial"/>
          <w:i/>
          <w:sz w:val="24"/>
          <w:szCs w:val="24"/>
        </w:rPr>
      </w:pPr>
      <w:r w:rsidRPr="00172223">
        <w:rPr>
          <w:rFonts w:ascii="Arial" w:hAnsi="Arial" w:cs="Arial"/>
          <w:i/>
          <w:sz w:val="24"/>
          <w:szCs w:val="24"/>
        </w:rPr>
        <w:t xml:space="preserve">“OPDC’s last cost of service and load forecast was for the 2010 rate year (EB-2009-0273) and the load forecast did not account for CDM programs offered from 2011 </w:t>
      </w:r>
      <w:r w:rsidRPr="00172223">
        <w:rPr>
          <w:rFonts w:ascii="Arial" w:hAnsi="Arial" w:cs="Arial"/>
          <w:i/>
          <w:sz w:val="24"/>
          <w:szCs w:val="24"/>
        </w:rPr>
        <w:lastRenderedPageBreak/>
        <w:t>onwards. This report, and the associated OEB LRAMVA work form, show the variance account balance for the</w:t>
      </w:r>
      <w:r w:rsidR="00FF5570">
        <w:rPr>
          <w:rFonts w:ascii="Arial" w:hAnsi="Arial" w:cs="Arial"/>
          <w:i/>
          <w:sz w:val="24"/>
          <w:szCs w:val="24"/>
        </w:rPr>
        <w:t xml:space="preserve"> </w:t>
      </w:r>
      <w:r w:rsidRPr="00172223">
        <w:rPr>
          <w:rFonts w:ascii="Arial" w:hAnsi="Arial" w:cs="Arial"/>
          <w:i/>
          <w:sz w:val="24"/>
          <w:szCs w:val="24"/>
        </w:rPr>
        <w:t>following revenue losses:</w:t>
      </w:r>
    </w:p>
    <w:p w:rsidR="00FB0CE2" w:rsidRPr="00172223" w:rsidRDefault="00FB0CE2" w:rsidP="0089044C">
      <w:pPr>
        <w:autoSpaceDE w:val="0"/>
        <w:autoSpaceDN w:val="0"/>
        <w:adjustRightInd w:val="0"/>
        <w:spacing w:after="0"/>
        <w:ind w:left="851"/>
        <w:rPr>
          <w:rFonts w:ascii="Arial" w:hAnsi="Arial" w:cs="Arial"/>
          <w:i/>
          <w:sz w:val="24"/>
          <w:szCs w:val="24"/>
        </w:rPr>
      </w:pPr>
      <w:r w:rsidRPr="00172223">
        <w:rPr>
          <w:rFonts w:ascii="Arial" w:hAnsi="Arial" w:cs="Arial"/>
          <w:i/>
          <w:sz w:val="24"/>
          <w:szCs w:val="24"/>
        </w:rPr>
        <w:t>• Lost revenues in 2011 related to programs offered in 2011,</w:t>
      </w:r>
    </w:p>
    <w:p w:rsidR="00FB0CE2" w:rsidRPr="00172223" w:rsidRDefault="00FB0CE2" w:rsidP="0089044C">
      <w:pPr>
        <w:autoSpaceDE w:val="0"/>
        <w:autoSpaceDN w:val="0"/>
        <w:adjustRightInd w:val="0"/>
        <w:spacing w:after="0"/>
        <w:ind w:left="851"/>
        <w:rPr>
          <w:rFonts w:ascii="Arial" w:hAnsi="Arial" w:cs="Arial"/>
          <w:i/>
          <w:sz w:val="24"/>
          <w:szCs w:val="24"/>
        </w:rPr>
      </w:pPr>
      <w:r w:rsidRPr="00172223">
        <w:rPr>
          <w:rFonts w:ascii="Arial" w:hAnsi="Arial" w:cs="Arial"/>
          <w:i/>
          <w:sz w:val="24"/>
          <w:szCs w:val="24"/>
        </w:rPr>
        <w:t>• Lost revenues in 2012 related to programs offered in 2011,</w:t>
      </w:r>
    </w:p>
    <w:p w:rsidR="00FB0CE2" w:rsidRPr="00172223" w:rsidRDefault="00FB0CE2" w:rsidP="0089044C">
      <w:pPr>
        <w:autoSpaceDE w:val="0"/>
        <w:autoSpaceDN w:val="0"/>
        <w:adjustRightInd w:val="0"/>
        <w:spacing w:after="0"/>
        <w:ind w:left="851"/>
        <w:rPr>
          <w:rFonts w:ascii="Arial" w:hAnsi="Arial" w:cs="Arial"/>
          <w:i/>
          <w:sz w:val="24"/>
          <w:szCs w:val="24"/>
        </w:rPr>
      </w:pPr>
      <w:r w:rsidRPr="00172223">
        <w:rPr>
          <w:rFonts w:ascii="Arial" w:hAnsi="Arial" w:cs="Arial"/>
          <w:i/>
          <w:sz w:val="24"/>
          <w:szCs w:val="24"/>
        </w:rPr>
        <w:t>• Lost revenues in 2012 related to programs offered in 2012,</w:t>
      </w:r>
    </w:p>
    <w:p w:rsidR="00FB0CE2" w:rsidRPr="00172223" w:rsidRDefault="00FB0CE2" w:rsidP="0089044C">
      <w:pPr>
        <w:autoSpaceDE w:val="0"/>
        <w:autoSpaceDN w:val="0"/>
        <w:adjustRightInd w:val="0"/>
        <w:spacing w:after="0"/>
        <w:ind w:left="851"/>
        <w:rPr>
          <w:rFonts w:ascii="Arial" w:hAnsi="Arial" w:cs="Arial"/>
          <w:i/>
          <w:sz w:val="24"/>
          <w:szCs w:val="24"/>
        </w:rPr>
      </w:pPr>
      <w:r w:rsidRPr="00172223">
        <w:rPr>
          <w:rFonts w:ascii="Arial" w:hAnsi="Arial" w:cs="Arial"/>
          <w:i/>
          <w:sz w:val="24"/>
          <w:szCs w:val="24"/>
        </w:rPr>
        <w:t>• Lost revenues in 2013 related to programs offered in 2011,</w:t>
      </w:r>
    </w:p>
    <w:p w:rsidR="00FB0CE2" w:rsidRPr="00172223" w:rsidRDefault="00FB0CE2" w:rsidP="0089044C">
      <w:pPr>
        <w:autoSpaceDE w:val="0"/>
        <w:autoSpaceDN w:val="0"/>
        <w:adjustRightInd w:val="0"/>
        <w:spacing w:after="0"/>
        <w:ind w:left="851"/>
        <w:rPr>
          <w:rFonts w:ascii="Arial" w:hAnsi="Arial" w:cs="Arial"/>
          <w:i/>
          <w:sz w:val="24"/>
          <w:szCs w:val="24"/>
        </w:rPr>
      </w:pPr>
      <w:r w:rsidRPr="00172223">
        <w:rPr>
          <w:rFonts w:ascii="Arial" w:hAnsi="Arial" w:cs="Arial"/>
          <w:i/>
          <w:sz w:val="24"/>
          <w:szCs w:val="24"/>
        </w:rPr>
        <w:t>• Lost revenues in 2013 related to programs offered in 2012,</w:t>
      </w:r>
    </w:p>
    <w:p w:rsidR="00FB0CE2" w:rsidRPr="00172223" w:rsidRDefault="00FB0CE2" w:rsidP="0089044C">
      <w:pPr>
        <w:autoSpaceDE w:val="0"/>
        <w:autoSpaceDN w:val="0"/>
        <w:adjustRightInd w:val="0"/>
        <w:spacing w:after="0"/>
        <w:ind w:left="851"/>
        <w:rPr>
          <w:rFonts w:ascii="Arial" w:hAnsi="Arial" w:cs="Arial"/>
          <w:i/>
          <w:sz w:val="24"/>
          <w:szCs w:val="24"/>
        </w:rPr>
      </w:pPr>
      <w:r w:rsidRPr="00172223">
        <w:rPr>
          <w:rFonts w:ascii="Arial" w:hAnsi="Arial" w:cs="Arial"/>
          <w:i/>
          <w:sz w:val="24"/>
          <w:szCs w:val="24"/>
        </w:rPr>
        <w:t>• Lost revenues in 2013 related to programs offered in 2013,</w:t>
      </w:r>
    </w:p>
    <w:p w:rsidR="00FB0CE2" w:rsidRPr="00172223" w:rsidRDefault="00FB0CE2" w:rsidP="0089044C">
      <w:pPr>
        <w:autoSpaceDE w:val="0"/>
        <w:autoSpaceDN w:val="0"/>
        <w:adjustRightInd w:val="0"/>
        <w:spacing w:after="0"/>
        <w:ind w:left="851"/>
        <w:rPr>
          <w:rFonts w:ascii="Arial" w:hAnsi="Arial" w:cs="Arial"/>
          <w:i/>
          <w:sz w:val="24"/>
          <w:szCs w:val="24"/>
        </w:rPr>
      </w:pPr>
      <w:r w:rsidRPr="00172223">
        <w:rPr>
          <w:rFonts w:ascii="Arial" w:hAnsi="Arial" w:cs="Arial"/>
          <w:i/>
          <w:sz w:val="24"/>
          <w:szCs w:val="24"/>
        </w:rPr>
        <w:t>• Lost revenues in 2014 related to programs offered in 2011,</w:t>
      </w:r>
    </w:p>
    <w:p w:rsidR="00FB0CE2" w:rsidRPr="00172223" w:rsidRDefault="00FB0CE2" w:rsidP="0089044C">
      <w:pPr>
        <w:autoSpaceDE w:val="0"/>
        <w:autoSpaceDN w:val="0"/>
        <w:adjustRightInd w:val="0"/>
        <w:spacing w:after="0"/>
        <w:ind w:left="851"/>
        <w:rPr>
          <w:rFonts w:ascii="Arial" w:hAnsi="Arial" w:cs="Arial"/>
          <w:i/>
          <w:sz w:val="24"/>
          <w:szCs w:val="24"/>
        </w:rPr>
      </w:pPr>
      <w:r w:rsidRPr="00172223">
        <w:rPr>
          <w:rFonts w:ascii="Arial" w:hAnsi="Arial" w:cs="Arial"/>
          <w:i/>
          <w:sz w:val="24"/>
          <w:szCs w:val="24"/>
        </w:rPr>
        <w:t>• Lost revenues in 2014 related to programs offered in 2012,</w:t>
      </w:r>
    </w:p>
    <w:p w:rsidR="00FB0CE2" w:rsidRPr="00172223" w:rsidRDefault="00FB0CE2" w:rsidP="0089044C">
      <w:pPr>
        <w:autoSpaceDE w:val="0"/>
        <w:autoSpaceDN w:val="0"/>
        <w:adjustRightInd w:val="0"/>
        <w:spacing w:after="0"/>
        <w:ind w:left="851"/>
        <w:rPr>
          <w:rFonts w:ascii="Arial" w:hAnsi="Arial" w:cs="Arial"/>
          <w:i/>
          <w:sz w:val="24"/>
          <w:szCs w:val="24"/>
        </w:rPr>
      </w:pPr>
      <w:r w:rsidRPr="00172223">
        <w:rPr>
          <w:rFonts w:ascii="Arial" w:hAnsi="Arial" w:cs="Arial"/>
          <w:i/>
          <w:sz w:val="24"/>
          <w:szCs w:val="24"/>
        </w:rPr>
        <w:t>• Lost revenues in 2014 related to programs offered in 2013,</w:t>
      </w:r>
    </w:p>
    <w:p w:rsidR="00FB0CE2" w:rsidRPr="00172223" w:rsidRDefault="00FB0CE2" w:rsidP="0089044C">
      <w:pPr>
        <w:autoSpaceDE w:val="0"/>
        <w:autoSpaceDN w:val="0"/>
        <w:adjustRightInd w:val="0"/>
        <w:spacing w:after="0"/>
        <w:ind w:left="851"/>
        <w:rPr>
          <w:rFonts w:ascii="Arial" w:hAnsi="Arial" w:cs="Arial"/>
          <w:i/>
          <w:sz w:val="24"/>
          <w:szCs w:val="24"/>
        </w:rPr>
      </w:pPr>
      <w:r w:rsidRPr="00172223">
        <w:rPr>
          <w:rFonts w:ascii="Arial" w:hAnsi="Arial" w:cs="Arial"/>
          <w:i/>
          <w:sz w:val="24"/>
          <w:szCs w:val="24"/>
        </w:rPr>
        <w:t>• Lost revenues in 2014 related to programs offered in 2014,</w:t>
      </w:r>
    </w:p>
    <w:p w:rsidR="00FB0CE2" w:rsidRPr="00172223" w:rsidRDefault="00FB0CE2" w:rsidP="0089044C">
      <w:pPr>
        <w:autoSpaceDE w:val="0"/>
        <w:autoSpaceDN w:val="0"/>
        <w:adjustRightInd w:val="0"/>
        <w:spacing w:after="0"/>
        <w:ind w:left="851"/>
        <w:rPr>
          <w:rFonts w:ascii="Arial" w:hAnsi="Arial" w:cs="Arial"/>
          <w:i/>
          <w:sz w:val="24"/>
          <w:szCs w:val="24"/>
        </w:rPr>
      </w:pPr>
      <w:r w:rsidRPr="00172223">
        <w:rPr>
          <w:rFonts w:ascii="Arial" w:hAnsi="Arial" w:cs="Arial"/>
          <w:i/>
          <w:sz w:val="24"/>
          <w:szCs w:val="24"/>
        </w:rPr>
        <w:t>• Lost revenues in 2015 related to programs offered in 2011,</w:t>
      </w:r>
    </w:p>
    <w:p w:rsidR="00FB0CE2" w:rsidRPr="00172223" w:rsidRDefault="00FB0CE2" w:rsidP="0089044C">
      <w:pPr>
        <w:autoSpaceDE w:val="0"/>
        <w:autoSpaceDN w:val="0"/>
        <w:adjustRightInd w:val="0"/>
        <w:spacing w:after="0"/>
        <w:ind w:left="851"/>
        <w:rPr>
          <w:rFonts w:ascii="Arial" w:hAnsi="Arial" w:cs="Arial"/>
          <w:i/>
          <w:sz w:val="24"/>
          <w:szCs w:val="24"/>
        </w:rPr>
      </w:pPr>
      <w:r w:rsidRPr="00172223">
        <w:rPr>
          <w:rFonts w:ascii="Arial" w:hAnsi="Arial" w:cs="Arial"/>
          <w:i/>
          <w:sz w:val="24"/>
          <w:szCs w:val="24"/>
        </w:rPr>
        <w:t>• Lost revenues in 2015 related to programs offered in 2012,</w:t>
      </w:r>
    </w:p>
    <w:p w:rsidR="00FB0CE2" w:rsidRPr="00172223" w:rsidRDefault="00FB0CE2" w:rsidP="0089044C">
      <w:pPr>
        <w:autoSpaceDE w:val="0"/>
        <w:autoSpaceDN w:val="0"/>
        <w:adjustRightInd w:val="0"/>
        <w:spacing w:after="0"/>
        <w:ind w:left="851"/>
        <w:rPr>
          <w:rFonts w:ascii="Arial" w:hAnsi="Arial" w:cs="Arial"/>
          <w:i/>
          <w:sz w:val="24"/>
          <w:szCs w:val="24"/>
        </w:rPr>
      </w:pPr>
      <w:r w:rsidRPr="00172223">
        <w:rPr>
          <w:rFonts w:ascii="Arial" w:hAnsi="Arial" w:cs="Arial"/>
          <w:i/>
          <w:sz w:val="24"/>
          <w:szCs w:val="24"/>
        </w:rPr>
        <w:t>• Lost revenues in 2015 related to programs offered in 2013.</w:t>
      </w:r>
    </w:p>
    <w:p w:rsidR="00FB0CE2" w:rsidRPr="00172223" w:rsidRDefault="00FB0CE2" w:rsidP="0089044C">
      <w:pPr>
        <w:autoSpaceDE w:val="0"/>
        <w:autoSpaceDN w:val="0"/>
        <w:adjustRightInd w:val="0"/>
        <w:spacing w:after="0"/>
        <w:ind w:left="851"/>
        <w:rPr>
          <w:rFonts w:ascii="Arial" w:hAnsi="Arial" w:cs="Arial"/>
          <w:i/>
          <w:sz w:val="24"/>
          <w:szCs w:val="24"/>
        </w:rPr>
      </w:pPr>
      <w:r w:rsidRPr="00172223">
        <w:rPr>
          <w:rFonts w:ascii="Arial" w:hAnsi="Arial" w:cs="Arial"/>
          <w:i/>
          <w:sz w:val="24"/>
          <w:szCs w:val="24"/>
        </w:rPr>
        <w:t>• Lost revenues in 2015 related to programs offered in 2014, and</w:t>
      </w:r>
    </w:p>
    <w:p w:rsidR="00FB0CE2" w:rsidRPr="00172223" w:rsidRDefault="00FB0CE2" w:rsidP="0089044C">
      <w:pPr>
        <w:autoSpaceDE w:val="0"/>
        <w:autoSpaceDN w:val="0"/>
        <w:adjustRightInd w:val="0"/>
        <w:spacing w:after="0"/>
        <w:ind w:left="851"/>
        <w:rPr>
          <w:rFonts w:ascii="Arial" w:hAnsi="Arial" w:cs="Arial"/>
          <w:i/>
          <w:sz w:val="24"/>
          <w:szCs w:val="24"/>
        </w:rPr>
      </w:pPr>
      <w:r w:rsidRPr="00172223">
        <w:rPr>
          <w:rFonts w:ascii="Arial" w:hAnsi="Arial" w:cs="Arial"/>
          <w:i/>
          <w:sz w:val="24"/>
          <w:szCs w:val="24"/>
        </w:rPr>
        <w:t>• Lost revenues in 2015 related to programs offered in 2015.</w:t>
      </w:r>
      <w:r w:rsidR="0089044C">
        <w:rPr>
          <w:rFonts w:ascii="Arial" w:hAnsi="Arial" w:cs="Arial"/>
          <w:i/>
          <w:sz w:val="24"/>
          <w:szCs w:val="24"/>
        </w:rPr>
        <w:t>”</w:t>
      </w:r>
    </w:p>
    <w:p w:rsidR="00FB0CE2" w:rsidRDefault="00FB0CE2" w:rsidP="00FB0CE2">
      <w:pPr>
        <w:autoSpaceDE w:val="0"/>
        <w:autoSpaceDN w:val="0"/>
        <w:adjustRightInd w:val="0"/>
        <w:spacing w:after="0" w:line="240" w:lineRule="auto"/>
        <w:rPr>
          <w:rFonts w:ascii="Arial" w:hAnsi="Arial" w:cs="Arial"/>
          <w:sz w:val="24"/>
          <w:szCs w:val="24"/>
        </w:rPr>
      </w:pPr>
    </w:p>
    <w:p w:rsidR="00180280" w:rsidRDefault="00180280" w:rsidP="00DB146D">
      <w:pPr>
        <w:rPr>
          <w:rFonts w:ascii="Arial" w:hAnsi="Arial" w:cs="Arial"/>
          <w:sz w:val="24"/>
          <w:szCs w:val="24"/>
        </w:rPr>
      </w:pPr>
      <w:r>
        <w:rPr>
          <w:rFonts w:ascii="Arial" w:hAnsi="Arial" w:cs="Arial"/>
          <w:sz w:val="24"/>
          <w:szCs w:val="24"/>
        </w:rPr>
        <w:t xml:space="preserve">Orillia </w:t>
      </w:r>
      <w:r w:rsidR="008C01F5">
        <w:rPr>
          <w:rFonts w:ascii="Arial" w:hAnsi="Arial" w:cs="Arial"/>
          <w:sz w:val="24"/>
          <w:szCs w:val="24"/>
        </w:rPr>
        <w:t xml:space="preserve">has </w:t>
      </w:r>
      <w:r>
        <w:rPr>
          <w:rFonts w:ascii="Arial" w:hAnsi="Arial" w:cs="Arial"/>
          <w:sz w:val="24"/>
          <w:szCs w:val="24"/>
        </w:rPr>
        <w:t>provide</w:t>
      </w:r>
      <w:r w:rsidR="008C01F5">
        <w:rPr>
          <w:rFonts w:ascii="Arial" w:hAnsi="Arial" w:cs="Arial"/>
          <w:sz w:val="24"/>
          <w:szCs w:val="24"/>
        </w:rPr>
        <w:t>d</w:t>
      </w:r>
      <w:r>
        <w:rPr>
          <w:rFonts w:ascii="Arial" w:hAnsi="Arial" w:cs="Arial"/>
          <w:sz w:val="24"/>
          <w:szCs w:val="24"/>
        </w:rPr>
        <w:t xml:space="preserve"> the following references to support the statement that Orillia’s 2010 load forecast was adjusted to account for CDM impacts of 2005-2010 CDM programs.</w:t>
      </w:r>
    </w:p>
    <w:p w:rsidR="002D36D2" w:rsidRDefault="0003321A" w:rsidP="00DB146D">
      <w:pPr>
        <w:rPr>
          <w:rFonts w:ascii="Arial" w:hAnsi="Arial" w:cs="Arial"/>
          <w:sz w:val="24"/>
          <w:szCs w:val="24"/>
        </w:rPr>
      </w:pPr>
      <w:r>
        <w:rPr>
          <w:rFonts w:ascii="Arial" w:hAnsi="Arial" w:cs="Arial"/>
          <w:sz w:val="24"/>
          <w:szCs w:val="24"/>
        </w:rPr>
        <w:t>In t</w:t>
      </w:r>
      <w:r w:rsidR="001D4966" w:rsidRPr="002C54A6">
        <w:rPr>
          <w:rFonts w:ascii="Arial" w:hAnsi="Arial" w:cs="Arial"/>
          <w:sz w:val="24"/>
          <w:szCs w:val="24"/>
        </w:rPr>
        <w:t>he Settlement Proposal in EB-2009-0273</w:t>
      </w:r>
      <w:r>
        <w:rPr>
          <w:rFonts w:ascii="Arial" w:hAnsi="Arial" w:cs="Arial"/>
          <w:sz w:val="24"/>
          <w:szCs w:val="24"/>
        </w:rPr>
        <w:t xml:space="preserve">, Orillia agreed to modify the 2010 load forecast. </w:t>
      </w:r>
      <w:r w:rsidRPr="002C54A6">
        <w:rPr>
          <w:rFonts w:ascii="Arial" w:hAnsi="Arial" w:cs="Arial"/>
          <w:sz w:val="24"/>
          <w:szCs w:val="24"/>
        </w:rPr>
        <w:t xml:space="preserve">Settlement Proposal </w:t>
      </w:r>
      <w:r>
        <w:rPr>
          <w:rFonts w:ascii="Arial" w:hAnsi="Arial" w:cs="Arial"/>
          <w:sz w:val="24"/>
          <w:szCs w:val="24"/>
        </w:rPr>
        <w:t>S</w:t>
      </w:r>
      <w:r w:rsidRPr="002C54A6">
        <w:rPr>
          <w:rFonts w:ascii="Arial" w:hAnsi="Arial" w:cs="Arial"/>
          <w:sz w:val="24"/>
          <w:szCs w:val="24"/>
        </w:rPr>
        <w:t>ection 3</w:t>
      </w:r>
      <w:r>
        <w:rPr>
          <w:rFonts w:ascii="Arial" w:hAnsi="Arial" w:cs="Arial"/>
          <w:sz w:val="24"/>
          <w:szCs w:val="24"/>
        </w:rPr>
        <w:t>,</w:t>
      </w:r>
      <w:r w:rsidRPr="002C54A6">
        <w:rPr>
          <w:rFonts w:ascii="Arial" w:hAnsi="Arial" w:cs="Arial"/>
          <w:sz w:val="24"/>
          <w:szCs w:val="24"/>
        </w:rPr>
        <w:t xml:space="preserve"> Operating Revenue</w:t>
      </w:r>
      <w:r>
        <w:rPr>
          <w:rFonts w:ascii="Arial" w:hAnsi="Arial" w:cs="Arial"/>
          <w:sz w:val="24"/>
          <w:szCs w:val="24"/>
        </w:rPr>
        <w:t>,</w:t>
      </w:r>
      <w:r w:rsidRPr="009F152E">
        <w:rPr>
          <w:rFonts w:ascii="Arial" w:hAnsi="Arial" w:cs="Arial"/>
          <w:sz w:val="24"/>
          <w:szCs w:val="24"/>
        </w:rPr>
        <w:t xml:space="preserve"> </w:t>
      </w:r>
      <w:r w:rsidRPr="002C54A6">
        <w:rPr>
          <w:rFonts w:ascii="Arial" w:hAnsi="Arial" w:cs="Arial"/>
          <w:sz w:val="24"/>
          <w:szCs w:val="24"/>
        </w:rPr>
        <w:t>page 15 of 38</w:t>
      </w:r>
      <w:r>
        <w:rPr>
          <w:rFonts w:ascii="Arial" w:hAnsi="Arial" w:cs="Arial"/>
          <w:sz w:val="24"/>
          <w:szCs w:val="24"/>
        </w:rPr>
        <w:t xml:space="preserve"> </w:t>
      </w:r>
      <w:r w:rsidR="001D4966" w:rsidRPr="002C54A6">
        <w:rPr>
          <w:rFonts w:ascii="Arial" w:hAnsi="Arial" w:cs="Arial"/>
          <w:sz w:val="24"/>
          <w:szCs w:val="24"/>
        </w:rPr>
        <w:t>states</w:t>
      </w:r>
      <w:r w:rsidR="002D36D2">
        <w:rPr>
          <w:rFonts w:ascii="Arial" w:hAnsi="Arial" w:cs="Arial"/>
          <w:sz w:val="24"/>
          <w:szCs w:val="24"/>
        </w:rPr>
        <w:t>,</w:t>
      </w:r>
    </w:p>
    <w:p w:rsidR="002D36D2" w:rsidRDefault="001D4966" w:rsidP="00DD4707">
      <w:pPr>
        <w:spacing w:after="120"/>
        <w:ind w:left="284"/>
        <w:rPr>
          <w:rFonts w:ascii="Arial" w:hAnsi="Arial" w:cs="Arial"/>
          <w:sz w:val="24"/>
          <w:szCs w:val="24"/>
        </w:rPr>
      </w:pPr>
      <w:r w:rsidRPr="00172223">
        <w:rPr>
          <w:rFonts w:ascii="Arial" w:hAnsi="Arial" w:cs="Arial"/>
          <w:i/>
          <w:sz w:val="24"/>
          <w:szCs w:val="24"/>
        </w:rPr>
        <w:t>“the parties agree to an updated load forecast including the impacts of conservation and demand management”.</w:t>
      </w:r>
      <w:r w:rsidRPr="002C54A6">
        <w:rPr>
          <w:rFonts w:ascii="Arial" w:hAnsi="Arial" w:cs="Arial"/>
          <w:sz w:val="24"/>
          <w:szCs w:val="24"/>
        </w:rPr>
        <w:t> </w:t>
      </w:r>
    </w:p>
    <w:p w:rsidR="0003321A" w:rsidRDefault="0003321A" w:rsidP="0089044C">
      <w:pPr>
        <w:ind w:left="284"/>
        <w:rPr>
          <w:rFonts w:ascii="Arial" w:hAnsi="Arial" w:cs="Arial"/>
          <w:i/>
          <w:sz w:val="24"/>
          <w:szCs w:val="24"/>
        </w:rPr>
      </w:pPr>
      <w:r w:rsidRPr="00BB732E">
        <w:rPr>
          <w:rFonts w:ascii="Arial" w:hAnsi="Arial" w:cs="Arial"/>
          <w:i/>
          <w:sz w:val="24"/>
          <w:szCs w:val="24"/>
        </w:rPr>
        <w:t xml:space="preserve"> </w:t>
      </w:r>
      <w:r w:rsidR="00BB732E" w:rsidRPr="00BB732E">
        <w:rPr>
          <w:rFonts w:ascii="Arial" w:hAnsi="Arial" w:cs="Arial"/>
          <w:i/>
          <w:sz w:val="24"/>
          <w:szCs w:val="24"/>
        </w:rPr>
        <w:t>“for recent information on the current production capabilities of load displacement (embedded) generation and a slightly more optimistic economic outlook than had been anticipated in the application.”</w:t>
      </w:r>
    </w:p>
    <w:p w:rsidR="003C7BF3" w:rsidRDefault="00CE7B00" w:rsidP="009B3611">
      <w:pPr>
        <w:rPr>
          <w:rFonts w:ascii="Arial" w:hAnsi="Arial" w:cs="Arial"/>
          <w:sz w:val="24"/>
          <w:szCs w:val="24"/>
        </w:rPr>
      </w:pPr>
      <w:r>
        <w:rPr>
          <w:rFonts w:ascii="Arial" w:hAnsi="Arial" w:cs="Arial"/>
          <w:sz w:val="24"/>
          <w:szCs w:val="24"/>
        </w:rPr>
        <w:t>The</w:t>
      </w:r>
      <w:r w:rsidR="00522C82">
        <w:rPr>
          <w:rFonts w:ascii="Arial" w:hAnsi="Arial" w:cs="Arial"/>
          <w:sz w:val="24"/>
          <w:szCs w:val="24"/>
        </w:rPr>
        <w:t xml:space="preserve"> original </w:t>
      </w:r>
      <w:r>
        <w:rPr>
          <w:rFonts w:ascii="Arial" w:hAnsi="Arial" w:cs="Arial"/>
          <w:sz w:val="24"/>
          <w:szCs w:val="24"/>
        </w:rPr>
        <w:t xml:space="preserve">load </w:t>
      </w:r>
      <w:r w:rsidR="00522C82">
        <w:rPr>
          <w:rFonts w:ascii="Arial" w:hAnsi="Arial" w:cs="Arial"/>
          <w:sz w:val="24"/>
          <w:szCs w:val="24"/>
        </w:rPr>
        <w:t xml:space="preserve">forecast </w:t>
      </w:r>
      <w:r>
        <w:rPr>
          <w:rFonts w:ascii="Arial" w:hAnsi="Arial" w:cs="Arial"/>
          <w:sz w:val="24"/>
          <w:szCs w:val="24"/>
        </w:rPr>
        <w:t xml:space="preserve">in the </w:t>
      </w:r>
      <w:r w:rsidR="0089044C">
        <w:rPr>
          <w:rFonts w:ascii="Arial" w:hAnsi="Arial" w:cs="Arial"/>
          <w:sz w:val="24"/>
          <w:szCs w:val="24"/>
        </w:rPr>
        <w:t xml:space="preserve">2010 cost of service </w:t>
      </w:r>
      <w:r>
        <w:rPr>
          <w:rFonts w:ascii="Arial" w:hAnsi="Arial" w:cs="Arial"/>
          <w:sz w:val="24"/>
          <w:szCs w:val="24"/>
        </w:rPr>
        <w:t xml:space="preserve">application was </w:t>
      </w:r>
      <w:r w:rsidR="00C00E38">
        <w:rPr>
          <w:rFonts w:ascii="Arial" w:hAnsi="Arial" w:cs="Arial"/>
          <w:sz w:val="24"/>
          <w:szCs w:val="24"/>
        </w:rPr>
        <w:t>adjusted based on observations in the IESO 18-month Outlook which stated:</w:t>
      </w:r>
    </w:p>
    <w:p w:rsidR="00C00E38" w:rsidRPr="00C00E38" w:rsidRDefault="00C00E38" w:rsidP="0089044C">
      <w:pPr>
        <w:autoSpaceDE w:val="0"/>
        <w:autoSpaceDN w:val="0"/>
        <w:adjustRightInd w:val="0"/>
        <w:spacing w:after="0"/>
        <w:ind w:left="284"/>
        <w:rPr>
          <w:rFonts w:ascii="Arial" w:hAnsi="Arial" w:cs="Arial"/>
          <w:i/>
          <w:iCs/>
          <w:sz w:val="24"/>
          <w:szCs w:val="24"/>
        </w:rPr>
      </w:pPr>
      <w:r>
        <w:rPr>
          <w:rFonts w:ascii="Arial" w:hAnsi="Arial" w:cs="Arial"/>
          <w:i/>
          <w:iCs/>
          <w:sz w:val="24"/>
          <w:szCs w:val="24"/>
        </w:rPr>
        <w:t xml:space="preserve">"The current recession has significantly reduced electricity demand on the system. Both energy and peak demands are tracking much lower than a year ago. Although the economy is expected to recover in 2010, electricity demand will not due to structural change in the Ontario economy, higher levels of conservation and continuing growth in embedded generation." </w:t>
      </w:r>
      <w:r>
        <w:rPr>
          <w:rFonts w:ascii="Arial" w:hAnsi="Arial" w:cs="Arial"/>
          <w:sz w:val="24"/>
          <w:szCs w:val="24"/>
        </w:rPr>
        <w:t>- Orillia_APPL_20090916.pdf (Exhibit 3, Tab 1, Schedule 3, Page 2 of 21).</w:t>
      </w:r>
    </w:p>
    <w:p w:rsidR="00C00E38" w:rsidRDefault="00C00E38" w:rsidP="00C00E38">
      <w:pPr>
        <w:spacing w:after="0"/>
        <w:rPr>
          <w:rFonts w:ascii="Arial" w:hAnsi="Arial" w:cs="Arial"/>
          <w:sz w:val="24"/>
          <w:szCs w:val="24"/>
        </w:rPr>
      </w:pPr>
    </w:p>
    <w:p w:rsidR="00C00E38" w:rsidRDefault="00C00E38" w:rsidP="009B3611">
      <w:pPr>
        <w:rPr>
          <w:rFonts w:ascii="Arial" w:hAnsi="Arial" w:cs="Arial"/>
          <w:sz w:val="24"/>
          <w:szCs w:val="24"/>
        </w:rPr>
      </w:pPr>
      <w:r>
        <w:rPr>
          <w:rFonts w:ascii="Arial" w:hAnsi="Arial" w:cs="Arial"/>
          <w:sz w:val="24"/>
          <w:szCs w:val="24"/>
        </w:rPr>
        <w:t>Accordingly, Orillia</w:t>
      </w:r>
      <w:r w:rsidR="00D37B60">
        <w:rPr>
          <w:rFonts w:ascii="Arial" w:hAnsi="Arial" w:cs="Arial"/>
          <w:sz w:val="24"/>
          <w:szCs w:val="24"/>
        </w:rPr>
        <w:t>’s</w:t>
      </w:r>
      <w:r>
        <w:rPr>
          <w:rFonts w:ascii="Arial" w:hAnsi="Arial" w:cs="Arial"/>
          <w:sz w:val="24"/>
          <w:szCs w:val="24"/>
        </w:rPr>
        <w:t xml:space="preserve"> original </w:t>
      </w:r>
      <w:r w:rsidR="00D37B60">
        <w:rPr>
          <w:rFonts w:ascii="Arial" w:hAnsi="Arial" w:cs="Arial"/>
          <w:sz w:val="24"/>
          <w:szCs w:val="24"/>
        </w:rPr>
        <w:t xml:space="preserve">2010 </w:t>
      </w:r>
      <w:r>
        <w:rPr>
          <w:rFonts w:ascii="Arial" w:hAnsi="Arial" w:cs="Arial"/>
          <w:sz w:val="24"/>
          <w:szCs w:val="24"/>
        </w:rPr>
        <w:t>load forecast</w:t>
      </w:r>
      <w:r w:rsidR="00D37B60">
        <w:rPr>
          <w:rFonts w:ascii="Arial" w:hAnsi="Arial" w:cs="Arial"/>
          <w:sz w:val="24"/>
          <w:szCs w:val="24"/>
        </w:rPr>
        <w:t xml:space="preserve"> includes the impact of CDM programs from 2005</w:t>
      </w:r>
      <w:r w:rsidR="0089044C">
        <w:rPr>
          <w:rFonts w:ascii="Arial" w:hAnsi="Arial" w:cs="Arial"/>
          <w:sz w:val="24"/>
          <w:szCs w:val="24"/>
        </w:rPr>
        <w:t>-</w:t>
      </w:r>
      <w:r w:rsidR="00D37B60">
        <w:rPr>
          <w:rFonts w:ascii="Arial" w:hAnsi="Arial" w:cs="Arial"/>
          <w:sz w:val="24"/>
          <w:szCs w:val="24"/>
        </w:rPr>
        <w:t>2010</w:t>
      </w:r>
      <w:r w:rsidR="00A60FC5">
        <w:rPr>
          <w:rFonts w:ascii="Arial" w:hAnsi="Arial" w:cs="Arial"/>
          <w:sz w:val="24"/>
          <w:szCs w:val="24"/>
        </w:rPr>
        <w:t>.</w:t>
      </w:r>
      <w:r w:rsidR="00D37B60">
        <w:rPr>
          <w:rFonts w:ascii="Arial" w:hAnsi="Arial" w:cs="Arial"/>
          <w:sz w:val="24"/>
          <w:szCs w:val="24"/>
        </w:rPr>
        <w:t xml:space="preserve"> </w:t>
      </w:r>
      <w:r w:rsidR="00A60FC5">
        <w:rPr>
          <w:rFonts w:ascii="Arial" w:hAnsi="Arial" w:cs="Arial"/>
          <w:sz w:val="24"/>
          <w:szCs w:val="24"/>
        </w:rPr>
        <w:t>The cost of service application</w:t>
      </w:r>
      <w:r w:rsidR="00D37B60">
        <w:rPr>
          <w:rFonts w:ascii="Arial" w:hAnsi="Arial" w:cs="Arial"/>
          <w:sz w:val="24"/>
          <w:szCs w:val="24"/>
        </w:rPr>
        <w:t xml:space="preserve"> stated,</w:t>
      </w:r>
    </w:p>
    <w:p w:rsidR="0042568D" w:rsidRDefault="00916363" w:rsidP="00916363">
      <w:pPr>
        <w:autoSpaceDE w:val="0"/>
        <w:autoSpaceDN w:val="0"/>
        <w:adjustRightInd w:val="0"/>
        <w:spacing w:after="0"/>
        <w:ind w:left="284"/>
        <w:rPr>
          <w:rFonts w:ascii="Arial" w:hAnsi="Arial" w:cs="Arial"/>
          <w:sz w:val="24"/>
          <w:szCs w:val="24"/>
        </w:rPr>
      </w:pPr>
      <w:r>
        <w:rPr>
          <w:rFonts w:ascii="Arial" w:hAnsi="Arial" w:cs="Arial"/>
          <w:i/>
          <w:sz w:val="24"/>
          <w:szCs w:val="24"/>
        </w:rPr>
        <w:lastRenderedPageBreak/>
        <w:t>“</w:t>
      </w:r>
      <w:r w:rsidR="0042568D" w:rsidRPr="00072F6D">
        <w:rPr>
          <w:rFonts w:ascii="Arial" w:hAnsi="Arial" w:cs="Arial"/>
          <w:i/>
          <w:sz w:val="24"/>
          <w:szCs w:val="24"/>
        </w:rPr>
        <w:t>Using the information from the IESO 18-Month Outlook the forecast of weather normal</w:t>
      </w:r>
      <w:r>
        <w:rPr>
          <w:rFonts w:ascii="Arial" w:hAnsi="Arial" w:cs="Arial"/>
          <w:i/>
          <w:sz w:val="24"/>
          <w:szCs w:val="24"/>
        </w:rPr>
        <w:t xml:space="preserve"> </w:t>
      </w:r>
      <w:r w:rsidR="0042568D" w:rsidRPr="00072F6D">
        <w:rPr>
          <w:rFonts w:ascii="Arial" w:hAnsi="Arial" w:cs="Arial"/>
          <w:i/>
          <w:sz w:val="24"/>
          <w:szCs w:val="24"/>
        </w:rPr>
        <w:t>purchases for 2009 and 2010 is simply the 2008 weath</w:t>
      </w:r>
      <w:r>
        <w:rPr>
          <w:rFonts w:ascii="Arial" w:hAnsi="Arial" w:cs="Arial"/>
          <w:i/>
          <w:sz w:val="24"/>
          <w:szCs w:val="24"/>
        </w:rPr>
        <w:t xml:space="preserve">er normal value reduced by 4.0% </w:t>
      </w:r>
      <w:r w:rsidR="0042568D" w:rsidRPr="00072F6D">
        <w:rPr>
          <w:rFonts w:ascii="Arial" w:hAnsi="Arial" w:cs="Arial"/>
          <w:i/>
          <w:sz w:val="24"/>
          <w:szCs w:val="24"/>
        </w:rPr>
        <w:t>in 2009 and further reduced in 2010 by 0.3%.</w:t>
      </w:r>
      <w:r>
        <w:rPr>
          <w:rFonts w:ascii="Arial" w:hAnsi="Arial" w:cs="Arial"/>
          <w:i/>
          <w:sz w:val="24"/>
          <w:szCs w:val="24"/>
        </w:rPr>
        <w:t>”</w:t>
      </w:r>
      <w:r>
        <w:rPr>
          <w:rFonts w:ascii="Arial" w:hAnsi="Arial" w:cs="Arial"/>
          <w:sz w:val="24"/>
          <w:szCs w:val="24"/>
        </w:rPr>
        <w:t xml:space="preserve"> - </w:t>
      </w:r>
      <w:r w:rsidR="0042568D">
        <w:rPr>
          <w:rFonts w:ascii="Arial" w:hAnsi="Arial" w:cs="Arial"/>
          <w:sz w:val="24"/>
          <w:szCs w:val="24"/>
        </w:rPr>
        <w:t xml:space="preserve">Orillia_APPL_20090916.pdf (Exhibit 3, Tab 1, Schedule 3, Page </w:t>
      </w:r>
      <w:r w:rsidR="00072F6D">
        <w:rPr>
          <w:rFonts w:ascii="Arial" w:hAnsi="Arial" w:cs="Arial"/>
          <w:sz w:val="24"/>
          <w:szCs w:val="24"/>
        </w:rPr>
        <w:t>9</w:t>
      </w:r>
      <w:r w:rsidR="0042568D">
        <w:rPr>
          <w:rFonts w:ascii="Arial" w:hAnsi="Arial" w:cs="Arial"/>
          <w:sz w:val="24"/>
          <w:szCs w:val="24"/>
        </w:rPr>
        <w:t xml:space="preserve"> of 21).</w:t>
      </w:r>
    </w:p>
    <w:p w:rsidR="00916363" w:rsidRPr="00916363" w:rsidRDefault="00916363" w:rsidP="00A60FC5">
      <w:pPr>
        <w:autoSpaceDE w:val="0"/>
        <w:autoSpaceDN w:val="0"/>
        <w:adjustRightInd w:val="0"/>
        <w:spacing w:after="0" w:line="100" w:lineRule="exact"/>
        <w:ind w:left="284"/>
        <w:rPr>
          <w:rFonts w:ascii="Arial" w:hAnsi="Arial" w:cs="Arial"/>
          <w:sz w:val="24"/>
          <w:szCs w:val="24"/>
        </w:rPr>
      </w:pPr>
    </w:p>
    <w:p w:rsidR="00072F6D" w:rsidRDefault="00072F6D" w:rsidP="0089044C">
      <w:pPr>
        <w:autoSpaceDE w:val="0"/>
        <w:autoSpaceDN w:val="0"/>
        <w:adjustRightInd w:val="0"/>
        <w:spacing w:after="0"/>
        <w:ind w:left="284"/>
        <w:rPr>
          <w:rFonts w:ascii="Arial" w:hAnsi="Arial" w:cs="Arial"/>
          <w:sz w:val="24"/>
          <w:szCs w:val="24"/>
        </w:rPr>
      </w:pPr>
      <w:r w:rsidRPr="00072F6D">
        <w:rPr>
          <w:rFonts w:ascii="Arial" w:hAnsi="Arial" w:cs="Arial"/>
          <w:i/>
          <w:sz w:val="24"/>
          <w:szCs w:val="24"/>
        </w:rPr>
        <w:t>“usage per customer/connection declines in the Residential and General Service Less than 50 kW classes after 2005. It is OPDC’s view, that this decline is at least partially due to the CDM programs initiated in 2005.”</w:t>
      </w:r>
      <w:r>
        <w:rPr>
          <w:rFonts w:ascii="Arial" w:hAnsi="Arial" w:cs="Arial"/>
          <w:sz w:val="24"/>
          <w:szCs w:val="24"/>
        </w:rPr>
        <w:t xml:space="preserve"> - Orillia_APPL_20090916.pdf (Exhibit 3, Tab 1, Schedule 3, Page 13 of 21).</w:t>
      </w:r>
    </w:p>
    <w:p w:rsidR="0089044C" w:rsidRDefault="0089044C" w:rsidP="0089044C">
      <w:pPr>
        <w:spacing w:after="0"/>
        <w:rPr>
          <w:rFonts w:ascii="Arial" w:hAnsi="Arial" w:cs="Arial"/>
          <w:sz w:val="24"/>
          <w:szCs w:val="24"/>
        </w:rPr>
      </w:pPr>
    </w:p>
    <w:p w:rsidR="00567AE2" w:rsidRDefault="0089044C" w:rsidP="00567AE2">
      <w:pPr>
        <w:rPr>
          <w:rFonts w:ascii="Arial" w:hAnsi="Arial" w:cs="Arial"/>
          <w:sz w:val="24"/>
          <w:szCs w:val="24"/>
        </w:rPr>
      </w:pPr>
      <w:r>
        <w:rPr>
          <w:rFonts w:ascii="Arial" w:hAnsi="Arial" w:cs="Arial"/>
          <w:sz w:val="24"/>
          <w:szCs w:val="24"/>
        </w:rPr>
        <w:t xml:space="preserve">In addition, </w:t>
      </w:r>
      <w:r w:rsidR="00EA01DC">
        <w:rPr>
          <w:rFonts w:ascii="Arial" w:hAnsi="Arial" w:cs="Arial"/>
          <w:sz w:val="24"/>
          <w:szCs w:val="24"/>
        </w:rPr>
        <w:t>Orillia responded to a</w:t>
      </w:r>
      <w:r w:rsidR="00787AEE">
        <w:rPr>
          <w:rFonts w:ascii="Arial" w:hAnsi="Arial" w:cs="Arial"/>
          <w:sz w:val="24"/>
          <w:szCs w:val="24"/>
        </w:rPr>
        <w:t xml:space="preserve"> Boa</w:t>
      </w:r>
      <w:r w:rsidR="00EA01DC">
        <w:rPr>
          <w:rFonts w:ascii="Arial" w:hAnsi="Arial" w:cs="Arial"/>
          <w:sz w:val="24"/>
          <w:szCs w:val="24"/>
        </w:rPr>
        <w:t>rd staff interrogatory, stating,</w:t>
      </w:r>
    </w:p>
    <w:p w:rsidR="00EA01DC" w:rsidRDefault="00EA01DC" w:rsidP="0089044C">
      <w:pPr>
        <w:ind w:left="284"/>
        <w:rPr>
          <w:rFonts w:ascii="Arial" w:hAnsi="Arial" w:cs="Arial"/>
          <w:sz w:val="24"/>
          <w:szCs w:val="24"/>
        </w:rPr>
      </w:pPr>
      <w:r>
        <w:rPr>
          <w:rFonts w:ascii="Arial" w:hAnsi="Arial" w:cs="Arial"/>
          <w:i/>
          <w:sz w:val="24"/>
          <w:szCs w:val="24"/>
        </w:rPr>
        <w:t>“</w:t>
      </w:r>
      <w:r w:rsidRPr="00EA01DC">
        <w:rPr>
          <w:rFonts w:ascii="Arial" w:hAnsi="Arial" w:cs="Arial"/>
          <w:i/>
          <w:sz w:val="24"/>
          <w:szCs w:val="24"/>
        </w:rPr>
        <w:t>OPDC local CDM activities for 2006 through 2008 have resulted in annual energy savings of 1.5% of forecasted load based on Ontario Power Authority Conservation Results for OPDC in 2008.  It is OPDC's view that a similar level of savings will continue in 2009 and 2010</w:t>
      </w:r>
      <w:r w:rsidRPr="00EA01DC">
        <w:rPr>
          <w:rFonts w:ascii="Arial" w:hAnsi="Arial" w:cs="Arial"/>
          <w:sz w:val="24"/>
          <w:szCs w:val="24"/>
        </w:rPr>
        <w:t>.</w:t>
      </w:r>
      <w:r>
        <w:rPr>
          <w:rFonts w:ascii="Arial" w:hAnsi="Arial" w:cs="Arial"/>
          <w:sz w:val="24"/>
          <w:szCs w:val="24"/>
        </w:rPr>
        <w:t>”</w:t>
      </w:r>
      <w:r w:rsidRPr="00EA01DC">
        <w:rPr>
          <w:rFonts w:ascii="Arial" w:hAnsi="Arial" w:cs="Arial"/>
          <w:sz w:val="24"/>
          <w:szCs w:val="24"/>
        </w:rPr>
        <w:t xml:space="preserve"> -</w:t>
      </w:r>
      <w:r>
        <w:rPr>
          <w:color w:val="0000FF"/>
        </w:rPr>
        <w:t xml:space="preserve"> </w:t>
      </w:r>
      <w:r w:rsidRPr="00385B86">
        <w:rPr>
          <w:rFonts w:ascii="Arial" w:hAnsi="Arial" w:cs="Arial"/>
          <w:sz w:val="24"/>
          <w:szCs w:val="24"/>
        </w:rPr>
        <w:t>Orillia Response 091202_PO1_EB-2009-0273_BdStaff_IRs</w:t>
      </w:r>
      <w:r w:rsidR="0041564B">
        <w:rPr>
          <w:rFonts w:ascii="Arial" w:hAnsi="Arial" w:cs="Arial"/>
          <w:sz w:val="24"/>
          <w:szCs w:val="24"/>
        </w:rPr>
        <w:t>.pdf</w:t>
      </w:r>
      <w:r>
        <w:rPr>
          <w:rFonts w:ascii="Arial" w:hAnsi="Arial" w:cs="Arial"/>
          <w:sz w:val="24"/>
          <w:szCs w:val="24"/>
        </w:rPr>
        <w:t xml:space="preserve"> (Page 22 of 75).</w:t>
      </w:r>
    </w:p>
    <w:p w:rsidR="0041564B" w:rsidRDefault="0089044C" w:rsidP="009B3611">
      <w:pPr>
        <w:rPr>
          <w:rFonts w:ascii="Arial" w:hAnsi="Arial" w:cs="Arial"/>
          <w:sz w:val="24"/>
          <w:szCs w:val="24"/>
        </w:rPr>
      </w:pPr>
      <w:r>
        <w:rPr>
          <w:rFonts w:ascii="Arial" w:hAnsi="Arial" w:cs="Arial"/>
          <w:sz w:val="24"/>
          <w:szCs w:val="24"/>
        </w:rPr>
        <w:t>Further, i</w:t>
      </w:r>
      <w:r w:rsidR="009B19F7">
        <w:rPr>
          <w:rFonts w:ascii="Arial" w:hAnsi="Arial" w:cs="Arial"/>
          <w:sz w:val="24"/>
          <w:szCs w:val="24"/>
        </w:rPr>
        <w:t xml:space="preserve">n </w:t>
      </w:r>
      <w:r w:rsidR="00776949">
        <w:rPr>
          <w:rFonts w:ascii="Arial" w:hAnsi="Arial" w:cs="Arial"/>
          <w:sz w:val="24"/>
          <w:szCs w:val="24"/>
        </w:rPr>
        <w:t xml:space="preserve">response to a </w:t>
      </w:r>
      <w:r w:rsidR="00787AEE">
        <w:rPr>
          <w:rFonts w:ascii="Arial" w:hAnsi="Arial" w:cs="Arial"/>
          <w:sz w:val="24"/>
          <w:szCs w:val="24"/>
        </w:rPr>
        <w:t xml:space="preserve">VECC </w:t>
      </w:r>
      <w:r w:rsidR="009B19F7">
        <w:rPr>
          <w:rFonts w:ascii="Arial" w:hAnsi="Arial" w:cs="Arial"/>
          <w:sz w:val="24"/>
          <w:szCs w:val="24"/>
        </w:rPr>
        <w:t>interrogator</w:t>
      </w:r>
      <w:r w:rsidR="00787AEE">
        <w:rPr>
          <w:rFonts w:ascii="Arial" w:hAnsi="Arial" w:cs="Arial"/>
          <w:sz w:val="24"/>
          <w:szCs w:val="24"/>
        </w:rPr>
        <w:t>y</w:t>
      </w:r>
      <w:r w:rsidR="009B19F7">
        <w:rPr>
          <w:rFonts w:ascii="Arial" w:hAnsi="Arial" w:cs="Arial"/>
          <w:sz w:val="24"/>
          <w:szCs w:val="24"/>
        </w:rPr>
        <w:t xml:space="preserve">, Orillia confirmed that </w:t>
      </w:r>
      <w:r w:rsidR="0041564B">
        <w:rPr>
          <w:rFonts w:ascii="Arial" w:hAnsi="Arial" w:cs="Arial"/>
          <w:sz w:val="24"/>
          <w:szCs w:val="24"/>
        </w:rPr>
        <w:t xml:space="preserve">1.5% reflects the </w:t>
      </w:r>
      <w:r w:rsidR="009B19F7">
        <w:rPr>
          <w:rFonts w:ascii="Arial" w:hAnsi="Arial" w:cs="Arial"/>
          <w:sz w:val="24"/>
          <w:szCs w:val="24"/>
        </w:rPr>
        <w:t>cumulative CDM savings over 2006-2008 and</w:t>
      </w:r>
      <w:r w:rsidR="0041564B">
        <w:rPr>
          <w:rFonts w:ascii="Arial" w:hAnsi="Arial" w:cs="Arial"/>
          <w:sz w:val="24"/>
          <w:szCs w:val="24"/>
        </w:rPr>
        <w:t>, as a result,</w:t>
      </w:r>
      <w:r w:rsidR="009B19F7">
        <w:rPr>
          <w:rFonts w:ascii="Arial" w:hAnsi="Arial" w:cs="Arial"/>
          <w:sz w:val="24"/>
          <w:szCs w:val="24"/>
        </w:rPr>
        <w:t xml:space="preserve"> </w:t>
      </w:r>
      <w:r w:rsidR="0041564B">
        <w:rPr>
          <w:rFonts w:ascii="Arial" w:hAnsi="Arial" w:cs="Arial"/>
          <w:sz w:val="24"/>
          <w:szCs w:val="24"/>
        </w:rPr>
        <w:t>it was appropriate to assume</w:t>
      </w:r>
      <w:r w:rsidR="009B19F7">
        <w:rPr>
          <w:rFonts w:ascii="Arial" w:hAnsi="Arial" w:cs="Arial"/>
          <w:sz w:val="24"/>
          <w:szCs w:val="24"/>
        </w:rPr>
        <w:t xml:space="preserve"> </w:t>
      </w:r>
      <w:r w:rsidR="0041564B">
        <w:rPr>
          <w:rFonts w:ascii="Arial" w:hAnsi="Arial" w:cs="Arial"/>
          <w:sz w:val="24"/>
          <w:szCs w:val="24"/>
        </w:rPr>
        <w:t xml:space="preserve">these savings would result in a 1.5% reduction in usage between </w:t>
      </w:r>
      <w:r w:rsidR="009B19F7">
        <w:rPr>
          <w:rFonts w:ascii="Arial" w:hAnsi="Arial" w:cs="Arial"/>
          <w:sz w:val="24"/>
          <w:szCs w:val="24"/>
        </w:rPr>
        <w:t>2008 and 2009</w:t>
      </w:r>
      <w:r w:rsidR="00916363">
        <w:rPr>
          <w:rFonts w:ascii="Arial" w:hAnsi="Arial" w:cs="Arial"/>
          <w:sz w:val="24"/>
          <w:szCs w:val="24"/>
        </w:rPr>
        <w:t>,</w:t>
      </w:r>
    </w:p>
    <w:p w:rsidR="0041564B" w:rsidRPr="0041564B" w:rsidRDefault="0041564B" w:rsidP="0089044C">
      <w:pPr>
        <w:autoSpaceDE w:val="0"/>
        <w:autoSpaceDN w:val="0"/>
        <w:adjustRightInd w:val="0"/>
        <w:spacing w:after="0"/>
        <w:ind w:left="284"/>
        <w:rPr>
          <w:rFonts w:ascii="Arial" w:hAnsi="Arial" w:cs="Arial"/>
          <w:i/>
          <w:sz w:val="24"/>
          <w:szCs w:val="24"/>
        </w:rPr>
      </w:pPr>
      <w:r>
        <w:rPr>
          <w:rFonts w:ascii="Arial" w:hAnsi="Arial" w:cs="Arial"/>
          <w:i/>
          <w:sz w:val="24"/>
          <w:szCs w:val="24"/>
        </w:rPr>
        <w:t>“</w:t>
      </w:r>
      <w:r w:rsidRPr="0041564B">
        <w:rPr>
          <w:rFonts w:ascii="Arial" w:hAnsi="Arial" w:cs="Arial"/>
          <w:i/>
          <w:sz w:val="24"/>
          <w:szCs w:val="24"/>
        </w:rPr>
        <w:t>OPDC confirms that the 1.5% reflects the cumulative CDM savings over</w:t>
      </w:r>
      <w:r>
        <w:rPr>
          <w:rFonts w:ascii="Arial" w:hAnsi="Arial" w:cs="Arial"/>
          <w:i/>
          <w:sz w:val="24"/>
          <w:szCs w:val="24"/>
        </w:rPr>
        <w:t xml:space="preserve"> </w:t>
      </w:r>
      <w:r w:rsidRPr="0041564B">
        <w:rPr>
          <w:rFonts w:ascii="Arial" w:hAnsi="Arial" w:cs="Arial"/>
          <w:i/>
          <w:sz w:val="24"/>
          <w:szCs w:val="24"/>
        </w:rPr>
        <w:t>2006-2008. In the OPDC load forecas</w:t>
      </w:r>
      <w:r>
        <w:rPr>
          <w:rFonts w:ascii="Arial" w:hAnsi="Arial" w:cs="Arial"/>
          <w:i/>
          <w:sz w:val="24"/>
          <w:szCs w:val="24"/>
        </w:rPr>
        <w:t xml:space="preserve">t model the 2008 weather normal </w:t>
      </w:r>
      <w:r w:rsidRPr="0041564B">
        <w:rPr>
          <w:rFonts w:ascii="Arial" w:hAnsi="Arial" w:cs="Arial"/>
          <w:i/>
          <w:sz w:val="24"/>
          <w:szCs w:val="24"/>
        </w:rPr>
        <w:t>purchased amount which is used as a base to determi</w:t>
      </w:r>
      <w:r>
        <w:rPr>
          <w:rFonts w:ascii="Arial" w:hAnsi="Arial" w:cs="Arial"/>
          <w:i/>
          <w:sz w:val="24"/>
          <w:szCs w:val="24"/>
        </w:rPr>
        <w:t xml:space="preserve">ne the 2010 forecast is </w:t>
      </w:r>
      <w:r w:rsidRPr="0041564B">
        <w:rPr>
          <w:rFonts w:ascii="Arial" w:hAnsi="Arial" w:cs="Arial"/>
          <w:i/>
          <w:sz w:val="24"/>
          <w:szCs w:val="24"/>
        </w:rPr>
        <w:t>344.8 (GWh). However, the actual 2008 purchased amount is 337.3 (GWh).</w:t>
      </w:r>
      <w:r>
        <w:rPr>
          <w:rFonts w:ascii="Arial" w:hAnsi="Arial" w:cs="Arial"/>
          <w:i/>
          <w:sz w:val="24"/>
          <w:szCs w:val="24"/>
        </w:rPr>
        <w:t xml:space="preserve"> </w:t>
      </w:r>
      <w:r w:rsidRPr="0041564B">
        <w:rPr>
          <w:rFonts w:ascii="Arial" w:hAnsi="Arial" w:cs="Arial"/>
          <w:i/>
          <w:sz w:val="24"/>
          <w:szCs w:val="24"/>
        </w:rPr>
        <w:t>This is a difference between the 2008 weat</w:t>
      </w:r>
      <w:r>
        <w:rPr>
          <w:rFonts w:ascii="Arial" w:hAnsi="Arial" w:cs="Arial"/>
          <w:i/>
          <w:sz w:val="24"/>
          <w:szCs w:val="24"/>
        </w:rPr>
        <w:t xml:space="preserve">her normal and actual amount of </w:t>
      </w:r>
      <w:r w:rsidRPr="0041564B">
        <w:rPr>
          <w:rFonts w:ascii="Arial" w:hAnsi="Arial" w:cs="Arial"/>
          <w:i/>
          <w:sz w:val="24"/>
          <w:szCs w:val="24"/>
        </w:rPr>
        <w:t>2.2%.</w:t>
      </w:r>
    </w:p>
    <w:p w:rsidR="0041564B" w:rsidRDefault="0041564B" w:rsidP="00A60FC5">
      <w:pPr>
        <w:autoSpaceDE w:val="0"/>
        <w:autoSpaceDN w:val="0"/>
        <w:adjustRightInd w:val="0"/>
        <w:spacing w:after="0" w:line="160" w:lineRule="exact"/>
        <w:ind w:left="284"/>
        <w:rPr>
          <w:rFonts w:ascii="Arial" w:hAnsi="Arial" w:cs="Arial"/>
          <w:i/>
          <w:sz w:val="24"/>
          <w:szCs w:val="24"/>
        </w:rPr>
      </w:pPr>
    </w:p>
    <w:p w:rsidR="004251E5" w:rsidRDefault="0041564B" w:rsidP="0089044C">
      <w:pPr>
        <w:autoSpaceDE w:val="0"/>
        <w:autoSpaceDN w:val="0"/>
        <w:adjustRightInd w:val="0"/>
        <w:spacing w:after="0"/>
        <w:ind w:left="284"/>
        <w:rPr>
          <w:rFonts w:ascii="Arial" w:hAnsi="Arial" w:cs="Arial"/>
          <w:i/>
          <w:sz w:val="24"/>
          <w:szCs w:val="24"/>
        </w:rPr>
      </w:pPr>
      <w:r w:rsidRPr="0041564B">
        <w:rPr>
          <w:rFonts w:ascii="Arial" w:hAnsi="Arial" w:cs="Arial"/>
          <w:i/>
          <w:sz w:val="24"/>
          <w:szCs w:val="24"/>
        </w:rPr>
        <w:t>Since the weather normal amount is det</w:t>
      </w:r>
      <w:r>
        <w:rPr>
          <w:rFonts w:ascii="Arial" w:hAnsi="Arial" w:cs="Arial"/>
          <w:i/>
          <w:sz w:val="24"/>
          <w:szCs w:val="24"/>
        </w:rPr>
        <w:t xml:space="preserve">ermined based on the prediction </w:t>
      </w:r>
      <w:r w:rsidRPr="0041564B">
        <w:rPr>
          <w:rFonts w:ascii="Arial" w:hAnsi="Arial" w:cs="Arial"/>
          <w:i/>
          <w:sz w:val="24"/>
          <w:szCs w:val="24"/>
        </w:rPr>
        <w:t>model that reflects 13 years of historical data in</w:t>
      </w:r>
      <w:r>
        <w:rPr>
          <w:rFonts w:ascii="Arial" w:hAnsi="Arial" w:cs="Arial"/>
          <w:i/>
          <w:sz w:val="24"/>
          <w:szCs w:val="24"/>
        </w:rPr>
        <w:t xml:space="preserve"> the regression analysis, it is </w:t>
      </w:r>
      <w:r w:rsidRPr="0041564B">
        <w:rPr>
          <w:rFonts w:ascii="Arial" w:hAnsi="Arial" w:cs="Arial"/>
          <w:i/>
          <w:sz w:val="24"/>
          <w:szCs w:val="24"/>
        </w:rPr>
        <w:t>OPDC'</w:t>
      </w:r>
      <w:r>
        <w:rPr>
          <w:rFonts w:ascii="Arial" w:hAnsi="Arial" w:cs="Arial"/>
          <w:i/>
          <w:sz w:val="24"/>
          <w:szCs w:val="24"/>
        </w:rPr>
        <w:t>s</w:t>
      </w:r>
      <w:r w:rsidRPr="0041564B">
        <w:rPr>
          <w:rFonts w:ascii="Arial" w:hAnsi="Arial" w:cs="Arial"/>
          <w:i/>
          <w:sz w:val="24"/>
          <w:szCs w:val="24"/>
        </w:rPr>
        <w:t xml:space="preserve"> view that the actual CDM savings res</w:t>
      </w:r>
      <w:r>
        <w:rPr>
          <w:rFonts w:ascii="Arial" w:hAnsi="Arial" w:cs="Arial"/>
          <w:i/>
          <w:sz w:val="24"/>
          <w:szCs w:val="24"/>
        </w:rPr>
        <w:t xml:space="preserve">ults have not been reflected in </w:t>
      </w:r>
      <w:r w:rsidRPr="0041564B">
        <w:rPr>
          <w:rFonts w:ascii="Arial" w:hAnsi="Arial" w:cs="Arial"/>
          <w:i/>
          <w:sz w:val="24"/>
          <w:szCs w:val="24"/>
        </w:rPr>
        <w:t>the 2008 weather normal amount. This mean</w:t>
      </w:r>
      <w:r>
        <w:rPr>
          <w:rFonts w:ascii="Arial" w:hAnsi="Arial" w:cs="Arial"/>
          <w:i/>
          <w:sz w:val="24"/>
          <w:szCs w:val="24"/>
        </w:rPr>
        <w:t xml:space="preserve">s it is appropriate to make the </w:t>
      </w:r>
      <w:r w:rsidRPr="0041564B">
        <w:rPr>
          <w:rFonts w:ascii="Arial" w:hAnsi="Arial" w:cs="Arial"/>
          <w:i/>
          <w:sz w:val="24"/>
          <w:szCs w:val="24"/>
        </w:rPr>
        <w:t>adjustment of 1.5% to the 2008 weather n</w:t>
      </w:r>
      <w:r>
        <w:rPr>
          <w:rFonts w:ascii="Arial" w:hAnsi="Arial" w:cs="Arial"/>
          <w:i/>
          <w:sz w:val="24"/>
          <w:szCs w:val="24"/>
        </w:rPr>
        <w:t xml:space="preserve">ormal amount for CDM savings to </w:t>
      </w:r>
      <w:r w:rsidRPr="0041564B">
        <w:rPr>
          <w:rFonts w:ascii="Arial" w:hAnsi="Arial" w:cs="Arial"/>
          <w:i/>
          <w:sz w:val="24"/>
          <w:szCs w:val="24"/>
        </w:rPr>
        <w:t>produce the 2010 forecast.</w:t>
      </w:r>
      <w:r>
        <w:rPr>
          <w:rFonts w:ascii="Arial" w:hAnsi="Arial" w:cs="Arial"/>
          <w:i/>
          <w:sz w:val="24"/>
          <w:szCs w:val="24"/>
        </w:rPr>
        <w:t>”</w:t>
      </w:r>
    </w:p>
    <w:p w:rsidR="004251E5" w:rsidRDefault="004251E5" w:rsidP="00225003">
      <w:pPr>
        <w:autoSpaceDE w:val="0"/>
        <w:autoSpaceDN w:val="0"/>
        <w:adjustRightInd w:val="0"/>
        <w:spacing w:after="0" w:line="160" w:lineRule="exact"/>
        <w:ind w:left="284"/>
        <w:rPr>
          <w:rFonts w:ascii="Arial" w:hAnsi="Arial" w:cs="Arial"/>
          <w:sz w:val="24"/>
          <w:szCs w:val="24"/>
        </w:rPr>
      </w:pPr>
    </w:p>
    <w:p w:rsidR="00385B86" w:rsidRPr="0041564B" w:rsidRDefault="004251E5" w:rsidP="0089044C">
      <w:pPr>
        <w:autoSpaceDE w:val="0"/>
        <w:autoSpaceDN w:val="0"/>
        <w:adjustRightInd w:val="0"/>
        <w:spacing w:after="0"/>
        <w:ind w:left="284"/>
        <w:rPr>
          <w:rFonts w:ascii="Arial" w:hAnsi="Arial" w:cs="Arial"/>
          <w:i/>
          <w:sz w:val="24"/>
          <w:szCs w:val="24"/>
        </w:rPr>
      </w:pPr>
      <w:r>
        <w:rPr>
          <w:rFonts w:ascii="Arial" w:hAnsi="Arial" w:cs="Arial"/>
          <w:i/>
          <w:sz w:val="24"/>
          <w:szCs w:val="24"/>
        </w:rPr>
        <w:t xml:space="preserve"> </w:t>
      </w:r>
      <w:r w:rsidR="0089044C" w:rsidRPr="009F152E">
        <w:rPr>
          <w:rFonts w:ascii="Arial" w:hAnsi="Arial" w:cs="Arial"/>
          <w:sz w:val="24"/>
          <w:szCs w:val="24"/>
        </w:rPr>
        <w:t>Orillia_</w:t>
      </w:r>
      <w:r w:rsidR="0089044C">
        <w:rPr>
          <w:rFonts w:ascii="Arial" w:hAnsi="Arial" w:cs="Arial"/>
          <w:sz w:val="24"/>
          <w:szCs w:val="24"/>
        </w:rPr>
        <w:t>IRR</w:t>
      </w:r>
      <w:r w:rsidR="0089044C" w:rsidRPr="009F152E">
        <w:rPr>
          <w:rFonts w:ascii="Arial" w:hAnsi="Arial" w:cs="Arial"/>
          <w:sz w:val="24"/>
          <w:szCs w:val="24"/>
        </w:rPr>
        <w:t>_</w:t>
      </w:r>
      <w:r w:rsidR="0089044C">
        <w:rPr>
          <w:rFonts w:ascii="Arial" w:hAnsi="Arial" w:cs="Arial"/>
          <w:sz w:val="24"/>
          <w:szCs w:val="24"/>
        </w:rPr>
        <w:t>VECC</w:t>
      </w:r>
      <w:r w:rsidR="0089044C" w:rsidRPr="009F152E">
        <w:rPr>
          <w:rFonts w:ascii="Arial" w:hAnsi="Arial" w:cs="Arial"/>
          <w:sz w:val="24"/>
          <w:szCs w:val="24"/>
        </w:rPr>
        <w:t>_201</w:t>
      </w:r>
      <w:r w:rsidR="0089044C">
        <w:rPr>
          <w:rFonts w:ascii="Arial" w:hAnsi="Arial" w:cs="Arial"/>
          <w:sz w:val="24"/>
          <w:szCs w:val="24"/>
        </w:rPr>
        <w:t>001114.pdf</w:t>
      </w:r>
      <w:r w:rsidR="0089044C" w:rsidRPr="009F152E">
        <w:rPr>
          <w:rFonts w:ascii="Arial" w:hAnsi="Arial" w:cs="Arial"/>
          <w:sz w:val="24"/>
          <w:szCs w:val="24"/>
        </w:rPr>
        <w:t xml:space="preserve">, </w:t>
      </w:r>
      <w:r w:rsidR="0089044C">
        <w:rPr>
          <w:rFonts w:ascii="Arial" w:hAnsi="Arial" w:cs="Arial"/>
          <w:sz w:val="24"/>
          <w:szCs w:val="24"/>
        </w:rPr>
        <w:t>Page 11 (Question #34).</w:t>
      </w:r>
    </w:p>
    <w:p w:rsidR="006671CB" w:rsidRDefault="006671CB" w:rsidP="006671CB">
      <w:pPr>
        <w:spacing w:after="0"/>
        <w:rPr>
          <w:rFonts w:ascii="Arial" w:hAnsi="Arial" w:cs="Arial"/>
          <w:sz w:val="24"/>
          <w:szCs w:val="24"/>
        </w:rPr>
      </w:pPr>
    </w:p>
    <w:p w:rsidR="00C8115C" w:rsidRPr="007E5A8F" w:rsidRDefault="007E5A8F" w:rsidP="008C01F5">
      <w:pPr>
        <w:rPr>
          <w:rFonts w:ascii="Arial" w:hAnsi="Arial" w:cs="Arial"/>
          <w:sz w:val="24"/>
          <w:szCs w:val="24"/>
          <w:u w:val="single"/>
        </w:rPr>
      </w:pPr>
      <w:r>
        <w:rPr>
          <w:rFonts w:ascii="Arial" w:hAnsi="Arial" w:cs="Arial"/>
          <w:sz w:val="24"/>
          <w:szCs w:val="24"/>
          <w:u w:val="single"/>
        </w:rPr>
        <w:t xml:space="preserve">Reply </w:t>
      </w:r>
      <w:r w:rsidR="00C8115C" w:rsidRPr="007E5A8F">
        <w:rPr>
          <w:rFonts w:ascii="Arial" w:hAnsi="Arial" w:cs="Arial"/>
          <w:sz w:val="24"/>
          <w:szCs w:val="24"/>
          <w:u w:val="single"/>
        </w:rPr>
        <w:t>Summary:</w:t>
      </w:r>
    </w:p>
    <w:p w:rsidR="006671CB" w:rsidRDefault="00C8115C" w:rsidP="009B3611">
      <w:pPr>
        <w:rPr>
          <w:rFonts w:ascii="Arial" w:hAnsi="Arial" w:cs="Arial"/>
          <w:sz w:val="24"/>
          <w:szCs w:val="24"/>
        </w:rPr>
      </w:pPr>
      <w:r>
        <w:rPr>
          <w:rFonts w:ascii="Arial" w:hAnsi="Arial" w:cs="Arial"/>
          <w:sz w:val="24"/>
          <w:szCs w:val="24"/>
        </w:rPr>
        <w:t>T</w:t>
      </w:r>
      <w:r w:rsidR="006671CB" w:rsidRPr="006671CB">
        <w:rPr>
          <w:rFonts w:ascii="Arial" w:hAnsi="Arial" w:cs="Arial"/>
          <w:sz w:val="24"/>
          <w:szCs w:val="24"/>
        </w:rPr>
        <w:t xml:space="preserve">he </w:t>
      </w:r>
      <w:r w:rsidR="0003321A">
        <w:rPr>
          <w:rFonts w:ascii="Arial" w:hAnsi="Arial" w:cs="Arial"/>
          <w:sz w:val="24"/>
          <w:szCs w:val="24"/>
        </w:rPr>
        <w:t>Board D</w:t>
      </w:r>
      <w:r w:rsidR="006671CB" w:rsidRPr="006671CB">
        <w:rPr>
          <w:rFonts w:ascii="Arial" w:hAnsi="Arial" w:cs="Arial"/>
          <w:sz w:val="24"/>
          <w:szCs w:val="24"/>
        </w:rPr>
        <w:t>ecision</w:t>
      </w:r>
      <w:r w:rsidR="0003321A">
        <w:rPr>
          <w:rFonts w:ascii="Arial" w:hAnsi="Arial" w:cs="Arial"/>
          <w:sz w:val="24"/>
          <w:szCs w:val="24"/>
        </w:rPr>
        <w:t xml:space="preserve"> and Order</w:t>
      </w:r>
      <w:r w:rsidR="006671CB" w:rsidRPr="006671CB">
        <w:rPr>
          <w:rFonts w:ascii="Arial" w:hAnsi="Arial" w:cs="Arial"/>
          <w:sz w:val="24"/>
          <w:szCs w:val="24"/>
        </w:rPr>
        <w:t xml:space="preserve"> </w:t>
      </w:r>
      <w:r w:rsidR="0003321A">
        <w:rPr>
          <w:rFonts w:ascii="Arial" w:hAnsi="Arial" w:cs="Arial"/>
          <w:sz w:val="24"/>
          <w:szCs w:val="24"/>
        </w:rPr>
        <w:t>(</w:t>
      </w:r>
      <w:r w:rsidR="006671CB" w:rsidRPr="006671CB">
        <w:rPr>
          <w:rFonts w:ascii="Arial" w:hAnsi="Arial" w:cs="Arial"/>
          <w:sz w:val="24"/>
          <w:szCs w:val="24"/>
        </w:rPr>
        <w:t>EB-2009-0273</w:t>
      </w:r>
      <w:r w:rsidR="0003321A">
        <w:rPr>
          <w:rFonts w:ascii="Arial" w:hAnsi="Arial" w:cs="Arial"/>
          <w:sz w:val="24"/>
          <w:szCs w:val="24"/>
        </w:rPr>
        <w:t>)</w:t>
      </w:r>
      <w:r w:rsidR="006671CB" w:rsidRPr="006671CB">
        <w:rPr>
          <w:rFonts w:ascii="Arial" w:hAnsi="Arial" w:cs="Arial"/>
          <w:sz w:val="24"/>
          <w:szCs w:val="24"/>
        </w:rPr>
        <w:t xml:space="preserve"> is based on a 2010 load forecast adjusted for CDM impacts from CDM programs offered in Orillia from 2005</w:t>
      </w:r>
      <w:r>
        <w:rPr>
          <w:rFonts w:ascii="Arial" w:hAnsi="Arial" w:cs="Arial"/>
          <w:sz w:val="24"/>
          <w:szCs w:val="24"/>
        </w:rPr>
        <w:t>-</w:t>
      </w:r>
      <w:r w:rsidR="006671CB" w:rsidRPr="006671CB">
        <w:rPr>
          <w:rFonts w:ascii="Arial" w:hAnsi="Arial" w:cs="Arial"/>
          <w:sz w:val="24"/>
          <w:szCs w:val="24"/>
        </w:rPr>
        <w:t xml:space="preserve">2010.  </w:t>
      </w:r>
      <w:r>
        <w:rPr>
          <w:rFonts w:ascii="Arial" w:hAnsi="Arial" w:cs="Arial"/>
          <w:sz w:val="24"/>
          <w:szCs w:val="24"/>
        </w:rPr>
        <w:t xml:space="preserve">Accordingly, the last approved load forecast does not include impacts of CDM programs from 2011 onwards.  </w:t>
      </w:r>
      <w:r w:rsidR="006671CB" w:rsidRPr="006671CB">
        <w:rPr>
          <w:rFonts w:ascii="Arial" w:hAnsi="Arial" w:cs="Arial"/>
          <w:sz w:val="24"/>
          <w:szCs w:val="24"/>
        </w:rPr>
        <w:t>Amounts included in the LRAMVA claim in the Revised Application for rates effective May 1, 2017 are calculated using the results of CDM program</w:t>
      </w:r>
      <w:r w:rsidR="00FC3FA9">
        <w:rPr>
          <w:rFonts w:ascii="Arial" w:hAnsi="Arial" w:cs="Arial"/>
          <w:sz w:val="24"/>
          <w:szCs w:val="24"/>
        </w:rPr>
        <w:t>s offered between 2011 and 2015</w:t>
      </w:r>
      <w:r w:rsidR="006671CB" w:rsidRPr="006671CB">
        <w:rPr>
          <w:rFonts w:ascii="Arial" w:hAnsi="Arial" w:cs="Arial"/>
          <w:sz w:val="24"/>
          <w:szCs w:val="24"/>
        </w:rPr>
        <w:t>. </w:t>
      </w:r>
    </w:p>
    <w:sectPr w:rsidR="006671CB" w:rsidSect="00ED79B6">
      <w:footerReference w:type="default" r:id="rId9"/>
      <w:pgSz w:w="12240" w:h="15840" w:code="1"/>
      <w:pgMar w:top="1247" w:right="1440" w:bottom="124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B13" w:rsidRDefault="00966B13" w:rsidP="00966B13">
      <w:pPr>
        <w:spacing w:after="0" w:line="240" w:lineRule="auto"/>
      </w:pPr>
      <w:r>
        <w:separator/>
      </w:r>
    </w:p>
  </w:endnote>
  <w:endnote w:type="continuationSeparator" w:id="0">
    <w:p w:rsidR="00966B13" w:rsidRDefault="00966B13" w:rsidP="00966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B13" w:rsidRDefault="00966B13">
    <w:pPr>
      <w:pStyle w:val="Footer"/>
      <w:jc w:val="center"/>
    </w:pPr>
  </w:p>
  <w:p w:rsidR="00520114" w:rsidRPr="00074087" w:rsidRDefault="00520114" w:rsidP="00520114">
    <w:pPr>
      <w:pStyle w:val="Header"/>
      <w:jc w:val="center"/>
      <w:rPr>
        <w:rFonts w:ascii="Arial" w:hAnsi="Arial" w:cs="Arial"/>
        <w:b/>
        <w:sz w:val="20"/>
        <w:szCs w:val="20"/>
      </w:rPr>
    </w:pPr>
    <w:r w:rsidRPr="00074087">
      <w:rPr>
        <w:rFonts w:ascii="Arial" w:hAnsi="Arial" w:cs="Arial"/>
        <w:b/>
        <w:sz w:val="20"/>
        <w:szCs w:val="20"/>
      </w:rPr>
      <w:t xml:space="preserve">Page </w:t>
    </w:r>
    <w:r w:rsidRPr="00074087">
      <w:rPr>
        <w:rFonts w:ascii="Arial" w:hAnsi="Arial" w:cs="Arial"/>
        <w:b/>
        <w:sz w:val="20"/>
        <w:szCs w:val="20"/>
      </w:rPr>
      <w:fldChar w:fldCharType="begin"/>
    </w:r>
    <w:r w:rsidRPr="00074087">
      <w:rPr>
        <w:rFonts w:ascii="Arial" w:hAnsi="Arial" w:cs="Arial"/>
        <w:b/>
        <w:sz w:val="20"/>
        <w:szCs w:val="20"/>
      </w:rPr>
      <w:instrText xml:space="preserve"> PAGE  \* Arabic  \* MERGEFORMAT </w:instrText>
    </w:r>
    <w:r w:rsidRPr="00074087">
      <w:rPr>
        <w:rFonts w:ascii="Arial" w:hAnsi="Arial" w:cs="Arial"/>
        <w:b/>
        <w:sz w:val="20"/>
        <w:szCs w:val="20"/>
      </w:rPr>
      <w:fldChar w:fldCharType="separate"/>
    </w:r>
    <w:r w:rsidR="00943428">
      <w:rPr>
        <w:rFonts w:ascii="Arial" w:hAnsi="Arial" w:cs="Arial"/>
        <w:b/>
        <w:noProof/>
        <w:sz w:val="20"/>
        <w:szCs w:val="20"/>
      </w:rPr>
      <w:t>2</w:t>
    </w:r>
    <w:r w:rsidRPr="00074087">
      <w:rPr>
        <w:rFonts w:ascii="Arial" w:hAnsi="Arial" w:cs="Arial"/>
        <w:b/>
        <w:sz w:val="20"/>
        <w:szCs w:val="20"/>
      </w:rPr>
      <w:fldChar w:fldCharType="end"/>
    </w:r>
    <w:r w:rsidRPr="00074087">
      <w:rPr>
        <w:rFonts w:ascii="Arial" w:hAnsi="Arial" w:cs="Arial"/>
        <w:b/>
        <w:sz w:val="20"/>
        <w:szCs w:val="20"/>
      </w:rPr>
      <w:t xml:space="preserve"> of </w:t>
    </w:r>
    <w:r w:rsidRPr="00074087">
      <w:rPr>
        <w:rFonts w:ascii="Arial" w:hAnsi="Arial" w:cs="Arial"/>
        <w:b/>
        <w:sz w:val="20"/>
        <w:szCs w:val="20"/>
      </w:rPr>
      <w:fldChar w:fldCharType="begin"/>
    </w:r>
    <w:r w:rsidRPr="00074087">
      <w:rPr>
        <w:rFonts w:ascii="Arial" w:hAnsi="Arial" w:cs="Arial"/>
        <w:b/>
        <w:sz w:val="20"/>
        <w:szCs w:val="20"/>
      </w:rPr>
      <w:instrText xml:space="preserve"> NUMPAGES  \* Arabic  \* MERGEFORMAT </w:instrText>
    </w:r>
    <w:r w:rsidRPr="00074087">
      <w:rPr>
        <w:rFonts w:ascii="Arial" w:hAnsi="Arial" w:cs="Arial"/>
        <w:b/>
        <w:sz w:val="20"/>
        <w:szCs w:val="20"/>
      </w:rPr>
      <w:fldChar w:fldCharType="separate"/>
    </w:r>
    <w:r w:rsidR="00943428">
      <w:rPr>
        <w:rFonts w:ascii="Arial" w:hAnsi="Arial" w:cs="Arial"/>
        <w:b/>
        <w:noProof/>
        <w:sz w:val="20"/>
        <w:szCs w:val="20"/>
      </w:rPr>
      <w:t>3</w:t>
    </w:r>
    <w:r w:rsidRPr="00074087">
      <w:rPr>
        <w:rFonts w:ascii="Arial" w:hAnsi="Arial" w:cs="Arial"/>
        <w:b/>
        <w:sz w:val="20"/>
        <w:szCs w:val="20"/>
      </w:rPr>
      <w:fldChar w:fldCharType="end"/>
    </w:r>
  </w:p>
  <w:p w:rsidR="00966B13" w:rsidRDefault="00966B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B13" w:rsidRDefault="00966B13" w:rsidP="00966B13">
      <w:pPr>
        <w:spacing w:after="0" w:line="240" w:lineRule="auto"/>
      </w:pPr>
      <w:r>
        <w:separator/>
      </w:r>
    </w:p>
  </w:footnote>
  <w:footnote w:type="continuationSeparator" w:id="0">
    <w:p w:rsidR="00966B13" w:rsidRDefault="00966B13" w:rsidP="00966B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44C79F2"/>
    <w:lvl w:ilvl="0">
      <w:start w:val="1"/>
      <w:numFmt w:val="decimal"/>
      <w:pStyle w:val="ListNumber"/>
      <w:lvlText w:val="%1."/>
      <w:lvlJc w:val="left"/>
      <w:pPr>
        <w:tabs>
          <w:tab w:val="num" w:pos="454"/>
        </w:tabs>
        <w:ind w:left="454" w:hanging="454"/>
      </w:pPr>
      <w:rPr>
        <w:b/>
      </w:rPr>
    </w:lvl>
  </w:abstractNum>
  <w:abstractNum w:abstractNumId="1">
    <w:nsid w:val="04165F1B"/>
    <w:multiLevelType w:val="hybridMultilevel"/>
    <w:tmpl w:val="83A268B0"/>
    <w:lvl w:ilvl="0" w:tplc="8B8AC4C0">
      <w:start w:val="3"/>
      <w:numFmt w:val="lowerRoman"/>
      <w:lvlText w:val="%1)"/>
      <w:lvlJc w:val="left"/>
      <w:pPr>
        <w:ind w:left="108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85F6793"/>
    <w:multiLevelType w:val="hybridMultilevel"/>
    <w:tmpl w:val="0D749D2C"/>
    <w:lvl w:ilvl="0" w:tplc="09683022">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C0540D0"/>
    <w:multiLevelType w:val="hybridMultilevel"/>
    <w:tmpl w:val="8A0A450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0DE4534"/>
    <w:multiLevelType w:val="hybridMultilevel"/>
    <w:tmpl w:val="749E6176"/>
    <w:lvl w:ilvl="0" w:tplc="5B7292CE">
      <w:start w:val="1"/>
      <w:numFmt w:val="lowerLetter"/>
      <w:lvlText w:val="%1)"/>
      <w:lvlJc w:val="left"/>
      <w:pPr>
        <w:ind w:left="450" w:hanging="360"/>
      </w:pPr>
      <w:rPr>
        <w:b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nsid w:val="1CC84927"/>
    <w:multiLevelType w:val="hybridMultilevel"/>
    <w:tmpl w:val="BD90C35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24256965"/>
    <w:multiLevelType w:val="hybridMultilevel"/>
    <w:tmpl w:val="101C6C7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44941F2"/>
    <w:multiLevelType w:val="hybridMultilevel"/>
    <w:tmpl w:val="D02CB1F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2E3016D7"/>
    <w:multiLevelType w:val="hybridMultilevel"/>
    <w:tmpl w:val="BDCA7A7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391E60A7"/>
    <w:multiLevelType w:val="hybridMultilevel"/>
    <w:tmpl w:val="B6988D1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39BB6B12"/>
    <w:multiLevelType w:val="hybridMultilevel"/>
    <w:tmpl w:val="5E1CEAE8"/>
    <w:lvl w:ilvl="0" w:tplc="8A16F48A">
      <w:start w:val="1"/>
      <w:numFmt w:val="lowerLetter"/>
      <w:lvlText w:val="%1)"/>
      <w:lvlJc w:val="left"/>
      <w:pPr>
        <w:ind w:left="720" w:hanging="360"/>
      </w:pPr>
      <w:rPr>
        <w:rFonts w:ascii="Arial" w:eastAsiaTheme="minorHAnsi"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39EB21D2"/>
    <w:multiLevelType w:val="hybridMultilevel"/>
    <w:tmpl w:val="A8647E7A"/>
    <w:lvl w:ilvl="0" w:tplc="04BCDF1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3B225343"/>
    <w:multiLevelType w:val="hybridMultilevel"/>
    <w:tmpl w:val="516C35F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3BDB10F8"/>
    <w:multiLevelType w:val="hybridMultilevel"/>
    <w:tmpl w:val="80EC6BB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3DAF123C"/>
    <w:multiLevelType w:val="hybridMultilevel"/>
    <w:tmpl w:val="C0A06FDA"/>
    <w:lvl w:ilvl="0" w:tplc="10090017">
      <w:start w:val="1"/>
      <w:numFmt w:val="lowerLetter"/>
      <w:lvlText w:val="%1)"/>
      <w:lvlJc w:val="left"/>
      <w:pPr>
        <w:ind w:left="1572" w:hanging="360"/>
      </w:pPr>
      <w:rPr>
        <w:rFonts w:hint="default"/>
      </w:rPr>
    </w:lvl>
    <w:lvl w:ilvl="1" w:tplc="10090019" w:tentative="1">
      <w:start w:val="1"/>
      <w:numFmt w:val="lowerLetter"/>
      <w:lvlText w:val="%2."/>
      <w:lvlJc w:val="left"/>
      <w:pPr>
        <w:ind w:left="2292" w:hanging="360"/>
      </w:pPr>
    </w:lvl>
    <w:lvl w:ilvl="2" w:tplc="1009001B" w:tentative="1">
      <w:start w:val="1"/>
      <w:numFmt w:val="lowerRoman"/>
      <w:lvlText w:val="%3."/>
      <w:lvlJc w:val="right"/>
      <w:pPr>
        <w:ind w:left="3012" w:hanging="180"/>
      </w:pPr>
    </w:lvl>
    <w:lvl w:ilvl="3" w:tplc="1009000F" w:tentative="1">
      <w:start w:val="1"/>
      <w:numFmt w:val="decimal"/>
      <w:lvlText w:val="%4."/>
      <w:lvlJc w:val="left"/>
      <w:pPr>
        <w:ind w:left="3732" w:hanging="360"/>
      </w:pPr>
    </w:lvl>
    <w:lvl w:ilvl="4" w:tplc="10090019" w:tentative="1">
      <w:start w:val="1"/>
      <w:numFmt w:val="lowerLetter"/>
      <w:lvlText w:val="%5."/>
      <w:lvlJc w:val="left"/>
      <w:pPr>
        <w:ind w:left="4452" w:hanging="360"/>
      </w:pPr>
    </w:lvl>
    <w:lvl w:ilvl="5" w:tplc="1009001B" w:tentative="1">
      <w:start w:val="1"/>
      <w:numFmt w:val="lowerRoman"/>
      <w:lvlText w:val="%6."/>
      <w:lvlJc w:val="right"/>
      <w:pPr>
        <w:ind w:left="5172" w:hanging="180"/>
      </w:pPr>
    </w:lvl>
    <w:lvl w:ilvl="6" w:tplc="1009000F" w:tentative="1">
      <w:start w:val="1"/>
      <w:numFmt w:val="decimal"/>
      <w:lvlText w:val="%7."/>
      <w:lvlJc w:val="left"/>
      <w:pPr>
        <w:ind w:left="5892" w:hanging="360"/>
      </w:pPr>
    </w:lvl>
    <w:lvl w:ilvl="7" w:tplc="10090019" w:tentative="1">
      <w:start w:val="1"/>
      <w:numFmt w:val="lowerLetter"/>
      <w:lvlText w:val="%8."/>
      <w:lvlJc w:val="left"/>
      <w:pPr>
        <w:ind w:left="6612" w:hanging="360"/>
      </w:pPr>
    </w:lvl>
    <w:lvl w:ilvl="8" w:tplc="1009001B" w:tentative="1">
      <w:start w:val="1"/>
      <w:numFmt w:val="lowerRoman"/>
      <w:lvlText w:val="%9."/>
      <w:lvlJc w:val="right"/>
      <w:pPr>
        <w:ind w:left="7332" w:hanging="180"/>
      </w:pPr>
    </w:lvl>
  </w:abstractNum>
  <w:abstractNum w:abstractNumId="15">
    <w:nsid w:val="49515CE2"/>
    <w:multiLevelType w:val="hybridMultilevel"/>
    <w:tmpl w:val="00841BF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4D1D1DBE"/>
    <w:multiLevelType w:val="hybridMultilevel"/>
    <w:tmpl w:val="95F41A0C"/>
    <w:lvl w:ilvl="0" w:tplc="9F0E608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540E5BB4"/>
    <w:multiLevelType w:val="hybridMultilevel"/>
    <w:tmpl w:val="86B8D08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57435F6E"/>
    <w:multiLevelType w:val="hybridMultilevel"/>
    <w:tmpl w:val="CA30229C"/>
    <w:lvl w:ilvl="0" w:tplc="4A7E1B66">
      <w:start w:val="1"/>
      <w:numFmt w:val="lowerLetter"/>
      <w:lvlText w:val="%1)"/>
      <w:lvlJc w:val="left"/>
      <w:pPr>
        <w:ind w:left="927" w:hanging="360"/>
      </w:pPr>
      <w:rPr>
        <w:rFonts w:hint="default"/>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9">
    <w:nsid w:val="58655DAE"/>
    <w:multiLevelType w:val="hybridMultilevel"/>
    <w:tmpl w:val="DD22EDC2"/>
    <w:lvl w:ilvl="0" w:tplc="1009000F">
      <w:start w:val="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5DC93611"/>
    <w:multiLevelType w:val="hybridMultilevel"/>
    <w:tmpl w:val="7D42CCE2"/>
    <w:lvl w:ilvl="0" w:tplc="AC22138C">
      <w:start w:val="1"/>
      <w:numFmt w:val="lowerLetter"/>
      <w:lvlText w:val="%1)"/>
      <w:lvlJc w:val="left"/>
      <w:pPr>
        <w:ind w:left="720" w:hanging="360"/>
      </w:pPr>
      <w:rPr>
        <w:rFonts w:ascii="Arial" w:eastAsiaTheme="minorHAnsi" w:hAnsi="Arial" w:cs="Aria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64F009FF"/>
    <w:multiLevelType w:val="hybridMultilevel"/>
    <w:tmpl w:val="B26208A6"/>
    <w:lvl w:ilvl="0" w:tplc="10090017">
      <w:start w:val="9"/>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6942534F"/>
    <w:multiLevelType w:val="hybridMultilevel"/>
    <w:tmpl w:val="9A88C01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6C78101A"/>
    <w:multiLevelType w:val="hybridMultilevel"/>
    <w:tmpl w:val="4F3C07F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77456D2F"/>
    <w:multiLevelType w:val="hybridMultilevel"/>
    <w:tmpl w:val="D130BDF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0"/>
    <w:lvlOverride w:ilvl="0">
      <w:startOverride w:val="1"/>
    </w:lvlOverride>
  </w:num>
  <w:num w:numId="3">
    <w:abstractNumId w:val="13"/>
  </w:num>
  <w:num w:numId="4">
    <w:abstractNumId w:val="8"/>
  </w:num>
  <w:num w:numId="5">
    <w:abstractNumId w:val="18"/>
  </w:num>
  <w:num w:numId="6">
    <w:abstractNumId w:val="14"/>
  </w:num>
  <w:num w:numId="7">
    <w:abstractNumId w:val="20"/>
  </w:num>
  <w:num w:numId="8">
    <w:abstractNumId w:val="6"/>
  </w:num>
  <w:num w:numId="9">
    <w:abstractNumId w:val="9"/>
  </w:num>
  <w:num w:numId="10">
    <w:abstractNumId w:val="19"/>
  </w:num>
  <w:num w:numId="11">
    <w:abstractNumId w:val="16"/>
  </w:num>
  <w:num w:numId="12">
    <w:abstractNumId w:val="23"/>
  </w:num>
  <w:num w:numId="13">
    <w:abstractNumId w:val="7"/>
  </w:num>
  <w:num w:numId="14">
    <w:abstractNumId w:val="11"/>
  </w:num>
  <w:num w:numId="15">
    <w:abstractNumId w:val="24"/>
  </w:num>
  <w:num w:numId="16">
    <w:abstractNumId w:val="4"/>
  </w:num>
  <w:num w:numId="17">
    <w:abstractNumId w:val="5"/>
  </w:num>
  <w:num w:numId="18">
    <w:abstractNumId w:val="10"/>
  </w:num>
  <w:num w:numId="19">
    <w:abstractNumId w:val="15"/>
  </w:num>
  <w:num w:numId="20">
    <w:abstractNumId w:val="17"/>
  </w:num>
  <w:num w:numId="21">
    <w:abstractNumId w:val="21"/>
  </w:num>
  <w:num w:numId="22">
    <w:abstractNumId w:val="1"/>
  </w:num>
  <w:num w:numId="23">
    <w:abstractNumId w:val="2"/>
  </w:num>
  <w:num w:numId="24">
    <w:abstractNumId w:val="22"/>
  </w:num>
  <w:num w:numId="2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8DD"/>
    <w:rsid w:val="00000D84"/>
    <w:rsid w:val="00001CC0"/>
    <w:rsid w:val="0000537B"/>
    <w:rsid w:val="00006F07"/>
    <w:rsid w:val="000157F3"/>
    <w:rsid w:val="00021487"/>
    <w:rsid w:val="0003311B"/>
    <w:rsid w:val="0003321A"/>
    <w:rsid w:val="00040964"/>
    <w:rsid w:val="00042149"/>
    <w:rsid w:val="00051302"/>
    <w:rsid w:val="000551AB"/>
    <w:rsid w:val="000655ED"/>
    <w:rsid w:val="00070A6E"/>
    <w:rsid w:val="00072F6D"/>
    <w:rsid w:val="00073A87"/>
    <w:rsid w:val="00075CBA"/>
    <w:rsid w:val="0009042E"/>
    <w:rsid w:val="000A0D92"/>
    <w:rsid w:val="000A11A9"/>
    <w:rsid w:val="000A1B49"/>
    <w:rsid w:val="000A6DBE"/>
    <w:rsid w:val="000B4006"/>
    <w:rsid w:val="000C0637"/>
    <w:rsid w:val="000C604C"/>
    <w:rsid w:val="000D6258"/>
    <w:rsid w:val="000F4BD6"/>
    <w:rsid w:val="00102FB6"/>
    <w:rsid w:val="0011258A"/>
    <w:rsid w:val="0011627C"/>
    <w:rsid w:val="00120BD2"/>
    <w:rsid w:val="001249AD"/>
    <w:rsid w:val="0012739E"/>
    <w:rsid w:val="001425AD"/>
    <w:rsid w:val="001441A7"/>
    <w:rsid w:val="00157F20"/>
    <w:rsid w:val="00161394"/>
    <w:rsid w:val="00172223"/>
    <w:rsid w:val="00172965"/>
    <w:rsid w:val="00180280"/>
    <w:rsid w:val="00183451"/>
    <w:rsid w:val="00190F62"/>
    <w:rsid w:val="00192650"/>
    <w:rsid w:val="00195D48"/>
    <w:rsid w:val="001B202E"/>
    <w:rsid w:val="001B4FBD"/>
    <w:rsid w:val="001D347D"/>
    <w:rsid w:val="001D3947"/>
    <w:rsid w:val="001D4012"/>
    <w:rsid w:val="001D4966"/>
    <w:rsid w:val="001D7A75"/>
    <w:rsid w:val="001E2B9B"/>
    <w:rsid w:val="001F63EC"/>
    <w:rsid w:val="001F7168"/>
    <w:rsid w:val="00202BED"/>
    <w:rsid w:val="0020501A"/>
    <w:rsid w:val="00222AE8"/>
    <w:rsid w:val="00225003"/>
    <w:rsid w:val="00232A73"/>
    <w:rsid w:val="002400E5"/>
    <w:rsid w:val="0024187C"/>
    <w:rsid w:val="0024383D"/>
    <w:rsid w:val="00255013"/>
    <w:rsid w:val="00255C5D"/>
    <w:rsid w:val="00270C2D"/>
    <w:rsid w:val="002849D5"/>
    <w:rsid w:val="0029148F"/>
    <w:rsid w:val="002A0F2C"/>
    <w:rsid w:val="002A1C95"/>
    <w:rsid w:val="002A2BA4"/>
    <w:rsid w:val="002B1D2F"/>
    <w:rsid w:val="002B366A"/>
    <w:rsid w:val="002C2722"/>
    <w:rsid w:val="002D36D2"/>
    <w:rsid w:val="002E045D"/>
    <w:rsid w:val="002E7242"/>
    <w:rsid w:val="002F0701"/>
    <w:rsid w:val="002F1C83"/>
    <w:rsid w:val="002F5184"/>
    <w:rsid w:val="003009D0"/>
    <w:rsid w:val="00303D5C"/>
    <w:rsid w:val="00315B99"/>
    <w:rsid w:val="0032535B"/>
    <w:rsid w:val="00325B04"/>
    <w:rsid w:val="00326D25"/>
    <w:rsid w:val="003322F4"/>
    <w:rsid w:val="0033657D"/>
    <w:rsid w:val="00340EFE"/>
    <w:rsid w:val="003423F5"/>
    <w:rsid w:val="00342841"/>
    <w:rsid w:val="00346286"/>
    <w:rsid w:val="003475B7"/>
    <w:rsid w:val="0038295A"/>
    <w:rsid w:val="003836EE"/>
    <w:rsid w:val="00385B86"/>
    <w:rsid w:val="00391B5E"/>
    <w:rsid w:val="00395894"/>
    <w:rsid w:val="003A0AE3"/>
    <w:rsid w:val="003A6E65"/>
    <w:rsid w:val="003B032B"/>
    <w:rsid w:val="003C7BF3"/>
    <w:rsid w:val="003D55F7"/>
    <w:rsid w:val="003E14A5"/>
    <w:rsid w:val="003E5F35"/>
    <w:rsid w:val="003F25E2"/>
    <w:rsid w:val="003F4A15"/>
    <w:rsid w:val="003F68EC"/>
    <w:rsid w:val="00402E1F"/>
    <w:rsid w:val="00411508"/>
    <w:rsid w:val="00412043"/>
    <w:rsid w:val="00412DC6"/>
    <w:rsid w:val="004131BA"/>
    <w:rsid w:val="0041564B"/>
    <w:rsid w:val="00421EFE"/>
    <w:rsid w:val="004251E5"/>
    <w:rsid w:val="0042568D"/>
    <w:rsid w:val="00426EEF"/>
    <w:rsid w:val="004313B7"/>
    <w:rsid w:val="00432A9C"/>
    <w:rsid w:val="0044202D"/>
    <w:rsid w:val="00451557"/>
    <w:rsid w:val="0045237D"/>
    <w:rsid w:val="004579C1"/>
    <w:rsid w:val="00463F48"/>
    <w:rsid w:val="00467064"/>
    <w:rsid w:val="004737DA"/>
    <w:rsid w:val="004853AC"/>
    <w:rsid w:val="0049610F"/>
    <w:rsid w:val="004A08CA"/>
    <w:rsid w:val="004A10F6"/>
    <w:rsid w:val="004B7B1B"/>
    <w:rsid w:val="004C3280"/>
    <w:rsid w:val="004C4103"/>
    <w:rsid w:val="004D18DD"/>
    <w:rsid w:val="004D509F"/>
    <w:rsid w:val="004E6FF4"/>
    <w:rsid w:val="004F1B23"/>
    <w:rsid w:val="004F2385"/>
    <w:rsid w:val="00504C01"/>
    <w:rsid w:val="0050521C"/>
    <w:rsid w:val="00505F89"/>
    <w:rsid w:val="00510E3E"/>
    <w:rsid w:val="005167F0"/>
    <w:rsid w:val="00520114"/>
    <w:rsid w:val="00522C82"/>
    <w:rsid w:val="00522DF7"/>
    <w:rsid w:val="00522F88"/>
    <w:rsid w:val="005336EF"/>
    <w:rsid w:val="0054644C"/>
    <w:rsid w:val="00547726"/>
    <w:rsid w:val="00565D2F"/>
    <w:rsid w:val="00567AE2"/>
    <w:rsid w:val="0057438A"/>
    <w:rsid w:val="00575277"/>
    <w:rsid w:val="005A3B91"/>
    <w:rsid w:val="005A6B64"/>
    <w:rsid w:val="005B0A17"/>
    <w:rsid w:val="005B24C3"/>
    <w:rsid w:val="005B3D07"/>
    <w:rsid w:val="005B54C0"/>
    <w:rsid w:val="005B59A7"/>
    <w:rsid w:val="005C1C97"/>
    <w:rsid w:val="005C3D31"/>
    <w:rsid w:val="005F5C55"/>
    <w:rsid w:val="006045B0"/>
    <w:rsid w:val="00612B91"/>
    <w:rsid w:val="00617A43"/>
    <w:rsid w:val="006350F2"/>
    <w:rsid w:val="00636117"/>
    <w:rsid w:val="006372C2"/>
    <w:rsid w:val="00651C08"/>
    <w:rsid w:val="00653BF3"/>
    <w:rsid w:val="0065436E"/>
    <w:rsid w:val="00657567"/>
    <w:rsid w:val="0066106C"/>
    <w:rsid w:val="0066472A"/>
    <w:rsid w:val="006671CB"/>
    <w:rsid w:val="00675EA3"/>
    <w:rsid w:val="00677A33"/>
    <w:rsid w:val="006856FC"/>
    <w:rsid w:val="006960B8"/>
    <w:rsid w:val="006C0542"/>
    <w:rsid w:val="006C4FE5"/>
    <w:rsid w:val="006D1037"/>
    <w:rsid w:val="006D329C"/>
    <w:rsid w:val="006E1F89"/>
    <w:rsid w:val="006E56B4"/>
    <w:rsid w:val="006E7033"/>
    <w:rsid w:val="006F0DC3"/>
    <w:rsid w:val="006F4C95"/>
    <w:rsid w:val="006F6975"/>
    <w:rsid w:val="006F6EC0"/>
    <w:rsid w:val="00703C35"/>
    <w:rsid w:val="00710315"/>
    <w:rsid w:val="00716C2C"/>
    <w:rsid w:val="007202AC"/>
    <w:rsid w:val="00723FE1"/>
    <w:rsid w:val="00727A30"/>
    <w:rsid w:val="00746080"/>
    <w:rsid w:val="00760967"/>
    <w:rsid w:val="007622CB"/>
    <w:rsid w:val="007647F2"/>
    <w:rsid w:val="00767BA4"/>
    <w:rsid w:val="00775CCE"/>
    <w:rsid w:val="00776949"/>
    <w:rsid w:val="00781C72"/>
    <w:rsid w:val="00787AEE"/>
    <w:rsid w:val="007B122E"/>
    <w:rsid w:val="007B16D5"/>
    <w:rsid w:val="007C39AB"/>
    <w:rsid w:val="007C414F"/>
    <w:rsid w:val="007D1648"/>
    <w:rsid w:val="007E5A8F"/>
    <w:rsid w:val="007E6D81"/>
    <w:rsid w:val="007E7858"/>
    <w:rsid w:val="007F2A9C"/>
    <w:rsid w:val="007F4FE1"/>
    <w:rsid w:val="00802971"/>
    <w:rsid w:val="00842D87"/>
    <w:rsid w:val="00847763"/>
    <w:rsid w:val="0084794B"/>
    <w:rsid w:val="00847F81"/>
    <w:rsid w:val="00857ADE"/>
    <w:rsid w:val="00862FE2"/>
    <w:rsid w:val="008668BB"/>
    <w:rsid w:val="008708E4"/>
    <w:rsid w:val="00870F4C"/>
    <w:rsid w:val="00873211"/>
    <w:rsid w:val="0087522E"/>
    <w:rsid w:val="00875AF5"/>
    <w:rsid w:val="00882181"/>
    <w:rsid w:val="008835BC"/>
    <w:rsid w:val="0089044C"/>
    <w:rsid w:val="008A6344"/>
    <w:rsid w:val="008B5AEE"/>
    <w:rsid w:val="008C01F5"/>
    <w:rsid w:val="008C5FAA"/>
    <w:rsid w:val="008C7646"/>
    <w:rsid w:val="008D630B"/>
    <w:rsid w:val="008D7583"/>
    <w:rsid w:val="008E24E3"/>
    <w:rsid w:val="008F5D8E"/>
    <w:rsid w:val="00903647"/>
    <w:rsid w:val="00905AE2"/>
    <w:rsid w:val="00913F22"/>
    <w:rsid w:val="00916363"/>
    <w:rsid w:val="00921078"/>
    <w:rsid w:val="0092799D"/>
    <w:rsid w:val="00930D4E"/>
    <w:rsid w:val="00931B0F"/>
    <w:rsid w:val="00942532"/>
    <w:rsid w:val="00943428"/>
    <w:rsid w:val="00944187"/>
    <w:rsid w:val="00946A67"/>
    <w:rsid w:val="00966B13"/>
    <w:rsid w:val="00990216"/>
    <w:rsid w:val="00990775"/>
    <w:rsid w:val="00990C98"/>
    <w:rsid w:val="0099113A"/>
    <w:rsid w:val="009A08C8"/>
    <w:rsid w:val="009A3D9D"/>
    <w:rsid w:val="009B19F7"/>
    <w:rsid w:val="009B3611"/>
    <w:rsid w:val="009C1322"/>
    <w:rsid w:val="009C45F9"/>
    <w:rsid w:val="009C58A2"/>
    <w:rsid w:val="009D14E2"/>
    <w:rsid w:val="009E0607"/>
    <w:rsid w:val="009E14F1"/>
    <w:rsid w:val="009E1844"/>
    <w:rsid w:val="00A02870"/>
    <w:rsid w:val="00A31A73"/>
    <w:rsid w:val="00A32732"/>
    <w:rsid w:val="00A4083D"/>
    <w:rsid w:val="00A4646A"/>
    <w:rsid w:val="00A52341"/>
    <w:rsid w:val="00A609FA"/>
    <w:rsid w:val="00A60FC5"/>
    <w:rsid w:val="00A628BF"/>
    <w:rsid w:val="00A73DED"/>
    <w:rsid w:val="00A7606F"/>
    <w:rsid w:val="00A828B4"/>
    <w:rsid w:val="00A84916"/>
    <w:rsid w:val="00A84B48"/>
    <w:rsid w:val="00A94C15"/>
    <w:rsid w:val="00AA06D9"/>
    <w:rsid w:val="00AA3C6B"/>
    <w:rsid w:val="00AB2781"/>
    <w:rsid w:val="00AD3E34"/>
    <w:rsid w:val="00AE73E9"/>
    <w:rsid w:val="00AF20DD"/>
    <w:rsid w:val="00B010ED"/>
    <w:rsid w:val="00B04B62"/>
    <w:rsid w:val="00B04BDC"/>
    <w:rsid w:val="00B107E7"/>
    <w:rsid w:val="00B1665D"/>
    <w:rsid w:val="00B23583"/>
    <w:rsid w:val="00B25576"/>
    <w:rsid w:val="00B30E45"/>
    <w:rsid w:val="00B30F65"/>
    <w:rsid w:val="00B331DC"/>
    <w:rsid w:val="00B403B9"/>
    <w:rsid w:val="00B429D5"/>
    <w:rsid w:val="00B45867"/>
    <w:rsid w:val="00B522B3"/>
    <w:rsid w:val="00B541A6"/>
    <w:rsid w:val="00B54C9C"/>
    <w:rsid w:val="00B55A4C"/>
    <w:rsid w:val="00B62205"/>
    <w:rsid w:val="00B74980"/>
    <w:rsid w:val="00B82DD9"/>
    <w:rsid w:val="00B82EFA"/>
    <w:rsid w:val="00B85876"/>
    <w:rsid w:val="00B86E76"/>
    <w:rsid w:val="00B92857"/>
    <w:rsid w:val="00BA7950"/>
    <w:rsid w:val="00BB732E"/>
    <w:rsid w:val="00BB7A04"/>
    <w:rsid w:val="00BC14B3"/>
    <w:rsid w:val="00BC1670"/>
    <w:rsid w:val="00BC70F3"/>
    <w:rsid w:val="00BE3198"/>
    <w:rsid w:val="00BE4014"/>
    <w:rsid w:val="00BE62F4"/>
    <w:rsid w:val="00BF3935"/>
    <w:rsid w:val="00C00E38"/>
    <w:rsid w:val="00C07FE8"/>
    <w:rsid w:val="00C103F4"/>
    <w:rsid w:val="00C27A98"/>
    <w:rsid w:val="00C31EEE"/>
    <w:rsid w:val="00C7731F"/>
    <w:rsid w:val="00C8115C"/>
    <w:rsid w:val="00C872F1"/>
    <w:rsid w:val="00C961AB"/>
    <w:rsid w:val="00CA7EF3"/>
    <w:rsid w:val="00CB5EB9"/>
    <w:rsid w:val="00CB7069"/>
    <w:rsid w:val="00CC403F"/>
    <w:rsid w:val="00CC7720"/>
    <w:rsid w:val="00CD0B4A"/>
    <w:rsid w:val="00CD2A69"/>
    <w:rsid w:val="00CD2E45"/>
    <w:rsid w:val="00CD4A7A"/>
    <w:rsid w:val="00CE05CB"/>
    <w:rsid w:val="00CE2266"/>
    <w:rsid w:val="00CE4623"/>
    <w:rsid w:val="00CE7B00"/>
    <w:rsid w:val="00CF43FB"/>
    <w:rsid w:val="00CF6457"/>
    <w:rsid w:val="00D03DC2"/>
    <w:rsid w:val="00D06A65"/>
    <w:rsid w:val="00D21607"/>
    <w:rsid w:val="00D26204"/>
    <w:rsid w:val="00D26DA1"/>
    <w:rsid w:val="00D35384"/>
    <w:rsid w:val="00D369E9"/>
    <w:rsid w:val="00D37B60"/>
    <w:rsid w:val="00D50C25"/>
    <w:rsid w:val="00D53FAE"/>
    <w:rsid w:val="00D62977"/>
    <w:rsid w:val="00D82E9A"/>
    <w:rsid w:val="00D960B8"/>
    <w:rsid w:val="00DA78DC"/>
    <w:rsid w:val="00DA7D62"/>
    <w:rsid w:val="00DB146D"/>
    <w:rsid w:val="00DB1B8C"/>
    <w:rsid w:val="00DB287A"/>
    <w:rsid w:val="00DC389E"/>
    <w:rsid w:val="00DC4102"/>
    <w:rsid w:val="00DD4707"/>
    <w:rsid w:val="00DD5A6A"/>
    <w:rsid w:val="00DE1925"/>
    <w:rsid w:val="00DF052D"/>
    <w:rsid w:val="00DF7D4D"/>
    <w:rsid w:val="00E01345"/>
    <w:rsid w:val="00E0580E"/>
    <w:rsid w:val="00E062FA"/>
    <w:rsid w:val="00E12C43"/>
    <w:rsid w:val="00E330DD"/>
    <w:rsid w:val="00E46932"/>
    <w:rsid w:val="00E5201E"/>
    <w:rsid w:val="00E546B1"/>
    <w:rsid w:val="00E6069A"/>
    <w:rsid w:val="00E645BD"/>
    <w:rsid w:val="00E65DF0"/>
    <w:rsid w:val="00E762B8"/>
    <w:rsid w:val="00E818B6"/>
    <w:rsid w:val="00E83683"/>
    <w:rsid w:val="00EA01DC"/>
    <w:rsid w:val="00EA07F5"/>
    <w:rsid w:val="00EA0919"/>
    <w:rsid w:val="00EA532C"/>
    <w:rsid w:val="00EB4333"/>
    <w:rsid w:val="00EB563E"/>
    <w:rsid w:val="00EC1EC2"/>
    <w:rsid w:val="00EC230C"/>
    <w:rsid w:val="00EC7A4C"/>
    <w:rsid w:val="00ED3FB5"/>
    <w:rsid w:val="00ED5288"/>
    <w:rsid w:val="00ED63B0"/>
    <w:rsid w:val="00ED79B6"/>
    <w:rsid w:val="00EE068C"/>
    <w:rsid w:val="00EE4939"/>
    <w:rsid w:val="00EF01D2"/>
    <w:rsid w:val="00EF1047"/>
    <w:rsid w:val="00EF6A0A"/>
    <w:rsid w:val="00F01488"/>
    <w:rsid w:val="00F21E5C"/>
    <w:rsid w:val="00F27AD9"/>
    <w:rsid w:val="00F34385"/>
    <w:rsid w:val="00F37D39"/>
    <w:rsid w:val="00F41EE7"/>
    <w:rsid w:val="00F45160"/>
    <w:rsid w:val="00F471F0"/>
    <w:rsid w:val="00F53077"/>
    <w:rsid w:val="00F75A05"/>
    <w:rsid w:val="00F8262D"/>
    <w:rsid w:val="00F86010"/>
    <w:rsid w:val="00FA2233"/>
    <w:rsid w:val="00FB0CE2"/>
    <w:rsid w:val="00FB0D64"/>
    <w:rsid w:val="00FC20FE"/>
    <w:rsid w:val="00FC3FA9"/>
    <w:rsid w:val="00FD7D5A"/>
    <w:rsid w:val="00FE0EAD"/>
    <w:rsid w:val="00FF5570"/>
    <w:rsid w:val="00FF69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8DD"/>
    <w:pPr>
      <w:ind w:left="720"/>
      <w:contextualSpacing/>
    </w:pPr>
  </w:style>
  <w:style w:type="paragraph" w:styleId="BalloonText">
    <w:name w:val="Balloon Text"/>
    <w:basedOn w:val="Normal"/>
    <w:link w:val="BalloonTextChar"/>
    <w:uiPriority w:val="99"/>
    <w:semiHidden/>
    <w:unhideWhenUsed/>
    <w:rsid w:val="004D18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8DD"/>
    <w:rPr>
      <w:rFonts w:ascii="Tahoma" w:hAnsi="Tahoma" w:cs="Tahoma"/>
      <w:sz w:val="16"/>
      <w:szCs w:val="16"/>
    </w:rPr>
  </w:style>
  <w:style w:type="table" w:styleId="TableGrid">
    <w:name w:val="Table Grid"/>
    <w:basedOn w:val="TableNormal"/>
    <w:uiPriority w:val="59"/>
    <w:rsid w:val="007B16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66B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B13"/>
  </w:style>
  <w:style w:type="paragraph" w:styleId="Footer">
    <w:name w:val="footer"/>
    <w:basedOn w:val="Normal"/>
    <w:link w:val="FooterChar"/>
    <w:uiPriority w:val="99"/>
    <w:unhideWhenUsed/>
    <w:rsid w:val="00966B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B13"/>
  </w:style>
  <w:style w:type="character" w:customStyle="1" w:styleId="ListNumberChar">
    <w:name w:val="List Number Char"/>
    <w:basedOn w:val="DefaultParagraphFont"/>
    <w:link w:val="ListNumber"/>
    <w:locked/>
    <w:rsid w:val="002B1D2F"/>
    <w:rPr>
      <w:rFonts w:ascii="Arial" w:hAnsi="Arial" w:cs="Arial"/>
      <w:b/>
      <w:bCs/>
    </w:rPr>
  </w:style>
  <w:style w:type="paragraph" w:styleId="ListNumber">
    <w:name w:val="List Number"/>
    <w:basedOn w:val="Normal"/>
    <w:link w:val="ListNumberChar"/>
    <w:unhideWhenUsed/>
    <w:rsid w:val="002B1D2F"/>
    <w:pPr>
      <w:numPr>
        <w:numId w:val="2"/>
      </w:numPr>
      <w:spacing w:after="120" w:line="240" w:lineRule="auto"/>
    </w:pPr>
    <w:rPr>
      <w:rFonts w:ascii="Arial" w:hAnsi="Arial" w:cs="Arial"/>
      <w:b/>
      <w:bCs/>
    </w:rPr>
  </w:style>
  <w:style w:type="character" w:styleId="CommentReference">
    <w:name w:val="annotation reference"/>
    <w:basedOn w:val="DefaultParagraphFont"/>
    <w:uiPriority w:val="99"/>
    <w:semiHidden/>
    <w:unhideWhenUsed/>
    <w:rsid w:val="00802971"/>
    <w:rPr>
      <w:sz w:val="16"/>
      <w:szCs w:val="16"/>
    </w:rPr>
  </w:style>
  <w:style w:type="paragraph" w:styleId="CommentText">
    <w:name w:val="annotation text"/>
    <w:basedOn w:val="Normal"/>
    <w:link w:val="CommentTextChar"/>
    <w:uiPriority w:val="99"/>
    <w:semiHidden/>
    <w:unhideWhenUsed/>
    <w:rsid w:val="00802971"/>
    <w:pPr>
      <w:spacing w:line="240" w:lineRule="auto"/>
    </w:pPr>
    <w:rPr>
      <w:sz w:val="20"/>
      <w:szCs w:val="20"/>
    </w:rPr>
  </w:style>
  <w:style w:type="character" w:customStyle="1" w:styleId="CommentTextChar">
    <w:name w:val="Comment Text Char"/>
    <w:basedOn w:val="DefaultParagraphFont"/>
    <w:link w:val="CommentText"/>
    <w:uiPriority w:val="99"/>
    <w:semiHidden/>
    <w:rsid w:val="00802971"/>
    <w:rPr>
      <w:sz w:val="20"/>
      <w:szCs w:val="20"/>
    </w:rPr>
  </w:style>
  <w:style w:type="paragraph" w:styleId="NormalWeb">
    <w:name w:val="Normal (Web)"/>
    <w:basedOn w:val="Normal"/>
    <w:uiPriority w:val="99"/>
    <w:unhideWhenUsed/>
    <w:rsid w:val="00651C0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uiPriority w:val="99"/>
    <w:rsid w:val="00E6069A"/>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CD0B4A"/>
    <w:rPr>
      <w:b/>
      <w:bCs/>
    </w:rPr>
  </w:style>
  <w:style w:type="character" w:customStyle="1" w:styleId="CommentSubjectChar">
    <w:name w:val="Comment Subject Char"/>
    <w:basedOn w:val="CommentTextChar"/>
    <w:link w:val="CommentSubject"/>
    <w:uiPriority w:val="99"/>
    <w:semiHidden/>
    <w:rsid w:val="00CD0B4A"/>
    <w:rPr>
      <w:b/>
      <w:bCs/>
      <w:sz w:val="20"/>
      <w:szCs w:val="20"/>
    </w:rPr>
  </w:style>
  <w:style w:type="paragraph" w:styleId="FootnoteText">
    <w:name w:val="footnote text"/>
    <w:basedOn w:val="Normal"/>
    <w:link w:val="FootnoteTextChar"/>
    <w:uiPriority w:val="99"/>
    <w:semiHidden/>
    <w:unhideWhenUsed/>
    <w:rsid w:val="004313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13B7"/>
    <w:rPr>
      <w:sz w:val="20"/>
      <w:szCs w:val="20"/>
    </w:rPr>
  </w:style>
  <w:style w:type="character" w:styleId="FootnoteReference">
    <w:name w:val="footnote reference"/>
    <w:basedOn w:val="DefaultParagraphFont"/>
    <w:uiPriority w:val="99"/>
    <w:semiHidden/>
    <w:unhideWhenUsed/>
    <w:rsid w:val="004313B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8DD"/>
    <w:pPr>
      <w:ind w:left="720"/>
      <w:contextualSpacing/>
    </w:pPr>
  </w:style>
  <w:style w:type="paragraph" w:styleId="BalloonText">
    <w:name w:val="Balloon Text"/>
    <w:basedOn w:val="Normal"/>
    <w:link w:val="BalloonTextChar"/>
    <w:uiPriority w:val="99"/>
    <w:semiHidden/>
    <w:unhideWhenUsed/>
    <w:rsid w:val="004D18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8DD"/>
    <w:rPr>
      <w:rFonts w:ascii="Tahoma" w:hAnsi="Tahoma" w:cs="Tahoma"/>
      <w:sz w:val="16"/>
      <w:szCs w:val="16"/>
    </w:rPr>
  </w:style>
  <w:style w:type="table" w:styleId="TableGrid">
    <w:name w:val="Table Grid"/>
    <w:basedOn w:val="TableNormal"/>
    <w:uiPriority w:val="59"/>
    <w:rsid w:val="007B16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66B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B13"/>
  </w:style>
  <w:style w:type="paragraph" w:styleId="Footer">
    <w:name w:val="footer"/>
    <w:basedOn w:val="Normal"/>
    <w:link w:val="FooterChar"/>
    <w:uiPriority w:val="99"/>
    <w:unhideWhenUsed/>
    <w:rsid w:val="00966B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B13"/>
  </w:style>
  <w:style w:type="character" w:customStyle="1" w:styleId="ListNumberChar">
    <w:name w:val="List Number Char"/>
    <w:basedOn w:val="DefaultParagraphFont"/>
    <w:link w:val="ListNumber"/>
    <w:locked/>
    <w:rsid w:val="002B1D2F"/>
    <w:rPr>
      <w:rFonts w:ascii="Arial" w:hAnsi="Arial" w:cs="Arial"/>
      <w:b/>
      <w:bCs/>
    </w:rPr>
  </w:style>
  <w:style w:type="paragraph" w:styleId="ListNumber">
    <w:name w:val="List Number"/>
    <w:basedOn w:val="Normal"/>
    <w:link w:val="ListNumberChar"/>
    <w:unhideWhenUsed/>
    <w:rsid w:val="002B1D2F"/>
    <w:pPr>
      <w:numPr>
        <w:numId w:val="2"/>
      </w:numPr>
      <w:spacing w:after="120" w:line="240" w:lineRule="auto"/>
    </w:pPr>
    <w:rPr>
      <w:rFonts w:ascii="Arial" w:hAnsi="Arial" w:cs="Arial"/>
      <w:b/>
      <w:bCs/>
    </w:rPr>
  </w:style>
  <w:style w:type="character" w:styleId="CommentReference">
    <w:name w:val="annotation reference"/>
    <w:basedOn w:val="DefaultParagraphFont"/>
    <w:uiPriority w:val="99"/>
    <w:semiHidden/>
    <w:unhideWhenUsed/>
    <w:rsid w:val="00802971"/>
    <w:rPr>
      <w:sz w:val="16"/>
      <w:szCs w:val="16"/>
    </w:rPr>
  </w:style>
  <w:style w:type="paragraph" w:styleId="CommentText">
    <w:name w:val="annotation text"/>
    <w:basedOn w:val="Normal"/>
    <w:link w:val="CommentTextChar"/>
    <w:uiPriority w:val="99"/>
    <w:semiHidden/>
    <w:unhideWhenUsed/>
    <w:rsid w:val="00802971"/>
    <w:pPr>
      <w:spacing w:line="240" w:lineRule="auto"/>
    </w:pPr>
    <w:rPr>
      <w:sz w:val="20"/>
      <w:szCs w:val="20"/>
    </w:rPr>
  </w:style>
  <w:style w:type="character" w:customStyle="1" w:styleId="CommentTextChar">
    <w:name w:val="Comment Text Char"/>
    <w:basedOn w:val="DefaultParagraphFont"/>
    <w:link w:val="CommentText"/>
    <w:uiPriority w:val="99"/>
    <w:semiHidden/>
    <w:rsid w:val="00802971"/>
    <w:rPr>
      <w:sz w:val="20"/>
      <w:szCs w:val="20"/>
    </w:rPr>
  </w:style>
  <w:style w:type="paragraph" w:styleId="NormalWeb">
    <w:name w:val="Normal (Web)"/>
    <w:basedOn w:val="Normal"/>
    <w:uiPriority w:val="99"/>
    <w:unhideWhenUsed/>
    <w:rsid w:val="00651C0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uiPriority w:val="99"/>
    <w:rsid w:val="00E6069A"/>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CD0B4A"/>
    <w:rPr>
      <w:b/>
      <w:bCs/>
    </w:rPr>
  </w:style>
  <w:style w:type="character" w:customStyle="1" w:styleId="CommentSubjectChar">
    <w:name w:val="Comment Subject Char"/>
    <w:basedOn w:val="CommentTextChar"/>
    <w:link w:val="CommentSubject"/>
    <w:uiPriority w:val="99"/>
    <w:semiHidden/>
    <w:rsid w:val="00CD0B4A"/>
    <w:rPr>
      <w:b/>
      <w:bCs/>
      <w:sz w:val="20"/>
      <w:szCs w:val="20"/>
    </w:rPr>
  </w:style>
  <w:style w:type="paragraph" w:styleId="FootnoteText">
    <w:name w:val="footnote text"/>
    <w:basedOn w:val="Normal"/>
    <w:link w:val="FootnoteTextChar"/>
    <w:uiPriority w:val="99"/>
    <w:semiHidden/>
    <w:unhideWhenUsed/>
    <w:rsid w:val="004313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13B7"/>
    <w:rPr>
      <w:sz w:val="20"/>
      <w:szCs w:val="20"/>
    </w:rPr>
  </w:style>
  <w:style w:type="character" w:styleId="FootnoteReference">
    <w:name w:val="footnote reference"/>
    <w:basedOn w:val="DefaultParagraphFont"/>
    <w:uiPriority w:val="99"/>
    <w:semiHidden/>
    <w:unhideWhenUsed/>
    <w:rsid w:val="004313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774471">
      <w:bodyDiv w:val="1"/>
      <w:marLeft w:val="0"/>
      <w:marRight w:val="0"/>
      <w:marTop w:val="0"/>
      <w:marBottom w:val="0"/>
      <w:divBdr>
        <w:top w:val="none" w:sz="0" w:space="0" w:color="auto"/>
        <w:left w:val="none" w:sz="0" w:space="0" w:color="auto"/>
        <w:bottom w:val="none" w:sz="0" w:space="0" w:color="auto"/>
        <w:right w:val="none" w:sz="0" w:space="0" w:color="auto"/>
      </w:divBdr>
    </w:div>
    <w:div w:id="777335512">
      <w:bodyDiv w:val="1"/>
      <w:marLeft w:val="0"/>
      <w:marRight w:val="0"/>
      <w:marTop w:val="0"/>
      <w:marBottom w:val="0"/>
      <w:divBdr>
        <w:top w:val="none" w:sz="0" w:space="0" w:color="auto"/>
        <w:left w:val="none" w:sz="0" w:space="0" w:color="auto"/>
        <w:bottom w:val="none" w:sz="0" w:space="0" w:color="auto"/>
        <w:right w:val="none" w:sz="0" w:space="0" w:color="auto"/>
      </w:divBdr>
    </w:div>
    <w:div w:id="936476490">
      <w:bodyDiv w:val="1"/>
      <w:marLeft w:val="0"/>
      <w:marRight w:val="0"/>
      <w:marTop w:val="0"/>
      <w:marBottom w:val="0"/>
      <w:divBdr>
        <w:top w:val="none" w:sz="0" w:space="0" w:color="auto"/>
        <w:left w:val="none" w:sz="0" w:space="0" w:color="auto"/>
        <w:bottom w:val="none" w:sz="0" w:space="0" w:color="auto"/>
        <w:right w:val="none" w:sz="0" w:space="0" w:color="auto"/>
      </w:divBdr>
    </w:div>
    <w:div w:id="137758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72B00-6361-4F98-91CD-283C96DF9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992</Words>
  <Characters>5656</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6635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Georgette Vlahos</dc:creator>
  <cp:lastModifiedBy>Christiane Wong</cp:lastModifiedBy>
  <cp:revision>2</cp:revision>
  <dcterms:created xsi:type="dcterms:W3CDTF">2016-11-29T15:33:00Z</dcterms:created>
  <dcterms:modified xsi:type="dcterms:W3CDTF">2016-11-29T15:33:00Z</dcterms:modified>
</cp:coreProperties>
</file>