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DC1" w:rsidRDefault="006955C5" w:rsidP="00D24EA7">
      <w:pPr>
        <w:rPr>
          <w:rFonts w:ascii="Arial" w:hAnsi="Arial" w:cs="Arial"/>
          <w:sz w:val="22"/>
          <w:szCs w:val="22"/>
        </w:rPr>
      </w:pPr>
      <w:bookmarkStart w:id="0" w:name="_GoBack"/>
      <w:bookmarkEnd w:id="0"/>
      <w:r>
        <w:rPr>
          <w:noProof/>
        </w:rPr>
        <w:drawing>
          <wp:anchor distT="0" distB="0" distL="114300" distR="114300" simplePos="0" relativeHeight="251657728" behindDoc="0" locked="0" layoutInCell="1" allowOverlap="0">
            <wp:simplePos x="0" y="0"/>
            <wp:positionH relativeFrom="column">
              <wp:posOffset>-133350</wp:posOffset>
            </wp:positionH>
            <wp:positionV relativeFrom="paragraph">
              <wp:posOffset>-45085</wp:posOffset>
            </wp:positionV>
            <wp:extent cx="866775" cy="914400"/>
            <wp:effectExtent l="19050" t="0" r="9525" b="0"/>
            <wp:wrapTight wrapText="bothSides">
              <wp:wrapPolygon edited="0">
                <wp:start x="-475" y="0"/>
                <wp:lineTo x="-475" y="21150"/>
                <wp:lineTo x="21837" y="21150"/>
                <wp:lineTo x="21837" y="0"/>
                <wp:lineTo x="-475" y="0"/>
              </wp:wrapPolygon>
            </wp:wrapTight>
            <wp:docPr id="2" name="Picture 2" descr="Milton Hyd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ton Hydro Logo"/>
                    <pic:cNvPicPr>
                      <a:picLocks noChangeAspect="1" noChangeArrowheads="1"/>
                    </pic:cNvPicPr>
                  </pic:nvPicPr>
                  <pic:blipFill>
                    <a:blip r:embed="rId7" cstate="print"/>
                    <a:srcRect/>
                    <a:stretch>
                      <a:fillRect/>
                    </a:stretch>
                  </pic:blipFill>
                  <pic:spPr bwMode="auto">
                    <a:xfrm>
                      <a:off x="0" y="0"/>
                      <a:ext cx="866775" cy="914400"/>
                    </a:xfrm>
                    <a:prstGeom prst="rect">
                      <a:avLst/>
                    </a:prstGeom>
                    <a:noFill/>
                    <a:ln w="9525">
                      <a:noFill/>
                      <a:miter lim="800000"/>
                      <a:headEnd/>
                      <a:tailEnd/>
                    </a:ln>
                  </pic:spPr>
                </pic:pic>
              </a:graphicData>
            </a:graphic>
          </wp:anchor>
        </w:drawing>
      </w:r>
    </w:p>
    <w:p w:rsidR="00D24EA7" w:rsidRDefault="00D24EA7" w:rsidP="00D24EA7">
      <w:pPr>
        <w:rPr>
          <w:rFonts w:ascii="Arial" w:hAnsi="Arial" w:cs="Arial"/>
        </w:rPr>
      </w:pPr>
      <w:r>
        <w:rPr>
          <w:rFonts w:ascii="Arial" w:hAnsi="Arial" w:cs="Arial"/>
          <w:b/>
          <w:smallCaps/>
          <w:sz w:val="36"/>
        </w:rPr>
        <w:t>Milton Hydro Distribution Inc.</w:t>
      </w:r>
      <w:r>
        <w:rPr>
          <w:rFonts w:ascii="Arial" w:hAnsi="Arial" w:cs="Arial"/>
        </w:rPr>
        <w:t xml:space="preserve">                    </w:t>
      </w:r>
    </w:p>
    <w:p w:rsidR="00D24EA7" w:rsidRPr="000200E3" w:rsidRDefault="000675F3" w:rsidP="00D24EA7">
      <w:pPr>
        <w:rPr>
          <w:rFonts w:ascii="Arial" w:hAnsi="Arial" w:cs="Arial"/>
          <w:sz w:val="22"/>
          <w:szCs w:val="22"/>
        </w:rPr>
      </w:pPr>
      <w:r>
        <w:rPr>
          <w:rFonts w:ascii="Arial" w:hAnsi="Arial" w:cs="Arial"/>
          <w:sz w:val="22"/>
          <w:szCs w:val="22"/>
        </w:rPr>
        <w:t xml:space="preserve">200 Chisholm Drive, </w:t>
      </w:r>
      <w:r w:rsidR="000200E3" w:rsidRPr="000200E3">
        <w:rPr>
          <w:rFonts w:ascii="Arial" w:hAnsi="Arial" w:cs="Arial"/>
          <w:sz w:val="22"/>
          <w:szCs w:val="22"/>
        </w:rPr>
        <w:t xml:space="preserve">Milton, Ontario, L9T </w:t>
      </w:r>
      <w:r>
        <w:rPr>
          <w:rFonts w:ascii="Arial" w:hAnsi="Arial" w:cs="Arial"/>
          <w:sz w:val="22"/>
          <w:szCs w:val="22"/>
        </w:rPr>
        <w:t>3G9</w:t>
      </w:r>
      <w:r w:rsidR="00D24EA7" w:rsidRPr="000200E3">
        <w:rPr>
          <w:rFonts w:ascii="Arial" w:hAnsi="Arial" w:cs="Arial"/>
          <w:sz w:val="22"/>
          <w:szCs w:val="22"/>
        </w:rPr>
        <w:t xml:space="preserve">            </w:t>
      </w:r>
    </w:p>
    <w:p w:rsidR="00D24EA7" w:rsidRDefault="00D24EA7" w:rsidP="00D24EA7">
      <w:pPr>
        <w:rPr>
          <w:rFonts w:ascii="Arial" w:hAnsi="Arial" w:cs="Arial"/>
        </w:rPr>
      </w:pPr>
      <w:r w:rsidRPr="000200E3">
        <w:rPr>
          <w:rFonts w:ascii="Arial" w:hAnsi="Arial" w:cs="Arial"/>
          <w:sz w:val="22"/>
          <w:szCs w:val="22"/>
        </w:rPr>
        <w:t>Telephone (905) 876-4611    ●    Fax (905) 876-2044</w:t>
      </w:r>
    </w:p>
    <w:p w:rsidR="006955C5" w:rsidRDefault="006955C5" w:rsidP="00D24EA7">
      <w:pPr>
        <w:rPr>
          <w:rFonts w:ascii="Arial" w:hAnsi="Arial" w:cs="Arial"/>
        </w:rPr>
      </w:pPr>
    </w:p>
    <w:p w:rsidR="00C91FD6" w:rsidRDefault="00C91FD6" w:rsidP="00FC7389">
      <w:pPr>
        <w:rPr>
          <w:rFonts w:ascii="Arial" w:hAnsi="Arial" w:cs="Arial"/>
          <w:sz w:val="22"/>
          <w:szCs w:val="22"/>
        </w:rPr>
      </w:pPr>
    </w:p>
    <w:p w:rsidR="00FC7389" w:rsidRPr="00FC7389" w:rsidRDefault="004B72D3" w:rsidP="00FC7389">
      <w:pPr>
        <w:rPr>
          <w:rFonts w:ascii="Arial" w:hAnsi="Arial" w:cs="Arial"/>
          <w:sz w:val="22"/>
          <w:szCs w:val="22"/>
        </w:rPr>
      </w:pPr>
      <w:r w:rsidRPr="0061339F">
        <w:rPr>
          <w:rFonts w:ascii="Arial" w:hAnsi="Arial" w:cs="Arial"/>
          <w:sz w:val="22"/>
          <w:szCs w:val="22"/>
        </w:rPr>
        <w:t>December</w:t>
      </w:r>
      <w:r w:rsidR="00E17F83" w:rsidRPr="0061339F">
        <w:rPr>
          <w:rFonts w:ascii="Arial" w:hAnsi="Arial" w:cs="Arial"/>
          <w:sz w:val="22"/>
          <w:szCs w:val="22"/>
        </w:rPr>
        <w:t xml:space="preserve"> </w:t>
      </w:r>
      <w:r w:rsidR="00997324" w:rsidRPr="0061339F">
        <w:rPr>
          <w:rFonts w:ascii="Arial" w:hAnsi="Arial" w:cs="Arial"/>
          <w:sz w:val="22"/>
          <w:szCs w:val="22"/>
        </w:rPr>
        <w:t>22</w:t>
      </w:r>
      <w:r w:rsidRPr="0061339F">
        <w:rPr>
          <w:rFonts w:ascii="Arial" w:hAnsi="Arial" w:cs="Arial"/>
          <w:sz w:val="22"/>
          <w:szCs w:val="22"/>
        </w:rPr>
        <w:t xml:space="preserve">, </w:t>
      </w:r>
      <w:r w:rsidR="00077B0F" w:rsidRPr="0061339F">
        <w:rPr>
          <w:rFonts w:ascii="Arial" w:hAnsi="Arial" w:cs="Arial"/>
          <w:sz w:val="22"/>
          <w:szCs w:val="22"/>
        </w:rPr>
        <w:t>2016</w:t>
      </w:r>
    </w:p>
    <w:p w:rsidR="00FC7389" w:rsidRPr="00FC7389" w:rsidRDefault="00FC7389" w:rsidP="00FC7389">
      <w:pPr>
        <w:rPr>
          <w:rFonts w:ascii="Arial" w:hAnsi="Arial" w:cs="Arial"/>
          <w:sz w:val="22"/>
          <w:szCs w:val="22"/>
        </w:rPr>
      </w:pPr>
    </w:p>
    <w:p w:rsidR="00FC7389" w:rsidRPr="00FC7389" w:rsidRDefault="00C575F2" w:rsidP="00BC3C99">
      <w:pPr>
        <w:spacing w:line="300" w:lineRule="atLeast"/>
        <w:jc w:val="both"/>
        <w:rPr>
          <w:rFonts w:ascii="Arial" w:hAnsi="Arial" w:cs="Arial"/>
          <w:sz w:val="22"/>
          <w:szCs w:val="22"/>
        </w:rPr>
      </w:pPr>
      <w:r>
        <w:rPr>
          <w:rFonts w:ascii="Arial" w:hAnsi="Arial" w:cs="Arial"/>
          <w:sz w:val="22"/>
          <w:szCs w:val="22"/>
        </w:rPr>
        <w:t xml:space="preserve">Ms. </w:t>
      </w:r>
      <w:r w:rsidR="00863D8F">
        <w:rPr>
          <w:rFonts w:ascii="Arial" w:hAnsi="Arial" w:cs="Arial"/>
          <w:sz w:val="22"/>
          <w:szCs w:val="22"/>
        </w:rPr>
        <w:t>Rosemarie Leclair, Chair &amp; Chief Executive Officer</w:t>
      </w:r>
    </w:p>
    <w:p w:rsidR="00FC7389" w:rsidRPr="00FC7389" w:rsidRDefault="00FC7389" w:rsidP="00BC3C99">
      <w:pPr>
        <w:spacing w:line="300" w:lineRule="atLeast"/>
        <w:jc w:val="both"/>
        <w:rPr>
          <w:rFonts w:ascii="Arial" w:hAnsi="Arial" w:cs="Arial"/>
          <w:sz w:val="22"/>
          <w:szCs w:val="22"/>
        </w:rPr>
      </w:pPr>
      <w:r w:rsidRPr="00FC7389">
        <w:rPr>
          <w:rFonts w:ascii="Arial" w:hAnsi="Arial" w:cs="Arial"/>
          <w:sz w:val="22"/>
          <w:szCs w:val="22"/>
        </w:rPr>
        <w:t xml:space="preserve">Ontario Energy Board </w:t>
      </w:r>
    </w:p>
    <w:p w:rsidR="00FC7389" w:rsidRPr="00FC7389" w:rsidRDefault="00FC7389" w:rsidP="00BC3C99">
      <w:pPr>
        <w:spacing w:line="300" w:lineRule="atLeast"/>
        <w:jc w:val="both"/>
        <w:rPr>
          <w:rFonts w:ascii="Arial" w:hAnsi="Arial" w:cs="Arial"/>
          <w:sz w:val="22"/>
          <w:szCs w:val="22"/>
        </w:rPr>
      </w:pPr>
      <w:r w:rsidRPr="00FC7389">
        <w:rPr>
          <w:rFonts w:ascii="Arial" w:hAnsi="Arial" w:cs="Arial"/>
          <w:sz w:val="22"/>
          <w:szCs w:val="22"/>
        </w:rPr>
        <w:t>P.O. Box 2319</w:t>
      </w:r>
    </w:p>
    <w:p w:rsidR="00FC7389" w:rsidRPr="00FC7389" w:rsidRDefault="00FC7389" w:rsidP="00BC3C99">
      <w:pPr>
        <w:spacing w:line="300" w:lineRule="atLeast"/>
        <w:jc w:val="both"/>
        <w:rPr>
          <w:rFonts w:ascii="Arial" w:hAnsi="Arial" w:cs="Arial"/>
          <w:sz w:val="22"/>
          <w:szCs w:val="22"/>
        </w:rPr>
      </w:pPr>
      <w:r w:rsidRPr="00FC7389">
        <w:rPr>
          <w:rFonts w:ascii="Arial" w:hAnsi="Arial" w:cs="Arial"/>
          <w:sz w:val="22"/>
          <w:szCs w:val="22"/>
        </w:rPr>
        <w:t>2300 Yonge Street</w:t>
      </w:r>
    </w:p>
    <w:p w:rsidR="00FC7389" w:rsidRPr="00FC7389" w:rsidRDefault="00FC7389" w:rsidP="00BC3C99">
      <w:pPr>
        <w:spacing w:line="300" w:lineRule="atLeast"/>
        <w:jc w:val="both"/>
        <w:rPr>
          <w:rFonts w:ascii="Arial" w:hAnsi="Arial" w:cs="Arial"/>
          <w:sz w:val="22"/>
          <w:szCs w:val="22"/>
        </w:rPr>
      </w:pPr>
      <w:r w:rsidRPr="00FC7389">
        <w:rPr>
          <w:rFonts w:ascii="Arial" w:hAnsi="Arial" w:cs="Arial"/>
          <w:sz w:val="22"/>
          <w:szCs w:val="22"/>
        </w:rPr>
        <w:t>27</w:t>
      </w:r>
      <w:r w:rsidRPr="00FC7389">
        <w:rPr>
          <w:rFonts w:ascii="Arial" w:hAnsi="Arial" w:cs="Arial"/>
          <w:sz w:val="22"/>
          <w:szCs w:val="22"/>
          <w:vertAlign w:val="superscript"/>
        </w:rPr>
        <w:t>th</w:t>
      </w:r>
      <w:r w:rsidRPr="00FC7389">
        <w:rPr>
          <w:rFonts w:ascii="Arial" w:hAnsi="Arial" w:cs="Arial"/>
          <w:sz w:val="22"/>
          <w:szCs w:val="22"/>
        </w:rPr>
        <w:t xml:space="preserve"> Floor</w:t>
      </w:r>
    </w:p>
    <w:p w:rsidR="00FC7389" w:rsidRPr="00FC7389" w:rsidRDefault="00FC7389" w:rsidP="00BC3C99">
      <w:pPr>
        <w:spacing w:line="300" w:lineRule="atLeast"/>
        <w:jc w:val="both"/>
        <w:rPr>
          <w:rFonts w:ascii="Arial" w:hAnsi="Arial" w:cs="Arial"/>
          <w:sz w:val="22"/>
          <w:szCs w:val="22"/>
        </w:rPr>
      </w:pPr>
      <w:r w:rsidRPr="00FC7389">
        <w:rPr>
          <w:rFonts w:ascii="Arial" w:hAnsi="Arial" w:cs="Arial"/>
          <w:sz w:val="22"/>
          <w:szCs w:val="22"/>
        </w:rPr>
        <w:t>Toronto, ON</w:t>
      </w:r>
    </w:p>
    <w:p w:rsidR="00FC7389" w:rsidRPr="00FC7389" w:rsidRDefault="00FC7389" w:rsidP="00BC3C99">
      <w:pPr>
        <w:spacing w:line="300" w:lineRule="atLeast"/>
        <w:jc w:val="both"/>
        <w:rPr>
          <w:rFonts w:ascii="Arial" w:hAnsi="Arial" w:cs="Arial"/>
          <w:sz w:val="22"/>
          <w:szCs w:val="22"/>
        </w:rPr>
      </w:pPr>
      <w:r w:rsidRPr="00FC7389">
        <w:rPr>
          <w:rFonts w:ascii="Arial" w:hAnsi="Arial" w:cs="Arial"/>
          <w:sz w:val="22"/>
          <w:szCs w:val="22"/>
        </w:rPr>
        <w:t>M4P 1E4</w:t>
      </w:r>
    </w:p>
    <w:p w:rsidR="00FC7389" w:rsidRDefault="00FC7389" w:rsidP="00BC3C99">
      <w:pPr>
        <w:spacing w:line="300" w:lineRule="atLeast"/>
        <w:jc w:val="both"/>
        <w:rPr>
          <w:rFonts w:ascii="Arial" w:hAnsi="Arial" w:cs="Arial"/>
          <w:sz w:val="22"/>
          <w:szCs w:val="22"/>
        </w:rPr>
      </w:pPr>
    </w:p>
    <w:p w:rsidR="00FC7389" w:rsidRPr="00FC7389" w:rsidRDefault="00FC7389" w:rsidP="00BC3C99">
      <w:pPr>
        <w:spacing w:line="300" w:lineRule="atLeast"/>
        <w:jc w:val="both"/>
        <w:rPr>
          <w:rFonts w:ascii="Arial" w:hAnsi="Arial" w:cs="Arial"/>
          <w:sz w:val="22"/>
          <w:szCs w:val="22"/>
        </w:rPr>
      </w:pPr>
    </w:p>
    <w:p w:rsidR="00C575F2" w:rsidRDefault="00FC7389" w:rsidP="00BC3C99">
      <w:pPr>
        <w:spacing w:line="300" w:lineRule="atLeast"/>
        <w:ind w:left="720" w:hanging="720"/>
        <w:jc w:val="both"/>
        <w:rPr>
          <w:rFonts w:ascii="Arial" w:hAnsi="Arial" w:cs="Arial"/>
          <w:b/>
          <w:sz w:val="22"/>
          <w:szCs w:val="22"/>
        </w:rPr>
      </w:pPr>
      <w:r w:rsidRPr="00FC7389">
        <w:rPr>
          <w:rFonts w:ascii="Arial" w:hAnsi="Arial" w:cs="Arial"/>
          <w:b/>
          <w:sz w:val="22"/>
          <w:szCs w:val="22"/>
        </w:rPr>
        <w:t>Re:</w:t>
      </w:r>
      <w:r w:rsidRPr="00FC7389">
        <w:rPr>
          <w:rFonts w:ascii="Arial" w:hAnsi="Arial" w:cs="Arial"/>
          <w:b/>
          <w:sz w:val="22"/>
          <w:szCs w:val="22"/>
        </w:rPr>
        <w:tab/>
      </w:r>
      <w:r w:rsidR="00C575F2" w:rsidRPr="00C575F2">
        <w:rPr>
          <w:rFonts w:ascii="Arial" w:hAnsi="Arial" w:cs="Arial"/>
          <w:b/>
          <w:sz w:val="22"/>
          <w:szCs w:val="22"/>
        </w:rPr>
        <w:t>Milton</w:t>
      </w:r>
      <w:r w:rsidR="00BC3C99">
        <w:rPr>
          <w:rFonts w:ascii="Arial" w:hAnsi="Arial" w:cs="Arial"/>
          <w:b/>
          <w:sz w:val="22"/>
          <w:szCs w:val="22"/>
        </w:rPr>
        <w:t xml:space="preserve"> Hydro Distribution Inc. </w:t>
      </w:r>
    </w:p>
    <w:p w:rsidR="00BC3C99" w:rsidRPr="00C575F2" w:rsidRDefault="001137BF" w:rsidP="0061339F">
      <w:pPr>
        <w:spacing w:line="300" w:lineRule="atLeast"/>
        <w:ind w:left="720" w:hanging="720"/>
        <w:jc w:val="both"/>
        <w:rPr>
          <w:rFonts w:ascii="Arial" w:hAnsi="Arial" w:cs="Arial"/>
          <w:b/>
          <w:sz w:val="22"/>
          <w:szCs w:val="22"/>
        </w:rPr>
      </w:pPr>
      <w:r>
        <w:rPr>
          <w:rFonts w:ascii="Arial" w:hAnsi="Arial" w:cs="Arial"/>
          <w:b/>
          <w:sz w:val="22"/>
          <w:szCs w:val="22"/>
        </w:rPr>
        <w:tab/>
      </w:r>
    </w:p>
    <w:p w:rsidR="00BC3C99" w:rsidRDefault="00BC3C99" w:rsidP="00FC7389">
      <w:pPr>
        <w:spacing w:after="240" w:line="360" w:lineRule="auto"/>
        <w:jc w:val="both"/>
        <w:rPr>
          <w:rFonts w:ascii="Arial" w:hAnsi="Arial" w:cs="Arial"/>
          <w:sz w:val="22"/>
          <w:szCs w:val="22"/>
        </w:rPr>
      </w:pPr>
    </w:p>
    <w:p w:rsidR="0061339F" w:rsidRDefault="0061339F" w:rsidP="00AA2FF5">
      <w:pPr>
        <w:pStyle w:val="Default"/>
        <w:spacing w:after="240" w:line="360" w:lineRule="auto"/>
        <w:rPr>
          <w:color w:val="auto"/>
          <w:sz w:val="22"/>
          <w:szCs w:val="22"/>
        </w:rPr>
      </w:pPr>
      <w:r>
        <w:rPr>
          <w:color w:val="auto"/>
          <w:sz w:val="22"/>
          <w:szCs w:val="22"/>
        </w:rPr>
        <w:t>Dear Ms. Leclair</w:t>
      </w:r>
    </w:p>
    <w:p w:rsidR="0061339F" w:rsidRDefault="0061339F" w:rsidP="00AA2FF5">
      <w:pPr>
        <w:pStyle w:val="Default"/>
        <w:spacing w:after="240" w:line="360" w:lineRule="auto"/>
        <w:rPr>
          <w:color w:val="auto"/>
          <w:sz w:val="22"/>
          <w:szCs w:val="22"/>
        </w:rPr>
      </w:pPr>
      <w:r>
        <w:rPr>
          <w:color w:val="auto"/>
          <w:sz w:val="22"/>
          <w:szCs w:val="22"/>
        </w:rPr>
        <w:t xml:space="preserve">Almost every </w:t>
      </w:r>
      <w:r w:rsidR="00CF0BB9">
        <w:rPr>
          <w:color w:val="auto"/>
          <w:sz w:val="22"/>
          <w:szCs w:val="22"/>
        </w:rPr>
        <w:t>day,</w:t>
      </w:r>
      <w:r>
        <w:rPr>
          <w:color w:val="auto"/>
          <w:sz w:val="22"/>
          <w:szCs w:val="22"/>
        </w:rPr>
        <w:t xml:space="preserve"> there is an article or report regarding the hardship and negative impact of the high price of electricity. The Ontario Energy Board, including </w:t>
      </w:r>
      <w:r w:rsidR="00CE75B6">
        <w:rPr>
          <w:color w:val="auto"/>
          <w:sz w:val="22"/>
          <w:szCs w:val="22"/>
        </w:rPr>
        <w:t>you,</w:t>
      </w:r>
      <w:r>
        <w:rPr>
          <w:color w:val="auto"/>
          <w:sz w:val="22"/>
          <w:szCs w:val="22"/>
        </w:rPr>
        <w:t xml:space="preserve"> as the Chair and CEO, has espoused that a goal of the OEB and its new Regulatory Framework is </w:t>
      </w:r>
      <w:r w:rsidR="00CE75B6">
        <w:rPr>
          <w:color w:val="auto"/>
          <w:sz w:val="22"/>
          <w:szCs w:val="22"/>
        </w:rPr>
        <w:t xml:space="preserve">to </w:t>
      </w:r>
      <w:r>
        <w:rPr>
          <w:color w:val="auto"/>
          <w:sz w:val="22"/>
          <w:szCs w:val="22"/>
        </w:rPr>
        <w:t>drive efficiencies and thus lower costs. Minister Thibeault has referenced the mandate he was given by Premier Wynn</w:t>
      </w:r>
      <w:r w:rsidR="00A437F8">
        <w:rPr>
          <w:color w:val="auto"/>
          <w:sz w:val="22"/>
          <w:szCs w:val="22"/>
        </w:rPr>
        <w:t>e</w:t>
      </w:r>
      <w:r>
        <w:rPr>
          <w:color w:val="auto"/>
          <w:sz w:val="22"/>
          <w:szCs w:val="22"/>
        </w:rPr>
        <w:t xml:space="preserve"> regarding the costs to the customers and has publicly stated that “whether it is 50 cents or $50” he wants the savings for the customers.</w:t>
      </w:r>
    </w:p>
    <w:p w:rsidR="0061339F" w:rsidRDefault="0061339F" w:rsidP="00AA2FF5">
      <w:pPr>
        <w:pStyle w:val="Default"/>
        <w:spacing w:after="240" w:line="360" w:lineRule="auto"/>
        <w:rPr>
          <w:color w:val="auto"/>
          <w:sz w:val="22"/>
          <w:szCs w:val="22"/>
        </w:rPr>
      </w:pPr>
      <w:r>
        <w:rPr>
          <w:color w:val="auto"/>
          <w:sz w:val="22"/>
          <w:szCs w:val="22"/>
        </w:rPr>
        <w:t>Unfortunately</w:t>
      </w:r>
      <w:r w:rsidR="00CE75B6">
        <w:rPr>
          <w:color w:val="auto"/>
          <w:sz w:val="22"/>
          <w:szCs w:val="22"/>
        </w:rPr>
        <w:t>,</w:t>
      </w:r>
      <w:r>
        <w:rPr>
          <w:color w:val="auto"/>
          <w:sz w:val="22"/>
          <w:szCs w:val="22"/>
        </w:rPr>
        <w:t xml:space="preserve"> it appears as if those words and intentions</w:t>
      </w:r>
      <w:r w:rsidR="00A437F8">
        <w:rPr>
          <w:color w:val="auto"/>
          <w:sz w:val="22"/>
          <w:szCs w:val="22"/>
        </w:rPr>
        <w:t xml:space="preserve"> may</w:t>
      </w:r>
      <w:r>
        <w:rPr>
          <w:color w:val="auto"/>
          <w:sz w:val="22"/>
          <w:szCs w:val="22"/>
        </w:rPr>
        <w:t xml:space="preserve"> have hollow meaning, </w:t>
      </w:r>
      <w:r w:rsidR="00A437F8">
        <w:rPr>
          <w:color w:val="auto"/>
          <w:sz w:val="22"/>
          <w:szCs w:val="22"/>
        </w:rPr>
        <w:t xml:space="preserve">specifically </w:t>
      </w:r>
      <w:r>
        <w:rPr>
          <w:color w:val="auto"/>
          <w:sz w:val="22"/>
          <w:szCs w:val="22"/>
        </w:rPr>
        <w:t xml:space="preserve">in light of recent proceedings regarding Milton Hydro’s Motion to </w:t>
      </w:r>
      <w:r w:rsidR="00CE75B6">
        <w:rPr>
          <w:color w:val="auto"/>
          <w:sz w:val="22"/>
          <w:szCs w:val="22"/>
        </w:rPr>
        <w:t>V</w:t>
      </w:r>
      <w:r w:rsidR="00A437F8">
        <w:rPr>
          <w:color w:val="auto"/>
          <w:sz w:val="22"/>
          <w:szCs w:val="22"/>
        </w:rPr>
        <w:t>ary the Cost of Service D</w:t>
      </w:r>
      <w:r>
        <w:rPr>
          <w:color w:val="auto"/>
          <w:sz w:val="22"/>
          <w:szCs w:val="22"/>
        </w:rPr>
        <w:t>ecision</w:t>
      </w:r>
      <w:r w:rsidR="008D076D">
        <w:rPr>
          <w:color w:val="auto"/>
          <w:sz w:val="22"/>
          <w:szCs w:val="22"/>
        </w:rPr>
        <w:t xml:space="preserve">. The full details of the Cost of Service application, the </w:t>
      </w:r>
      <w:r w:rsidR="00CE75B6">
        <w:rPr>
          <w:color w:val="auto"/>
          <w:sz w:val="22"/>
          <w:szCs w:val="22"/>
        </w:rPr>
        <w:t>OEB P</w:t>
      </w:r>
      <w:r w:rsidR="008D076D">
        <w:rPr>
          <w:color w:val="auto"/>
          <w:sz w:val="22"/>
          <w:szCs w:val="22"/>
        </w:rPr>
        <w:t>anel Decision and Motion to Vary, OEB file</w:t>
      </w:r>
      <w:r w:rsidR="00701B07">
        <w:rPr>
          <w:color w:val="auto"/>
          <w:sz w:val="22"/>
          <w:szCs w:val="22"/>
        </w:rPr>
        <w:t>s</w:t>
      </w:r>
      <w:r w:rsidR="008D076D">
        <w:rPr>
          <w:color w:val="auto"/>
          <w:sz w:val="22"/>
          <w:szCs w:val="22"/>
        </w:rPr>
        <w:t xml:space="preserve"> EB-2015-0089</w:t>
      </w:r>
      <w:r w:rsidR="00701B07">
        <w:rPr>
          <w:color w:val="auto"/>
          <w:sz w:val="22"/>
          <w:szCs w:val="22"/>
        </w:rPr>
        <w:t xml:space="preserve"> and EB-2016-0255 respectively</w:t>
      </w:r>
      <w:r w:rsidR="003B5F14">
        <w:rPr>
          <w:color w:val="auto"/>
          <w:sz w:val="22"/>
          <w:szCs w:val="22"/>
        </w:rPr>
        <w:t>,</w:t>
      </w:r>
      <w:r w:rsidR="008D076D">
        <w:rPr>
          <w:color w:val="auto"/>
          <w:sz w:val="22"/>
          <w:szCs w:val="22"/>
        </w:rPr>
        <w:t xml:space="preserve"> are readily </w:t>
      </w:r>
      <w:r w:rsidR="00CF0BB9">
        <w:rPr>
          <w:color w:val="auto"/>
          <w:sz w:val="22"/>
          <w:szCs w:val="22"/>
        </w:rPr>
        <w:t>available;</w:t>
      </w:r>
      <w:r w:rsidR="00CE75B6">
        <w:rPr>
          <w:color w:val="auto"/>
          <w:sz w:val="22"/>
          <w:szCs w:val="22"/>
        </w:rPr>
        <w:t xml:space="preserve"> however</w:t>
      </w:r>
      <w:r w:rsidR="008D076D">
        <w:rPr>
          <w:color w:val="auto"/>
          <w:sz w:val="22"/>
          <w:szCs w:val="22"/>
        </w:rPr>
        <w:t xml:space="preserve"> a brief summary will provide the relevant details.</w:t>
      </w:r>
    </w:p>
    <w:p w:rsidR="008D076D" w:rsidRDefault="008D076D" w:rsidP="00AA2FF5">
      <w:pPr>
        <w:pStyle w:val="Default"/>
        <w:spacing w:after="240" w:line="360" w:lineRule="auto"/>
        <w:rPr>
          <w:color w:val="auto"/>
          <w:sz w:val="22"/>
          <w:szCs w:val="22"/>
        </w:rPr>
      </w:pPr>
      <w:r>
        <w:rPr>
          <w:color w:val="auto"/>
          <w:sz w:val="22"/>
          <w:szCs w:val="22"/>
        </w:rPr>
        <w:t xml:space="preserve">The basis of the Motion to Vary the Decision centers </w:t>
      </w:r>
      <w:r w:rsidR="00CF0BB9">
        <w:rPr>
          <w:color w:val="auto"/>
          <w:sz w:val="22"/>
          <w:szCs w:val="22"/>
        </w:rPr>
        <w:t>on</w:t>
      </w:r>
      <w:r>
        <w:rPr>
          <w:color w:val="auto"/>
          <w:sz w:val="22"/>
          <w:szCs w:val="22"/>
        </w:rPr>
        <w:t xml:space="preserve"> an independent third party, Colliers International, valuation of a property that was deemed surplus and sold to an affiliate of Milton Hydro. In the appraisal documentation, Colliers affixed their signature to a certificate showing the property valuation of $2.4M. This signed certificate and full appraisal document </w:t>
      </w:r>
      <w:r w:rsidR="00E20D07">
        <w:rPr>
          <w:color w:val="auto"/>
          <w:sz w:val="22"/>
          <w:szCs w:val="22"/>
        </w:rPr>
        <w:t>was included in the Cost of Service application. Throughout the formal written interrogatories, Settlement Conference and oral hearing, there were no comments or challenges to the $2.4M valuation. Throughout the extensive hearing process, a discrepancy within the body</w:t>
      </w:r>
      <w:r w:rsidR="007B6C61">
        <w:rPr>
          <w:color w:val="auto"/>
          <w:sz w:val="22"/>
          <w:szCs w:val="22"/>
        </w:rPr>
        <w:t xml:space="preserve"> (supportive documentation to the valuation)</w:t>
      </w:r>
      <w:r w:rsidR="00E20D07">
        <w:rPr>
          <w:color w:val="auto"/>
          <w:sz w:val="22"/>
          <w:szCs w:val="22"/>
        </w:rPr>
        <w:t xml:space="preserve"> of the </w:t>
      </w:r>
      <w:r w:rsidR="007B6C61">
        <w:rPr>
          <w:color w:val="auto"/>
          <w:sz w:val="22"/>
          <w:szCs w:val="22"/>
        </w:rPr>
        <w:t xml:space="preserve">appraisal </w:t>
      </w:r>
      <w:r w:rsidR="00E20D07">
        <w:rPr>
          <w:color w:val="auto"/>
          <w:sz w:val="22"/>
          <w:szCs w:val="22"/>
        </w:rPr>
        <w:t xml:space="preserve">report went unnoticed by all parties including </w:t>
      </w:r>
      <w:r w:rsidR="00E20D07">
        <w:rPr>
          <w:color w:val="auto"/>
          <w:sz w:val="22"/>
          <w:szCs w:val="22"/>
        </w:rPr>
        <w:lastRenderedPageBreak/>
        <w:t>the OEB Panel, OEB staff, intervenors and Milton Hydro. The discrepancy was a quoted price per acre which if multiplied by the acreage produced a value of $2.7M. This discrepancy was only referenced in the OEB Panel Decision</w:t>
      </w:r>
      <w:r w:rsidR="007B6C61">
        <w:rPr>
          <w:color w:val="auto"/>
          <w:sz w:val="22"/>
          <w:szCs w:val="22"/>
        </w:rPr>
        <w:t xml:space="preserve">. Milton Hydro remains puzzled as to why the Panel would not seek clarification of the discrepancy rather than </w:t>
      </w:r>
      <w:r w:rsidR="00443C3A">
        <w:rPr>
          <w:color w:val="auto"/>
          <w:sz w:val="22"/>
          <w:szCs w:val="22"/>
        </w:rPr>
        <w:t>accuse</w:t>
      </w:r>
      <w:r w:rsidR="007B6C61">
        <w:rPr>
          <w:color w:val="auto"/>
          <w:sz w:val="22"/>
          <w:szCs w:val="22"/>
        </w:rPr>
        <w:t xml:space="preserve"> Milton Hydro</w:t>
      </w:r>
      <w:r w:rsidR="00443C3A">
        <w:rPr>
          <w:color w:val="auto"/>
          <w:sz w:val="22"/>
          <w:szCs w:val="22"/>
        </w:rPr>
        <w:t xml:space="preserve"> of</w:t>
      </w:r>
      <w:r w:rsidR="007B6C61">
        <w:rPr>
          <w:color w:val="auto"/>
          <w:sz w:val="22"/>
          <w:szCs w:val="22"/>
        </w:rPr>
        <w:t xml:space="preserve"> “inappropriately” </w:t>
      </w:r>
      <w:r w:rsidR="00CE75B6">
        <w:rPr>
          <w:color w:val="auto"/>
          <w:sz w:val="22"/>
          <w:szCs w:val="22"/>
        </w:rPr>
        <w:t>selecting</w:t>
      </w:r>
      <w:r w:rsidR="007B6C61">
        <w:rPr>
          <w:color w:val="auto"/>
          <w:sz w:val="22"/>
          <w:szCs w:val="22"/>
        </w:rPr>
        <w:t xml:space="preserve"> the lower value.</w:t>
      </w:r>
    </w:p>
    <w:p w:rsidR="007B6C61" w:rsidRDefault="007B6C61" w:rsidP="00AA2FF5">
      <w:pPr>
        <w:pStyle w:val="Default"/>
        <w:spacing w:after="240" w:line="360" w:lineRule="auto"/>
        <w:rPr>
          <w:color w:val="auto"/>
          <w:sz w:val="22"/>
          <w:szCs w:val="22"/>
        </w:rPr>
      </w:pPr>
      <w:r>
        <w:rPr>
          <w:color w:val="auto"/>
          <w:sz w:val="22"/>
          <w:szCs w:val="22"/>
        </w:rPr>
        <w:t xml:space="preserve">Upon receipt of the Board Decision, Milton Hydro contacted Colliers seeking clarification, and Colliers confirmed that the certified $2.4M valuation was </w:t>
      </w:r>
      <w:r w:rsidR="00443C3A">
        <w:rPr>
          <w:color w:val="auto"/>
          <w:sz w:val="22"/>
          <w:szCs w:val="22"/>
        </w:rPr>
        <w:t xml:space="preserve">correct and that price per acre, contained </w:t>
      </w:r>
      <w:r w:rsidR="00114886">
        <w:rPr>
          <w:color w:val="auto"/>
          <w:sz w:val="22"/>
          <w:szCs w:val="22"/>
        </w:rPr>
        <w:t>with</w:t>
      </w:r>
      <w:r w:rsidR="00443C3A">
        <w:rPr>
          <w:color w:val="auto"/>
          <w:sz w:val="22"/>
          <w:szCs w:val="22"/>
        </w:rPr>
        <w:t xml:space="preserve">in the body of the report, </w:t>
      </w:r>
      <w:r>
        <w:rPr>
          <w:color w:val="auto"/>
          <w:sz w:val="22"/>
          <w:szCs w:val="22"/>
        </w:rPr>
        <w:t xml:space="preserve">was a </w:t>
      </w:r>
      <w:r w:rsidR="00071272">
        <w:rPr>
          <w:color w:val="auto"/>
          <w:sz w:val="22"/>
          <w:szCs w:val="22"/>
        </w:rPr>
        <w:t xml:space="preserve">typographical </w:t>
      </w:r>
      <w:r>
        <w:rPr>
          <w:color w:val="auto"/>
          <w:sz w:val="22"/>
          <w:szCs w:val="22"/>
        </w:rPr>
        <w:t xml:space="preserve">error. This confirmation of appraised value </w:t>
      </w:r>
      <w:r w:rsidR="00F456E2">
        <w:rPr>
          <w:color w:val="auto"/>
          <w:sz w:val="22"/>
          <w:szCs w:val="22"/>
        </w:rPr>
        <w:t>and errors</w:t>
      </w:r>
      <w:r>
        <w:rPr>
          <w:color w:val="auto"/>
          <w:sz w:val="22"/>
          <w:szCs w:val="22"/>
        </w:rPr>
        <w:t xml:space="preserve"> in the body of the report were the basis of the Motion to Vary the Decision of the Board Panel.</w:t>
      </w:r>
    </w:p>
    <w:p w:rsidR="0061339F" w:rsidRDefault="007B6C61" w:rsidP="00AA2FF5">
      <w:pPr>
        <w:pStyle w:val="Default"/>
        <w:spacing w:after="240" w:line="360" w:lineRule="auto"/>
        <w:rPr>
          <w:color w:val="auto"/>
          <w:sz w:val="22"/>
          <w:szCs w:val="22"/>
        </w:rPr>
      </w:pPr>
      <w:r>
        <w:rPr>
          <w:color w:val="auto"/>
          <w:sz w:val="22"/>
          <w:szCs w:val="22"/>
        </w:rPr>
        <w:t xml:space="preserve">During the normal process for the Motion to Vary, no party requested an oral hearing and written submissions by Milton Hydro, OEB staff and intervenors were </w:t>
      </w:r>
      <w:r w:rsidR="00114886">
        <w:rPr>
          <w:color w:val="auto"/>
          <w:sz w:val="22"/>
          <w:szCs w:val="22"/>
        </w:rPr>
        <w:t>prepared</w:t>
      </w:r>
      <w:r>
        <w:rPr>
          <w:color w:val="auto"/>
          <w:sz w:val="22"/>
          <w:szCs w:val="22"/>
        </w:rPr>
        <w:t xml:space="preserve">. The original Cost of Service application had three intervenors but only two </w:t>
      </w:r>
      <w:r w:rsidR="00B40AB5">
        <w:rPr>
          <w:color w:val="auto"/>
          <w:sz w:val="22"/>
          <w:szCs w:val="22"/>
        </w:rPr>
        <w:t xml:space="preserve">made submissions in the Motion to Vary. The OEB staff and one of the two intervenors supported the Motion to Vary and accepted the clarification by </w:t>
      </w:r>
      <w:r w:rsidR="00A437F8">
        <w:rPr>
          <w:color w:val="auto"/>
          <w:sz w:val="22"/>
          <w:szCs w:val="22"/>
        </w:rPr>
        <w:t>Colliers. The other intervenor tried</w:t>
      </w:r>
      <w:r w:rsidR="00B40AB5">
        <w:rPr>
          <w:color w:val="auto"/>
          <w:sz w:val="22"/>
          <w:szCs w:val="22"/>
        </w:rPr>
        <w:t xml:space="preserve"> to justify the $2.7M valuation.</w:t>
      </w:r>
      <w:r>
        <w:rPr>
          <w:color w:val="auto"/>
          <w:sz w:val="22"/>
          <w:szCs w:val="22"/>
        </w:rPr>
        <w:t xml:space="preserve"> </w:t>
      </w:r>
      <w:r w:rsidR="00B40AB5">
        <w:rPr>
          <w:color w:val="auto"/>
          <w:sz w:val="22"/>
          <w:szCs w:val="22"/>
        </w:rPr>
        <w:t xml:space="preserve">The new OEB Panel has been reviewing the written submissions since September, and has now expressed interest in holding an </w:t>
      </w:r>
      <w:r w:rsidR="00443C3A">
        <w:rPr>
          <w:color w:val="auto"/>
          <w:sz w:val="22"/>
          <w:szCs w:val="22"/>
        </w:rPr>
        <w:t xml:space="preserve">additional </w:t>
      </w:r>
      <w:r w:rsidR="00B40AB5">
        <w:rPr>
          <w:color w:val="auto"/>
          <w:sz w:val="22"/>
          <w:szCs w:val="22"/>
        </w:rPr>
        <w:t>oral hearing with Colliers being present.</w:t>
      </w:r>
    </w:p>
    <w:p w:rsidR="00B40AB5" w:rsidRDefault="00B40AB5" w:rsidP="00AA2FF5">
      <w:pPr>
        <w:pStyle w:val="Default"/>
        <w:spacing w:after="240" w:line="360" w:lineRule="auto"/>
        <w:rPr>
          <w:color w:val="auto"/>
          <w:sz w:val="22"/>
          <w:szCs w:val="22"/>
        </w:rPr>
      </w:pPr>
      <w:r>
        <w:rPr>
          <w:color w:val="auto"/>
          <w:sz w:val="22"/>
          <w:szCs w:val="22"/>
        </w:rPr>
        <w:t xml:space="preserve">It is this action which makes the words and intent of the OEB and Minister, regarding cost and value to the customer, ring hollow.  The evidence cannot be more factual and has already been supported by OEB staff and yet Milton Hydro, and therefore its </w:t>
      </w:r>
      <w:r w:rsidR="00CE75B6">
        <w:rPr>
          <w:color w:val="auto"/>
          <w:sz w:val="22"/>
          <w:szCs w:val="22"/>
        </w:rPr>
        <w:t>stakeholders</w:t>
      </w:r>
      <w:r>
        <w:rPr>
          <w:color w:val="auto"/>
          <w:sz w:val="22"/>
          <w:szCs w:val="22"/>
        </w:rPr>
        <w:t xml:space="preserve">, is expected to pay the costs of an </w:t>
      </w:r>
      <w:r w:rsidR="00114886">
        <w:rPr>
          <w:color w:val="auto"/>
          <w:sz w:val="22"/>
          <w:szCs w:val="22"/>
        </w:rPr>
        <w:t xml:space="preserve">additional </w:t>
      </w:r>
      <w:r>
        <w:rPr>
          <w:color w:val="auto"/>
          <w:sz w:val="22"/>
          <w:szCs w:val="22"/>
        </w:rPr>
        <w:t>oral hearing, namely the costs for the OEB Panel, OEB staff, intervenors, Colliers and the</w:t>
      </w:r>
      <w:r w:rsidR="00443C3A">
        <w:rPr>
          <w:color w:val="auto"/>
          <w:sz w:val="22"/>
          <w:szCs w:val="22"/>
        </w:rPr>
        <w:t>ir</w:t>
      </w:r>
      <w:r>
        <w:rPr>
          <w:color w:val="auto"/>
          <w:sz w:val="22"/>
          <w:szCs w:val="22"/>
        </w:rPr>
        <w:t xml:space="preserve"> legal </w:t>
      </w:r>
      <w:r w:rsidR="00892F05">
        <w:rPr>
          <w:color w:val="auto"/>
          <w:sz w:val="22"/>
          <w:szCs w:val="22"/>
        </w:rPr>
        <w:t>representation and Milton Hydro staff and their legal representation.</w:t>
      </w:r>
    </w:p>
    <w:p w:rsidR="00892F05" w:rsidRDefault="00892F05" w:rsidP="00AA2FF5">
      <w:pPr>
        <w:pStyle w:val="Default"/>
        <w:spacing w:after="240" w:line="360" w:lineRule="auto"/>
        <w:rPr>
          <w:color w:val="auto"/>
          <w:sz w:val="22"/>
          <w:szCs w:val="22"/>
        </w:rPr>
      </w:pPr>
      <w:r>
        <w:rPr>
          <w:color w:val="auto"/>
          <w:sz w:val="22"/>
          <w:szCs w:val="22"/>
        </w:rPr>
        <w:t xml:space="preserve">The first OEB panel sullied Milton Hydro’s reputation by unilaterally and incorrectly stating that Milton Hydro “inappropriately” used the lower valuation and now it appears that </w:t>
      </w:r>
      <w:r w:rsidR="00A437F8">
        <w:rPr>
          <w:color w:val="auto"/>
          <w:sz w:val="22"/>
          <w:szCs w:val="22"/>
        </w:rPr>
        <w:t>a possible</w:t>
      </w:r>
      <w:r>
        <w:rPr>
          <w:color w:val="auto"/>
          <w:sz w:val="22"/>
          <w:szCs w:val="22"/>
        </w:rPr>
        <w:t xml:space="preserve"> goal of the oral hearing</w:t>
      </w:r>
      <w:r w:rsidR="00443C3A">
        <w:rPr>
          <w:color w:val="auto"/>
          <w:sz w:val="22"/>
          <w:szCs w:val="22"/>
        </w:rPr>
        <w:t xml:space="preserve"> is </w:t>
      </w:r>
      <w:r>
        <w:rPr>
          <w:color w:val="auto"/>
          <w:sz w:val="22"/>
          <w:szCs w:val="22"/>
        </w:rPr>
        <w:t>to try to discredit Colliers International, an independent third party.</w:t>
      </w:r>
    </w:p>
    <w:p w:rsidR="00892F05" w:rsidRDefault="00892F05" w:rsidP="00AA2FF5">
      <w:pPr>
        <w:pStyle w:val="Default"/>
        <w:spacing w:after="240" w:line="360" w:lineRule="auto"/>
        <w:rPr>
          <w:color w:val="auto"/>
          <w:sz w:val="22"/>
          <w:szCs w:val="22"/>
        </w:rPr>
      </w:pPr>
      <w:r>
        <w:rPr>
          <w:color w:val="auto"/>
          <w:sz w:val="22"/>
          <w:szCs w:val="22"/>
        </w:rPr>
        <w:t xml:space="preserve">This is an injustice to </w:t>
      </w:r>
      <w:r w:rsidR="00114886">
        <w:rPr>
          <w:color w:val="auto"/>
          <w:sz w:val="22"/>
          <w:szCs w:val="22"/>
        </w:rPr>
        <w:t xml:space="preserve">the </w:t>
      </w:r>
      <w:r>
        <w:rPr>
          <w:color w:val="auto"/>
          <w:sz w:val="22"/>
          <w:szCs w:val="22"/>
        </w:rPr>
        <w:t>dedicated board and staff at Milton Hydro and Colliers International, a respected and successful organization.</w:t>
      </w:r>
    </w:p>
    <w:p w:rsidR="00114886" w:rsidRDefault="00114886" w:rsidP="00AA2FF5">
      <w:pPr>
        <w:pStyle w:val="Default"/>
        <w:spacing w:after="240" w:line="360" w:lineRule="auto"/>
        <w:rPr>
          <w:color w:val="auto"/>
          <w:sz w:val="22"/>
          <w:szCs w:val="22"/>
        </w:rPr>
      </w:pPr>
      <w:r>
        <w:rPr>
          <w:color w:val="auto"/>
          <w:sz w:val="22"/>
          <w:szCs w:val="22"/>
        </w:rPr>
        <w:t>If an oral hearing is mandated, t</w:t>
      </w:r>
      <w:r w:rsidR="00892F05">
        <w:rPr>
          <w:color w:val="auto"/>
          <w:sz w:val="22"/>
          <w:szCs w:val="22"/>
        </w:rPr>
        <w:t xml:space="preserve">here will be compensation for the intervenors and all the </w:t>
      </w:r>
      <w:r w:rsidR="00443C3A">
        <w:rPr>
          <w:color w:val="auto"/>
          <w:sz w:val="22"/>
          <w:szCs w:val="22"/>
        </w:rPr>
        <w:t xml:space="preserve">legal teams, but where is </w:t>
      </w:r>
      <w:r w:rsidR="00892F05">
        <w:rPr>
          <w:color w:val="auto"/>
          <w:sz w:val="22"/>
          <w:szCs w:val="22"/>
        </w:rPr>
        <w:t xml:space="preserve">the value to the customer, who should be the </w:t>
      </w:r>
      <w:r>
        <w:rPr>
          <w:color w:val="auto"/>
          <w:sz w:val="22"/>
          <w:szCs w:val="22"/>
        </w:rPr>
        <w:t>primary concern for all parties.</w:t>
      </w:r>
    </w:p>
    <w:p w:rsidR="00892F05" w:rsidRDefault="00701B07" w:rsidP="00AA2FF5">
      <w:pPr>
        <w:pStyle w:val="Default"/>
        <w:spacing w:after="240" w:line="360" w:lineRule="auto"/>
        <w:rPr>
          <w:color w:val="auto"/>
          <w:sz w:val="22"/>
          <w:szCs w:val="22"/>
        </w:rPr>
      </w:pPr>
      <w:r>
        <w:rPr>
          <w:color w:val="auto"/>
          <w:sz w:val="22"/>
          <w:szCs w:val="22"/>
        </w:rPr>
        <w:t xml:space="preserve">We respect that the new Panel has a duty to review all the information pertaining to the motion; however,  Milton Hydro respectfully requests that in the interests of foregoing any further </w:t>
      </w:r>
      <w:r>
        <w:rPr>
          <w:color w:val="auto"/>
          <w:sz w:val="22"/>
          <w:szCs w:val="22"/>
        </w:rPr>
        <w:lastRenderedPageBreak/>
        <w:t xml:space="preserve">external costs, the Panel consider written responses to any questions that would allow them to render an informed decision. </w:t>
      </w:r>
      <w:r w:rsidR="006F0FF3">
        <w:rPr>
          <w:color w:val="auto"/>
          <w:sz w:val="22"/>
          <w:szCs w:val="22"/>
        </w:rPr>
        <w:t xml:space="preserve">Milton Hydro has already paid in excess of $280,000.00, excluding any internal </w:t>
      </w:r>
      <w:r>
        <w:rPr>
          <w:color w:val="auto"/>
          <w:sz w:val="22"/>
          <w:szCs w:val="22"/>
        </w:rPr>
        <w:t>costs</w:t>
      </w:r>
      <w:r w:rsidR="00A437F8">
        <w:rPr>
          <w:color w:val="auto"/>
          <w:sz w:val="22"/>
          <w:szCs w:val="22"/>
        </w:rPr>
        <w:t>,</w:t>
      </w:r>
      <w:r>
        <w:rPr>
          <w:color w:val="auto"/>
          <w:sz w:val="22"/>
          <w:szCs w:val="22"/>
        </w:rPr>
        <w:t xml:space="preserve"> associated</w:t>
      </w:r>
      <w:r w:rsidR="006F0FF3">
        <w:rPr>
          <w:color w:val="auto"/>
          <w:sz w:val="22"/>
          <w:szCs w:val="22"/>
        </w:rPr>
        <w:t xml:space="preserve"> with the Cost of Service application</w:t>
      </w:r>
      <w:r w:rsidR="00A437F8">
        <w:rPr>
          <w:color w:val="auto"/>
          <w:sz w:val="22"/>
          <w:szCs w:val="22"/>
        </w:rPr>
        <w:t>,</w:t>
      </w:r>
      <w:r w:rsidR="006F0FF3">
        <w:rPr>
          <w:color w:val="auto"/>
          <w:sz w:val="22"/>
          <w:szCs w:val="22"/>
        </w:rPr>
        <w:t xml:space="preserve"> and w</w:t>
      </w:r>
      <w:r w:rsidR="00892F05">
        <w:rPr>
          <w:color w:val="auto"/>
          <w:sz w:val="22"/>
          <w:szCs w:val="22"/>
        </w:rPr>
        <w:t xml:space="preserve">e sincerely hope that the customer will come first and the unnecessary costs of </w:t>
      </w:r>
      <w:r w:rsidR="00443C3A">
        <w:rPr>
          <w:color w:val="auto"/>
          <w:sz w:val="22"/>
          <w:szCs w:val="22"/>
        </w:rPr>
        <w:t xml:space="preserve">another </w:t>
      </w:r>
      <w:r w:rsidR="00892F05">
        <w:rPr>
          <w:color w:val="auto"/>
          <w:sz w:val="22"/>
          <w:szCs w:val="22"/>
        </w:rPr>
        <w:t>oral hearing will not be incurred.</w:t>
      </w:r>
    </w:p>
    <w:p w:rsidR="00B40AB5" w:rsidRDefault="00892F05" w:rsidP="00AA2FF5">
      <w:pPr>
        <w:pStyle w:val="Default"/>
        <w:spacing w:after="240" w:line="360" w:lineRule="auto"/>
        <w:rPr>
          <w:color w:val="auto"/>
          <w:sz w:val="22"/>
          <w:szCs w:val="22"/>
        </w:rPr>
      </w:pPr>
      <w:r>
        <w:rPr>
          <w:color w:val="auto"/>
          <w:sz w:val="22"/>
          <w:szCs w:val="22"/>
        </w:rPr>
        <w:t>Respectfully submitted</w:t>
      </w:r>
    </w:p>
    <w:p w:rsidR="00071272" w:rsidRDefault="00071272" w:rsidP="00071272">
      <w:pPr>
        <w:pStyle w:val="Default"/>
        <w:spacing w:after="240" w:line="360" w:lineRule="auto"/>
        <w:rPr>
          <w:rFonts w:ascii="Blackadder ITC" w:hAnsi="Blackadder ITC"/>
          <w:color w:val="auto"/>
          <w:sz w:val="32"/>
          <w:szCs w:val="32"/>
        </w:rPr>
      </w:pPr>
      <w:r w:rsidRPr="00071272">
        <w:rPr>
          <w:rFonts w:ascii="Blackadder ITC" w:hAnsi="Blackadder ITC"/>
          <w:color w:val="auto"/>
          <w:sz w:val="32"/>
          <w:szCs w:val="32"/>
        </w:rPr>
        <w:t xml:space="preserve">Frank  </w:t>
      </w:r>
      <w:r>
        <w:rPr>
          <w:rFonts w:ascii="Blackadder ITC" w:hAnsi="Blackadder ITC"/>
          <w:color w:val="auto"/>
          <w:sz w:val="32"/>
          <w:szCs w:val="32"/>
        </w:rPr>
        <w:t xml:space="preserve"> </w:t>
      </w:r>
      <w:r w:rsidRPr="00071272">
        <w:rPr>
          <w:rFonts w:ascii="Blackadder ITC" w:hAnsi="Blackadder ITC"/>
          <w:color w:val="auto"/>
          <w:sz w:val="32"/>
          <w:szCs w:val="32"/>
        </w:rPr>
        <w:t>Lasowski</w:t>
      </w:r>
    </w:p>
    <w:p w:rsidR="00701B07" w:rsidRDefault="00701B07" w:rsidP="00071272">
      <w:pPr>
        <w:pStyle w:val="Default"/>
        <w:spacing w:after="240" w:line="360" w:lineRule="auto"/>
        <w:rPr>
          <w:color w:val="auto"/>
          <w:sz w:val="22"/>
          <w:szCs w:val="22"/>
        </w:rPr>
      </w:pPr>
      <w:r>
        <w:rPr>
          <w:color w:val="auto"/>
          <w:sz w:val="22"/>
          <w:szCs w:val="22"/>
        </w:rPr>
        <w:t>Frank Lasowski, P. Eng., CPA</w:t>
      </w:r>
      <w:r w:rsidR="00F456E2">
        <w:rPr>
          <w:color w:val="auto"/>
          <w:sz w:val="22"/>
          <w:szCs w:val="22"/>
        </w:rPr>
        <w:t>, CMA</w:t>
      </w:r>
    </w:p>
    <w:p w:rsidR="00701B07" w:rsidRDefault="00701B07" w:rsidP="00701B07">
      <w:pPr>
        <w:pStyle w:val="Default"/>
        <w:rPr>
          <w:color w:val="auto"/>
          <w:sz w:val="22"/>
          <w:szCs w:val="22"/>
        </w:rPr>
      </w:pPr>
      <w:r>
        <w:rPr>
          <w:color w:val="auto"/>
          <w:sz w:val="22"/>
          <w:szCs w:val="22"/>
        </w:rPr>
        <w:t>President and CEO</w:t>
      </w:r>
    </w:p>
    <w:p w:rsidR="00701B07" w:rsidRDefault="00701B07" w:rsidP="00701B07">
      <w:pPr>
        <w:pStyle w:val="Default"/>
        <w:rPr>
          <w:color w:val="auto"/>
          <w:sz w:val="22"/>
          <w:szCs w:val="22"/>
        </w:rPr>
      </w:pPr>
    </w:p>
    <w:p w:rsidR="00892F05" w:rsidRDefault="00892F05" w:rsidP="00701B07">
      <w:pPr>
        <w:pStyle w:val="Default"/>
        <w:rPr>
          <w:color w:val="auto"/>
          <w:sz w:val="22"/>
          <w:szCs w:val="22"/>
        </w:rPr>
      </w:pPr>
      <w:r>
        <w:rPr>
          <w:color w:val="auto"/>
          <w:sz w:val="22"/>
          <w:szCs w:val="22"/>
        </w:rPr>
        <w:t xml:space="preserve">Cc </w:t>
      </w:r>
      <w:r w:rsidR="00701B07">
        <w:rPr>
          <w:color w:val="auto"/>
          <w:sz w:val="22"/>
          <w:szCs w:val="22"/>
        </w:rPr>
        <w:t xml:space="preserve">  </w:t>
      </w:r>
      <w:r>
        <w:rPr>
          <w:color w:val="auto"/>
          <w:sz w:val="22"/>
          <w:szCs w:val="22"/>
        </w:rPr>
        <w:t>Minister</w:t>
      </w:r>
      <w:r w:rsidR="00A437F8">
        <w:rPr>
          <w:color w:val="auto"/>
          <w:sz w:val="22"/>
          <w:szCs w:val="22"/>
        </w:rPr>
        <w:t xml:space="preserve"> of Energy Glenn </w:t>
      </w:r>
      <w:r>
        <w:rPr>
          <w:color w:val="auto"/>
          <w:sz w:val="22"/>
          <w:szCs w:val="22"/>
        </w:rPr>
        <w:t>Thibeault</w:t>
      </w:r>
    </w:p>
    <w:p w:rsidR="00701B07" w:rsidRPr="00701B07" w:rsidRDefault="00701B07" w:rsidP="00701B07">
      <w:pPr>
        <w:ind w:left="720" w:hanging="294"/>
        <w:rPr>
          <w:rFonts w:ascii="Arial" w:hAnsi="Arial" w:cs="Arial"/>
          <w:sz w:val="22"/>
          <w:szCs w:val="22"/>
        </w:rPr>
      </w:pPr>
      <w:r w:rsidRPr="00701B07">
        <w:rPr>
          <w:rFonts w:ascii="Arial" w:hAnsi="Arial" w:cs="Arial"/>
          <w:bCs/>
          <w:sz w:val="22"/>
          <w:szCs w:val="22"/>
        </w:rPr>
        <w:t>Matthew Bruchkowsky, </w:t>
      </w:r>
      <w:r w:rsidRPr="00701B07">
        <w:rPr>
          <w:rFonts w:ascii="Arial" w:hAnsi="Arial" w:cs="Arial"/>
          <w:sz w:val="22"/>
          <w:szCs w:val="22"/>
        </w:rPr>
        <w:t xml:space="preserve">AACI, P.App </w:t>
      </w:r>
    </w:p>
    <w:p w:rsidR="00701B07" w:rsidRPr="00701B07" w:rsidRDefault="00701B07" w:rsidP="00701B07">
      <w:pPr>
        <w:pStyle w:val="Default"/>
        <w:ind w:firstLine="426"/>
        <w:rPr>
          <w:sz w:val="22"/>
          <w:szCs w:val="22"/>
        </w:rPr>
      </w:pPr>
      <w:r w:rsidRPr="00701B07">
        <w:rPr>
          <w:sz w:val="22"/>
          <w:szCs w:val="22"/>
        </w:rPr>
        <w:t>Senior Director, Valuation &amp; Advisory Services</w:t>
      </w:r>
      <w:r>
        <w:rPr>
          <w:sz w:val="22"/>
          <w:szCs w:val="22"/>
        </w:rPr>
        <w:t>- Colliers International</w:t>
      </w:r>
    </w:p>
    <w:p w:rsidR="00892F05" w:rsidRPr="00701B07" w:rsidRDefault="00701B07" w:rsidP="00701B07">
      <w:pPr>
        <w:pStyle w:val="Default"/>
        <w:ind w:firstLine="426"/>
        <w:rPr>
          <w:color w:val="auto"/>
          <w:sz w:val="22"/>
          <w:szCs w:val="22"/>
        </w:rPr>
      </w:pPr>
      <w:r w:rsidRPr="00701B07">
        <w:rPr>
          <w:sz w:val="22"/>
          <w:szCs w:val="22"/>
        </w:rPr>
        <w:t xml:space="preserve">Robert </w:t>
      </w:r>
      <w:r w:rsidRPr="00701B07">
        <w:rPr>
          <w:color w:val="auto"/>
          <w:sz w:val="22"/>
          <w:szCs w:val="22"/>
        </w:rPr>
        <w:t>Pyatt</w:t>
      </w:r>
      <w:r w:rsidR="00892F05" w:rsidRPr="00701B07">
        <w:rPr>
          <w:color w:val="auto"/>
          <w:sz w:val="22"/>
          <w:szCs w:val="22"/>
        </w:rPr>
        <w:t xml:space="preserve"> </w:t>
      </w:r>
      <w:r>
        <w:rPr>
          <w:color w:val="auto"/>
          <w:sz w:val="22"/>
          <w:szCs w:val="22"/>
        </w:rPr>
        <w:t>C</w:t>
      </w:r>
      <w:r w:rsidR="00892F05" w:rsidRPr="00701B07">
        <w:rPr>
          <w:color w:val="auto"/>
          <w:sz w:val="22"/>
          <w:szCs w:val="22"/>
        </w:rPr>
        <w:t>hair</w:t>
      </w:r>
      <w:r>
        <w:rPr>
          <w:color w:val="auto"/>
          <w:sz w:val="22"/>
          <w:szCs w:val="22"/>
        </w:rPr>
        <w:t>-Milton Hydro Distribution Inc.</w:t>
      </w:r>
    </w:p>
    <w:sectPr w:rsidR="00892F05" w:rsidRPr="00701B07" w:rsidSect="00086B9E">
      <w:pgSz w:w="12240" w:h="15840"/>
      <w:pgMar w:top="567"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altName w:val="Amienne"/>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92BA1"/>
    <w:multiLevelType w:val="hybridMultilevel"/>
    <w:tmpl w:val="F7A404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C7A525E"/>
    <w:multiLevelType w:val="hybridMultilevel"/>
    <w:tmpl w:val="438476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60130140"/>
    <w:multiLevelType w:val="hybridMultilevel"/>
    <w:tmpl w:val="557CDD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EA7"/>
    <w:rsid w:val="00001D9F"/>
    <w:rsid w:val="00001DCA"/>
    <w:rsid w:val="000145D3"/>
    <w:rsid w:val="000200E3"/>
    <w:rsid w:val="0002513C"/>
    <w:rsid w:val="0003358F"/>
    <w:rsid w:val="000360E9"/>
    <w:rsid w:val="000675F3"/>
    <w:rsid w:val="000711DE"/>
    <w:rsid w:val="00071272"/>
    <w:rsid w:val="00076BD7"/>
    <w:rsid w:val="00077B0F"/>
    <w:rsid w:val="00086B9E"/>
    <w:rsid w:val="00094C42"/>
    <w:rsid w:val="000A13CF"/>
    <w:rsid w:val="000B7AB4"/>
    <w:rsid w:val="000F1B20"/>
    <w:rsid w:val="000F622B"/>
    <w:rsid w:val="001137BF"/>
    <w:rsid w:val="00114886"/>
    <w:rsid w:val="00137D41"/>
    <w:rsid w:val="0014669F"/>
    <w:rsid w:val="00155456"/>
    <w:rsid w:val="00155EFC"/>
    <w:rsid w:val="00191226"/>
    <w:rsid w:val="001D0144"/>
    <w:rsid w:val="001E442E"/>
    <w:rsid w:val="001F3500"/>
    <w:rsid w:val="00200E3A"/>
    <w:rsid w:val="00221538"/>
    <w:rsid w:val="002466E7"/>
    <w:rsid w:val="002476E1"/>
    <w:rsid w:val="00294B42"/>
    <w:rsid w:val="0029768E"/>
    <w:rsid w:val="002C1DC1"/>
    <w:rsid w:val="002E730E"/>
    <w:rsid w:val="00343705"/>
    <w:rsid w:val="003B5F14"/>
    <w:rsid w:val="003D686C"/>
    <w:rsid w:val="003F3876"/>
    <w:rsid w:val="0040679F"/>
    <w:rsid w:val="00411644"/>
    <w:rsid w:val="004321E8"/>
    <w:rsid w:val="0044278F"/>
    <w:rsid w:val="00443C3A"/>
    <w:rsid w:val="00444A41"/>
    <w:rsid w:val="00446012"/>
    <w:rsid w:val="004543DC"/>
    <w:rsid w:val="00455882"/>
    <w:rsid w:val="00483F84"/>
    <w:rsid w:val="004A2A4F"/>
    <w:rsid w:val="004B72D3"/>
    <w:rsid w:val="004D0D44"/>
    <w:rsid w:val="004F3952"/>
    <w:rsid w:val="004F6D36"/>
    <w:rsid w:val="00561BC2"/>
    <w:rsid w:val="005A1E36"/>
    <w:rsid w:val="005E18BC"/>
    <w:rsid w:val="00605F9C"/>
    <w:rsid w:val="0061339F"/>
    <w:rsid w:val="006158D8"/>
    <w:rsid w:val="0064191B"/>
    <w:rsid w:val="00675DA9"/>
    <w:rsid w:val="00685EDD"/>
    <w:rsid w:val="006955C5"/>
    <w:rsid w:val="006958F8"/>
    <w:rsid w:val="006969B1"/>
    <w:rsid w:val="006D07FB"/>
    <w:rsid w:val="006E2C5B"/>
    <w:rsid w:val="006F0FF3"/>
    <w:rsid w:val="006F1A9A"/>
    <w:rsid w:val="006F50EF"/>
    <w:rsid w:val="006F75C5"/>
    <w:rsid w:val="00701B07"/>
    <w:rsid w:val="00705D8D"/>
    <w:rsid w:val="007062CD"/>
    <w:rsid w:val="00726061"/>
    <w:rsid w:val="00752706"/>
    <w:rsid w:val="007B3EE9"/>
    <w:rsid w:val="007B6C61"/>
    <w:rsid w:val="007E1086"/>
    <w:rsid w:val="00824E7E"/>
    <w:rsid w:val="0085477F"/>
    <w:rsid w:val="00863D8F"/>
    <w:rsid w:val="00892F05"/>
    <w:rsid w:val="008B4D90"/>
    <w:rsid w:val="008D076D"/>
    <w:rsid w:val="008F5C09"/>
    <w:rsid w:val="008F70D3"/>
    <w:rsid w:val="00916FE7"/>
    <w:rsid w:val="009576AA"/>
    <w:rsid w:val="0097338E"/>
    <w:rsid w:val="00997324"/>
    <w:rsid w:val="00997F48"/>
    <w:rsid w:val="009C47CD"/>
    <w:rsid w:val="009C6154"/>
    <w:rsid w:val="009D6DAC"/>
    <w:rsid w:val="009E1F8A"/>
    <w:rsid w:val="00A26CB6"/>
    <w:rsid w:val="00A43151"/>
    <w:rsid w:val="00A437F8"/>
    <w:rsid w:val="00A80729"/>
    <w:rsid w:val="00AA2FF5"/>
    <w:rsid w:val="00AB2B85"/>
    <w:rsid w:val="00AC7AED"/>
    <w:rsid w:val="00AC7D47"/>
    <w:rsid w:val="00AD1206"/>
    <w:rsid w:val="00B001E8"/>
    <w:rsid w:val="00B204F9"/>
    <w:rsid w:val="00B40AB5"/>
    <w:rsid w:val="00B40CB9"/>
    <w:rsid w:val="00B41094"/>
    <w:rsid w:val="00B41A67"/>
    <w:rsid w:val="00B647C2"/>
    <w:rsid w:val="00B7637C"/>
    <w:rsid w:val="00BA0FBB"/>
    <w:rsid w:val="00BC3C99"/>
    <w:rsid w:val="00BE6DB7"/>
    <w:rsid w:val="00C23C16"/>
    <w:rsid w:val="00C2611C"/>
    <w:rsid w:val="00C40F24"/>
    <w:rsid w:val="00C56803"/>
    <w:rsid w:val="00C575F2"/>
    <w:rsid w:val="00C623CC"/>
    <w:rsid w:val="00C648C5"/>
    <w:rsid w:val="00C74807"/>
    <w:rsid w:val="00C84639"/>
    <w:rsid w:val="00C91FD6"/>
    <w:rsid w:val="00C963B2"/>
    <w:rsid w:val="00CB4EC4"/>
    <w:rsid w:val="00CB5023"/>
    <w:rsid w:val="00CE75B6"/>
    <w:rsid w:val="00CF0BB9"/>
    <w:rsid w:val="00D1288E"/>
    <w:rsid w:val="00D24EA7"/>
    <w:rsid w:val="00D531D5"/>
    <w:rsid w:val="00D60E76"/>
    <w:rsid w:val="00D720E1"/>
    <w:rsid w:val="00D7263D"/>
    <w:rsid w:val="00D8114F"/>
    <w:rsid w:val="00DB3B47"/>
    <w:rsid w:val="00DE0269"/>
    <w:rsid w:val="00E062CE"/>
    <w:rsid w:val="00E17F83"/>
    <w:rsid w:val="00E20D07"/>
    <w:rsid w:val="00E27CDD"/>
    <w:rsid w:val="00E3175D"/>
    <w:rsid w:val="00E611BE"/>
    <w:rsid w:val="00E73F5E"/>
    <w:rsid w:val="00E928C1"/>
    <w:rsid w:val="00EA03F1"/>
    <w:rsid w:val="00EE3097"/>
    <w:rsid w:val="00F456E2"/>
    <w:rsid w:val="00F55397"/>
    <w:rsid w:val="00FB5827"/>
    <w:rsid w:val="00FC7389"/>
    <w:rsid w:val="00FD2E5C"/>
    <w:rsid w:val="00FE3A31"/>
    <w:rsid w:val="00FE3DE8"/>
    <w:rsid w:val="00FF58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4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1DCA"/>
    <w:rPr>
      <w:color w:val="0000FF"/>
      <w:u w:val="single"/>
    </w:rPr>
  </w:style>
  <w:style w:type="character" w:styleId="FollowedHyperlink">
    <w:name w:val="FollowedHyperlink"/>
    <w:basedOn w:val="DefaultParagraphFont"/>
    <w:rsid w:val="00001DCA"/>
    <w:rPr>
      <w:color w:val="800080" w:themeColor="followedHyperlink"/>
      <w:u w:val="single"/>
    </w:rPr>
  </w:style>
  <w:style w:type="paragraph" w:styleId="ListParagraph">
    <w:name w:val="List Paragraph"/>
    <w:basedOn w:val="Normal"/>
    <w:uiPriority w:val="34"/>
    <w:qFormat/>
    <w:rsid w:val="00D60E76"/>
    <w:pPr>
      <w:ind w:left="720"/>
      <w:contextualSpacing/>
    </w:pPr>
  </w:style>
  <w:style w:type="paragraph" w:customStyle="1" w:styleId="Default">
    <w:name w:val="Default"/>
    <w:rsid w:val="00AA2FF5"/>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40679F"/>
    <w:rPr>
      <w:rFonts w:ascii="Tahoma" w:hAnsi="Tahoma" w:cs="Tahoma"/>
      <w:sz w:val="16"/>
      <w:szCs w:val="16"/>
    </w:rPr>
  </w:style>
  <w:style w:type="character" w:customStyle="1" w:styleId="BalloonTextChar">
    <w:name w:val="Balloon Text Char"/>
    <w:basedOn w:val="DefaultParagraphFont"/>
    <w:link w:val="BalloonText"/>
    <w:rsid w:val="004067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4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1DCA"/>
    <w:rPr>
      <w:color w:val="0000FF"/>
      <w:u w:val="single"/>
    </w:rPr>
  </w:style>
  <w:style w:type="character" w:styleId="FollowedHyperlink">
    <w:name w:val="FollowedHyperlink"/>
    <w:basedOn w:val="DefaultParagraphFont"/>
    <w:rsid w:val="00001DCA"/>
    <w:rPr>
      <w:color w:val="800080" w:themeColor="followedHyperlink"/>
      <w:u w:val="single"/>
    </w:rPr>
  </w:style>
  <w:style w:type="paragraph" w:styleId="ListParagraph">
    <w:name w:val="List Paragraph"/>
    <w:basedOn w:val="Normal"/>
    <w:uiPriority w:val="34"/>
    <w:qFormat/>
    <w:rsid w:val="00D60E76"/>
    <w:pPr>
      <w:ind w:left="720"/>
      <w:contextualSpacing/>
    </w:pPr>
  </w:style>
  <w:style w:type="paragraph" w:customStyle="1" w:styleId="Default">
    <w:name w:val="Default"/>
    <w:rsid w:val="00AA2FF5"/>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40679F"/>
    <w:rPr>
      <w:rFonts w:ascii="Tahoma" w:hAnsi="Tahoma" w:cs="Tahoma"/>
      <w:sz w:val="16"/>
      <w:szCs w:val="16"/>
    </w:rPr>
  </w:style>
  <w:style w:type="character" w:customStyle="1" w:styleId="BalloonTextChar">
    <w:name w:val="Balloon Text Char"/>
    <w:basedOn w:val="DefaultParagraphFont"/>
    <w:link w:val="BalloonText"/>
    <w:rsid w:val="004067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81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9727C-BB95-4225-8485-C9A458C5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4627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HYDRO-ELECTRIC</dc:creator>
  <cp:lastModifiedBy>Jane Scott</cp:lastModifiedBy>
  <cp:revision>2</cp:revision>
  <cp:lastPrinted>2016-12-23T19:49:00Z</cp:lastPrinted>
  <dcterms:created xsi:type="dcterms:W3CDTF">2017-01-06T15:27:00Z</dcterms:created>
  <dcterms:modified xsi:type="dcterms:W3CDTF">2017-01-06T15:27:00Z</dcterms:modified>
</cp:coreProperties>
</file>