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4C3" w:rsidRDefault="00D614C3">
      <w:pPr>
        <w:rPr>
          <w:rFonts w:ascii="Arial" w:hAnsi="Arial" w:cs="Arial"/>
          <w:b/>
          <w:sz w:val="28"/>
          <w:szCs w:val="28"/>
        </w:rPr>
      </w:pPr>
    </w:p>
    <w:p w:rsidR="00746080" w:rsidRPr="00394351" w:rsidRDefault="00A9257F" w:rsidP="00D0773D">
      <w:pPr>
        <w:jc w:val="center"/>
        <w:rPr>
          <w:rFonts w:ascii="Arial" w:hAnsi="Arial" w:cs="Arial"/>
          <w:b/>
          <w:sz w:val="28"/>
          <w:szCs w:val="28"/>
        </w:rPr>
      </w:pPr>
      <w:r>
        <w:rPr>
          <w:rFonts w:ascii="Arial" w:hAnsi="Arial" w:cs="Arial"/>
          <w:b/>
          <w:sz w:val="28"/>
          <w:szCs w:val="28"/>
        </w:rPr>
        <w:t>Wasaga Distribution Inc.</w:t>
      </w:r>
    </w:p>
    <w:p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A9257F">
        <w:rPr>
          <w:rFonts w:ascii="Arial" w:hAnsi="Arial" w:cs="Arial"/>
          <w:b/>
          <w:sz w:val="28"/>
          <w:szCs w:val="28"/>
        </w:rPr>
        <w:t>6-0108</w:t>
      </w:r>
      <w:r w:rsidR="00B20109">
        <w:rPr>
          <w:rFonts w:ascii="Arial" w:hAnsi="Arial" w:cs="Arial"/>
          <w:b/>
          <w:sz w:val="28"/>
          <w:szCs w:val="28"/>
        </w:rPr>
        <w:t xml:space="preserve">                                                                                                                                                                                                                                                                                                                                                   </w:t>
      </w:r>
      <w:r w:rsidR="006125B7">
        <w:rPr>
          <w:rFonts w:ascii="Arial" w:hAnsi="Arial" w:cs="Arial"/>
          <w:b/>
          <w:sz w:val="28"/>
          <w:szCs w:val="28"/>
        </w:rPr>
        <w:t xml:space="preserve">                             </w:t>
      </w:r>
    </w:p>
    <w:p w:rsidR="00394351" w:rsidRPr="00CC447E" w:rsidRDefault="00A9257F" w:rsidP="00CC447E">
      <w:pPr>
        <w:jc w:val="center"/>
        <w:rPr>
          <w:rFonts w:ascii="Arial" w:hAnsi="Arial" w:cs="Arial"/>
          <w:b/>
          <w:sz w:val="24"/>
          <w:szCs w:val="28"/>
        </w:rPr>
      </w:pPr>
      <w:r>
        <w:rPr>
          <w:rFonts w:ascii="Arial" w:hAnsi="Arial" w:cs="Arial"/>
          <w:b/>
          <w:sz w:val="24"/>
          <w:szCs w:val="28"/>
        </w:rPr>
        <w:t>November 21</w:t>
      </w:r>
      <w:r w:rsidR="00BE1A92">
        <w:rPr>
          <w:rFonts w:ascii="Arial" w:hAnsi="Arial" w:cs="Arial"/>
          <w:b/>
          <w:sz w:val="24"/>
          <w:szCs w:val="28"/>
        </w:rPr>
        <w:t>, 2016</w:t>
      </w:r>
    </w:p>
    <w:p w:rsidR="002B321A" w:rsidRPr="002B321A" w:rsidRDefault="002B321A" w:rsidP="002B321A">
      <w:pPr>
        <w:rPr>
          <w:rFonts w:ascii="Arial" w:hAnsi="Arial" w:cs="Arial"/>
          <w:b/>
          <w:sz w:val="24"/>
          <w:szCs w:val="24"/>
        </w:rPr>
      </w:pPr>
      <w:r w:rsidRPr="002B321A">
        <w:rPr>
          <w:rFonts w:ascii="Arial" w:hAnsi="Arial" w:cs="Arial"/>
          <w:b/>
          <w:sz w:val="24"/>
          <w:szCs w:val="24"/>
        </w:rPr>
        <w:t xml:space="preserve">Question #1 </w:t>
      </w:r>
    </w:p>
    <w:p w:rsidR="002B321A" w:rsidRDefault="002B321A" w:rsidP="002B321A">
      <w:pPr>
        <w:rPr>
          <w:rFonts w:ascii="Arial" w:hAnsi="Arial" w:cs="Arial"/>
          <w:b/>
          <w:sz w:val="24"/>
          <w:szCs w:val="24"/>
        </w:rPr>
      </w:pPr>
      <w:r>
        <w:rPr>
          <w:rFonts w:ascii="Arial" w:hAnsi="Arial" w:cs="Arial"/>
          <w:b/>
          <w:sz w:val="24"/>
          <w:szCs w:val="24"/>
        </w:rPr>
        <w:t>Ref: IRM Model – tab 3 Continuity Schedule</w:t>
      </w:r>
      <w:r w:rsidR="00693C4F">
        <w:rPr>
          <w:rFonts w:ascii="Arial" w:hAnsi="Arial" w:cs="Arial"/>
          <w:b/>
          <w:sz w:val="24"/>
          <w:szCs w:val="24"/>
        </w:rPr>
        <w:t xml:space="preserve">: </w:t>
      </w:r>
      <w:r w:rsidR="00DD2002">
        <w:rPr>
          <w:rFonts w:ascii="Arial" w:hAnsi="Arial" w:cs="Arial"/>
          <w:b/>
          <w:sz w:val="24"/>
          <w:szCs w:val="24"/>
        </w:rPr>
        <w:t>OEB-approved disposition</w:t>
      </w:r>
      <w:r w:rsidR="00693C4F">
        <w:rPr>
          <w:rFonts w:ascii="Arial" w:hAnsi="Arial" w:cs="Arial"/>
          <w:b/>
          <w:sz w:val="24"/>
          <w:szCs w:val="24"/>
        </w:rPr>
        <w:t xml:space="preserve"> balances</w:t>
      </w:r>
      <w:r w:rsidR="00DD2002">
        <w:rPr>
          <w:rFonts w:ascii="Arial" w:hAnsi="Arial" w:cs="Arial"/>
          <w:b/>
          <w:sz w:val="24"/>
          <w:szCs w:val="24"/>
        </w:rPr>
        <w:t xml:space="preserve"> in 20</w:t>
      </w:r>
      <w:r w:rsidR="0053347F">
        <w:rPr>
          <w:rFonts w:ascii="Arial" w:hAnsi="Arial" w:cs="Arial"/>
          <w:b/>
          <w:sz w:val="24"/>
          <w:szCs w:val="24"/>
        </w:rPr>
        <w:t>16</w:t>
      </w:r>
    </w:p>
    <w:p w:rsidR="00693C4F" w:rsidRDefault="00693C4F" w:rsidP="00693C4F">
      <w:pPr>
        <w:pStyle w:val="ListParagraph"/>
        <w:numPr>
          <w:ilvl w:val="0"/>
          <w:numId w:val="33"/>
        </w:numPr>
        <w:rPr>
          <w:rFonts w:ascii="Arial" w:hAnsi="Arial" w:cs="Arial"/>
          <w:sz w:val="24"/>
          <w:szCs w:val="24"/>
        </w:rPr>
      </w:pPr>
      <w:r w:rsidRPr="00693C4F">
        <w:rPr>
          <w:rFonts w:ascii="Arial" w:hAnsi="Arial" w:cs="Arial"/>
          <w:sz w:val="24"/>
          <w:szCs w:val="24"/>
        </w:rPr>
        <w:t xml:space="preserve">On the continuity schedule of the 2017 IRM model, Wasaga Distribution reported $1,879 in account 1550 OEB-approved </w:t>
      </w:r>
      <w:r>
        <w:rPr>
          <w:rFonts w:ascii="Arial" w:hAnsi="Arial" w:cs="Arial"/>
          <w:sz w:val="24"/>
          <w:szCs w:val="24"/>
        </w:rPr>
        <w:t xml:space="preserve">interest </w:t>
      </w:r>
      <w:r w:rsidRPr="00693C4F">
        <w:rPr>
          <w:rFonts w:ascii="Arial" w:hAnsi="Arial" w:cs="Arial"/>
          <w:sz w:val="24"/>
          <w:szCs w:val="24"/>
        </w:rPr>
        <w:t>disposition in 2016.</w:t>
      </w:r>
      <w:r>
        <w:rPr>
          <w:rFonts w:ascii="Arial" w:hAnsi="Arial" w:cs="Arial"/>
          <w:sz w:val="24"/>
          <w:szCs w:val="24"/>
        </w:rPr>
        <w:t xml:space="preserve"> This amount does not match the total interest of $2,295 to be disposed in account 1550 in Wasaga Distribution’s 2016 </w:t>
      </w:r>
      <w:proofErr w:type="spellStart"/>
      <w:r>
        <w:rPr>
          <w:rFonts w:ascii="Arial" w:hAnsi="Arial" w:cs="Arial"/>
          <w:sz w:val="24"/>
          <w:szCs w:val="24"/>
        </w:rPr>
        <w:t>CoS</w:t>
      </w:r>
      <w:proofErr w:type="spellEnd"/>
      <w:r>
        <w:rPr>
          <w:rFonts w:ascii="Arial" w:hAnsi="Arial" w:cs="Arial"/>
          <w:sz w:val="24"/>
          <w:szCs w:val="24"/>
        </w:rPr>
        <w:t xml:space="preserve"> EDDVA model. Please confirm the correct interest disposition amount for this account. OEB staff will update the model accordingly. </w:t>
      </w:r>
    </w:p>
    <w:p w:rsidR="006C09F8" w:rsidRDefault="006C09F8" w:rsidP="006C09F8">
      <w:pPr>
        <w:pStyle w:val="ListParagraph"/>
        <w:rPr>
          <w:rFonts w:ascii="Arial" w:hAnsi="Arial" w:cs="Arial"/>
          <w:color w:val="1F497D" w:themeColor="text2"/>
          <w:sz w:val="24"/>
          <w:szCs w:val="24"/>
        </w:rPr>
      </w:pPr>
    </w:p>
    <w:p w:rsidR="006C09F8" w:rsidRDefault="006C09F8" w:rsidP="006C09F8">
      <w:pPr>
        <w:pStyle w:val="ListParagraph"/>
        <w:rPr>
          <w:rFonts w:ascii="Arial" w:hAnsi="Arial" w:cs="Arial"/>
          <w:color w:val="1F497D" w:themeColor="text2"/>
          <w:sz w:val="24"/>
          <w:szCs w:val="24"/>
        </w:rPr>
      </w:pPr>
      <w:r>
        <w:rPr>
          <w:rFonts w:ascii="Arial" w:hAnsi="Arial" w:cs="Arial"/>
          <w:color w:val="1F497D" w:themeColor="text2"/>
          <w:sz w:val="24"/>
          <w:szCs w:val="24"/>
        </w:rPr>
        <w:t>WDI Response – Agreed</w:t>
      </w:r>
    </w:p>
    <w:p w:rsidR="006C09F8" w:rsidRPr="006C09F8" w:rsidRDefault="006C09F8" w:rsidP="006C09F8">
      <w:pPr>
        <w:pStyle w:val="ListParagraph"/>
        <w:rPr>
          <w:rFonts w:ascii="Arial" w:hAnsi="Arial" w:cs="Arial"/>
          <w:color w:val="1F497D" w:themeColor="text2"/>
          <w:sz w:val="24"/>
          <w:szCs w:val="24"/>
        </w:rPr>
      </w:pPr>
    </w:p>
    <w:p w:rsidR="00831B80" w:rsidRDefault="00831B80" w:rsidP="00693C4F">
      <w:pPr>
        <w:pStyle w:val="ListParagraph"/>
        <w:numPr>
          <w:ilvl w:val="0"/>
          <w:numId w:val="33"/>
        </w:numPr>
        <w:rPr>
          <w:rFonts w:ascii="Arial" w:hAnsi="Arial" w:cs="Arial"/>
          <w:sz w:val="24"/>
          <w:szCs w:val="24"/>
        </w:rPr>
      </w:pPr>
      <w:r>
        <w:rPr>
          <w:rFonts w:ascii="Arial" w:hAnsi="Arial" w:cs="Arial"/>
          <w:sz w:val="24"/>
          <w:szCs w:val="24"/>
        </w:rPr>
        <w:t xml:space="preserve">It’s also noted that, as per the EDDVAR model in Wasaga Distribution’s 2016 </w:t>
      </w:r>
      <w:proofErr w:type="spellStart"/>
      <w:r>
        <w:rPr>
          <w:rFonts w:ascii="Arial" w:hAnsi="Arial" w:cs="Arial"/>
          <w:sz w:val="24"/>
          <w:szCs w:val="24"/>
        </w:rPr>
        <w:t>CoS</w:t>
      </w:r>
      <w:proofErr w:type="spellEnd"/>
      <w:r>
        <w:rPr>
          <w:rFonts w:ascii="Arial" w:hAnsi="Arial" w:cs="Arial"/>
          <w:sz w:val="24"/>
          <w:szCs w:val="24"/>
        </w:rPr>
        <w:t xml:space="preserve"> application, there were disposition balances in accounts 1595(2011), 1595(2012) and 1595(2014) included in the total 2016 group 1 disposition. These balances are not reported on the continuity schedule of the 2017 IRM model. Please provide explanation for the discrepancies. OR please provide the correct account balances that should be reported on the continuity schedule and OEB staff will update the model accordingly. </w:t>
      </w:r>
    </w:p>
    <w:p w:rsidR="006C09F8" w:rsidRDefault="006C09F8" w:rsidP="006C09F8">
      <w:pPr>
        <w:pStyle w:val="ListParagraph"/>
        <w:rPr>
          <w:rFonts w:ascii="Arial" w:hAnsi="Arial" w:cs="Arial"/>
          <w:color w:val="1F497D" w:themeColor="text2"/>
          <w:sz w:val="24"/>
          <w:szCs w:val="24"/>
        </w:rPr>
      </w:pPr>
    </w:p>
    <w:p w:rsidR="006C09F8" w:rsidRPr="006C09F8" w:rsidRDefault="006C09F8" w:rsidP="006C09F8">
      <w:pPr>
        <w:pStyle w:val="ListParagraph"/>
        <w:rPr>
          <w:rFonts w:ascii="Arial" w:hAnsi="Arial" w:cs="Arial"/>
          <w:color w:val="1F497D" w:themeColor="text2"/>
          <w:sz w:val="24"/>
          <w:szCs w:val="24"/>
        </w:rPr>
      </w:pPr>
      <w:r w:rsidRPr="006C09F8">
        <w:rPr>
          <w:rFonts w:ascii="Arial" w:hAnsi="Arial" w:cs="Arial"/>
          <w:color w:val="1F497D" w:themeColor="text2"/>
          <w:sz w:val="24"/>
          <w:szCs w:val="24"/>
        </w:rPr>
        <w:t xml:space="preserve">WDI Response </w:t>
      </w:r>
      <w:r>
        <w:rPr>
          <w:rFonts w:ascii="Arial" w:hAnsi="Arial" w:cs="Arial"/>
          <w:color w:val="1F497D" w:themeColor="text2"/>
          <w:sz w:val="24"/>
          <w:szCs w:val="24"/>
        </w:rPr>
        <w:t>–</w:t>
      </w:r>
      <w:r w:rsidRPr="006C09F8">
        <w:rPr>
          <w:rFonts w:ascii="Arial" w:hAnsi="Arial" w:cs="Arial"/>
          <w:color w:val="1F497D" w:themeColor="text2"/>
          <w:sz w:val="24"/>
          <w:szCs w:val="24"/>
        </w:rPr>
        <w:t xml:space="preserve"> </w:t>
      </w:r>
      <w:r>
        <w:rPr>
          <w:rFonts w:ascii="Arial" w:hAnsi="Arial" w:cs="Arial"/>
          <w:color w:val="1F497D" w:themeColor="text2"/>
          <w:sz w:val="24"/>
          <w:szCs w:val="24"/>
        </w:rPr>
        <w:t xml:space="preserve">There were balances in accounts 1595(2011), 1595(2012) and 1595(2014), however, as seen on Tab 5 of the EDDVAR </w:t>
      </w:r>
      <w:r w:rsidR="00A00B3F">
        <w:rPr>
          <w:rFonts w:ascii="Arial" w:hAnsi="Arial" w:cs="Arial"/>
          <w:color w:val="1F497D" w:themeColor="text2"/>
          <w:sz w:val="24"/>
          <w:szCs w:val="24"/>
        </w:rPr>
        <w:t xml:space="preserve">Cost of Service </w:t>
      </w:r>
      <w:r>
        <w:rPr>
          <w:rFonts w:ascii="Arial" w:hAnsi="Arial" w:cs="Arial"/>
          <w:color w:val="1F497D" w:themeColor="text2"/>
          <w:sz w:val="24"/>
          <w:szCs w:val="24"/>
        </w:rPr>
        <w:t xml:space="preserve">Settlement Document, none of these balances were included for request to be disposed of as the Allocator was set to zero. </w:t>
      </w:r>
    </w:p>
    <w:p w:rsidR="002B321A" w:rsidRDefault="002B321A" w:rsidP="002B321A">
      <w:pPr>
        <w:rPr>
          <w:rFonts w:ascii="Arial" w:hAnsi="Arial" w:cs="Arial"/>
          <w:sz w:val="24"/>
          <w:szCs w:val="24"/>
        </w:rPr>
      </w:pPr>
    </w:p>
    <w:p w:rsidR="00693C4F" w:rsidRPr="00693C4F" w:rsidRDefault="00693C4F" w:rsidP="002B321A">
      <w:pPr>
        <w:rPr>
          <w:rFonts w:ascii="Arial" w:hAnsi="Arial" w:cs="Arial"/>
          <w:i/>
          <w:sz w:val="20"/>
          <w:szCs w:val="24"/>
        </w:rPr>
      </w:pPr>
      <w:r w:rsidRPr="00693C4F">
        <w:rPr>
          <w:rFonts w:ascii="Arial" w:hAnsi="Arial" w:cs="Arial"/>
          <w:i/>
          <w:sz w:val="20"/>
          <w:szCs w:val="24"/>
        </w:rPr>
        <w:t>2017 IRM model –</w:t>
      </w:r>
      <w:r>
        <w:rPr>
          <w:rFonts w:ascii="Arial" w:hAnsi="Arial" w:cs="Arial"/>
          <w:i/>
          <w:sz w:val="20"/>
          <w:szCs w:val="24"/>
        </w:rPr>
        <w:t xml:space="preserve"> continuity schedule</w:t>
      </w:r>
    </w:p>
    <w:p w:rsidR="002B321A" w:rsidRDefault="00693C4F" w:rsidP="002B321A">
      <w:pPr>
        <w:rPr>
          <w:rFonts w:ascii="Arial" w:hAnsi="Arial" w:cs="Arial"/>
          <w:sz w:val="24"/>
          <w:szCs w:val="24"/>
        </w:rPr>
      </w:pPr>
      <w:r>
        <w:rPr>
          <w:noProof/>
          <w:lang w:eastAsia="en-CA"/>
        </w:rPr>
        <w:lastRenderedPageBreak/>
        <w:drawing>
          <wp:inline distT="0" distB="0" distL="0" distR="0" wp14:anchorId="2CD5D9D7" wp14:editId="245E442E">
            <wp:extent cx="5943600" cy="27870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787015"/>
                    </a:xfrm>
                    <a:prstGeom prst="rect">
                      <a:avLst/>
                    </a:prstGeom>
                  </pic:spPr>
                </pic:pic>
              </a:graphicData>
            </a:graphic>
          </wp:inline>
        </w:drawing>
      </w:r>
    </w:p>
    <w:p w:rsidR="002B321A" w:rsidRDefault="002B321A" w:rsidP="0032442F">
      <w:pPr>
        <w:rPr>
          <w:rFonts w:ascii="Arial" w:hAnsi="Arial" w:cs="Arial"/>
          <w:b/>
          <w:sz w:val="24"/>
          <w:szCs w:val="24"/>
        </w:rPr>
      </w:pPr>
    </w:p>
    <w:p w:rsidR="00693C4F" w:rsidRDefault="00693C4F" w:rsidP="0032442F">
      <w:pPr>
        <w:rPr>
          <w:rFonts w:ascii="Arial" w:hAnsi="Arial" w:cs="Arial"/>
          <w:b/>
          <w:sz w:val="24"/>
          <w:szCs w:val="24"/>
        </w:rPr>
      </w:pPr>
    </w:p>
    <w:p w:rsidR="00693C4F" w:rsidRPr="00626512" w:rsidRDefault="00693C4F" w:rsidP="0032442F">
      <w:pPr>
        <w:rPr>
          <w:rFonts w:ascii="Arial" w:hAnsi="Arial" w:cs="Arial"/>
          <w:i/>
          <w:sz w:val="20"/>
          <w:szCs w:val="24"/>
        </w:rPr>
      </w:pPr>
      <w:r w:rsidRPr="00626512">
        <w:rPr>
          <w:rFonts w:ascii="Arial" w:hAnsi="Arial" w:cs="Arial"/>
          <w:i/>
          <w:sz w:val="20"/>
          <w:szCs w:val="24"/>
        </w:rPr>
        <w:t xml:space="preserve">2016 </w:t>
      </w:r>
      <w:proofErr w:type="spellStart"/>
      <w:r w:rsidRPr="00626512">
        <w:rPr>
          <w:rFonts w:ascii="Arial" w:hAnsi="Arial" w:cs="Arial"/>
          <w:i/>
          <w:sz w:val="20"/>
          <w:szCs w:val="24"/>
        </w:rPr>
        <w:t>CoS</w:t>
      </w:r>
      <w:proofErr w:type="spellEnd"/>
      <w:r w:rsidRPr="00626512">
        <w:rPr>
          <w:rFonts w:ascii="Arial" w:hAnsi="Arial" w:cs="Arial"/>
          <w:i/>
          <w:sz w:val="20"/>
          <w:szCs w:val="24"/>
        </w:rPr>
        <w:t xml:space="preserve"> EDDVAR model – continuity schedule</w:t>
      </w:r>
    </w:p>
    <w:p w:rsidR="00693C4F" w:rsidRDefault="00693C4F" w:rsidP="0032442F">
      <w:pPr>
        <w:rPr>
          <w:rFonts w:ascii="Arial" w:hAnsi="Arial" w:cs="Arial"/>
          <w:b/>
          <w:sz w:val="24"/>
          <w:szCs w:val="24"/>
        </w:rPr>
      </w:pPr>
      <w:r>
        <w:rPr>
          <w:noProof/>
          <w:lang w:eastAsia="en-CA"/>
        </w:rPr>
        <w:drawing>
          <wp:inline distT="0" distB="0" distL="0" distR="0" wp14:anchorId="48EE7DFD" wp14:editId="20D013FF">
            <wp:extent cx="5943600" cy="3086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086100"/>
                    </a:xfrm>
                    <a:prstGeom prst="rect">
                      <a:avLst/>
                    </a:prstGeom>
                  </pic:spPr>
                </pic:pic>
              </a:graphicData>
            </a:graphic>
          </wp:inline>
        </w:drawing>
      </w:r>
    </w:p>
    <w:p w:rsidR="000D3025" w:rsidRDefault="000D3025" w:rsidP="0032442F">
      <w:pPr>
        <w:rPr>
          <w:rFonts w:ascii="Arial" w:hAnsi="Arial" w:cs="Arial"/>
          <w:b/>
          <w:sz w:val="24"/>
          <w:szCs w:val="24"/>
        </w:rPr>
      </w:pPr>
    </w:p>
    <w:p w:rsidR="006C09F8" w:rsidRDefault="006C09F8" w:rsidP="0032442F">
      <w:pPr>
        <w:rPr>
          <w:rFonts w:ascii="Arial" w:hAnsi="Arial" w:cs="Arial"/>
          <w:b/>
          <w:sz w:val="24"/>
          <w:szCs w:val="24"/>
        </w:rPr>
      </w:pPr>
    </w:p>
    <w:p w:rsidR="006C09F8" w:rsidRDefault="006C09F8" w:rsidP="0032442F">
      <w:pPr>
        <w:rPr>
          <w:rFonts w:ascii="Arial" w:hAnsi="Arial" w:cs="Arial"/>
          <w:b/>
          <w:sz w:val="24"/>
          <w:szCs w:val="24"/>
        </w:rPr>
      </w:pPr>
    </w:p>
    <w:p w:rsidR="006C09F8" w:rsidRDefault="006C09F8" w:rsidP="0032442F">
      <w:pPr>
        <w:rPr>
          <w:rFonts w:ascii="Arial" w:hAnsi="Arial" w:cs="Arial"/>
          <w:b/>
          <w:sz w:val="24"/>
          <w:szCs w:val="24"/>
        </w:rPr>
      </w:pPr>
    </w:p>
    <w:p w:rsidR="006C09F8" w:rsidRDefault="006C09F8" w:rsidP="0032442F">
      <w:pPr>
        <w:rPr>
          <w:rFonts w:ascii="Arial" w:hAnsi="Arial" w:cs="Arial"/>
          <w:b/>
          <w:sz w:val="24"/>
          <w:szCs w:val="24"/>
        </w:rPr>
      </w:pPr>
    </w:p>
    <w:p w:rsidR="00464D00" w:rsidRPr="002B321A" w:rsidRDefault="002F18DE" w:rsidP="0032442F">
      <w:pPr>
        <w:rPr>
          <w:rFonts w:ascii="Arial" w:hAnsi="Arial" w:cs="Arial"/>
          <w:b/>
          <w:sz w:val="24"/>
          <w:szCs w:val="24"/>
        </w:rPr>
      </w:pPr>
      <w:r w:rsidRPr="002B321A">
        <w:rPr>
          <w:rFonts w:ascii="Arial" w:hAnsi="Arial" w:cs="Arial"/>
          <w:b/>
          <w:sz w:val="24"/>
          <w:szCs w:val="24"/>
        </w:rPr>
        <w:lastRenderedPageBreak/>
        <w:t>Question</w:t>
      </w:r>
      <w:r w:rsidR="00DD2002">
        <w:rPr>
          <w:rFonts w:ascii="Arial" w:hAnsi="Arial" w:cs="Arial"/>
          <w:b/>
          <w:sz w:val="24"/>
          <w:szCs w:val="24"/>
        </w:rPr>
        <w:t xml:space="preserve"> #2</w:t>
      </w:r>
      <w:r w:rsidR="00464D00" w:rsidRPr="002B321A">
        <w:rPr>
          <w:rFonts w:ascii="Arial" w:hAnsi="Arial" w:cs="Arial"/>
          <w:b/>
          <w:sz w:val="24"/>
          <w:szCs w:val="24"/>
        </w:rPr>
        <w:t xml:space="preserve"> </w:t>
      </w:r>
    </w:p>
    <w:p w:rsidR="006A1768" w:rsidRDefault="006125B7" w:rsidP="00601C3B">
      <w:pPr>
        <w:rPr>
          <w:rFonts w:ascii="Arial" w:hAnsi="Arial" w:cs="Arial"/>
          <w:b/>
          <w:sz w:val="24"/>
          <w:szCs w:val="24"/>
        </w:rPr>
      </w:pPr>
      <w:r>
        <w:rPr>
          <w:rFonts w:ascii="Arial" w:hAnsi="Arial" w:cs="Arial"/>
          <w:b/>
          <w:sz w:val="24"/>
          <w:szCs w:val="24"/>
        </w:rPr>
        <w:t xml:space="preserve">Ref: </w:t>
      </w:r>
      <w:r w:rsidR="006A1768">
        <w:rPr>
          <w:rFonts w:ascii="Arial" w:hAnsi="Arial" w:cs="Arial"/>
          <w:b/>
          <w:sz w:val="24"/>
          <w:szCs w:val="24"/>
        </w:rPr>
        <w:t xml:space="preserve">IRM Model – tab 3 Continuity Schedule: </w:t>
      </w:r>
      <w:r w:rsidR="00626512">
        <w:rPr>
          <w:rFonts w:ascii="Arial" w:hAnsi="Arial" w:cs="Arial"/>
          <w:b/>
          <w:sz w:val="24"/>
          <w:szCs w:val="24"/>
        </w:rPr>
        <w:t>RRR 2.1.7 – account 1580 Sub-account CBR Class B</w:t>
      </w:r>
    </w:p>
    <w:p w:rsidR="007A73CE" w:rsidRDefault="00626512" w:rsidP="00601C3B">
      <w:pPr>
        <w:rPr>
          <w:rFonts w:ascii="Arial" w:hAnsi="Arial" w:cs="Arial"/>
          <w:sz w:val="24"/>
          <w:szCs w:val="24"/>
        </w:rPr>
      </w:pPr>
      <w:r>
        <w:rPr>
          <w:rFonts w:ascii="Arial" w:hAnsi="Arial" w:cs="Arial"/>
          <w:sz w:val="24"/>
          <w:szCs w:val="24"/>
        </w:rPr>
        <w:t xml:space="preserve">It’s noted that Wasaga Distribution filed a zero balance in RRR 2.1.7 in account 1580 CBR Class B. OEB staff understand that the balance filed </w:t>
      </w:r>
      <w:r w:rsidR="007A73CE">
        <w:rPr>
          <w:rFonts w:ascii="Arial" w:hAnsi="Arial" w:cs="Arial"/>
          <w:sz w:val="24"/>
          <w:szCs w:val="24"/>
        </w:rPr>
        <w:t xml:space="preserve">in RRR 2.1.7 </w:t>
      </w:r>
      <w:r>
        <w:rPr>
          <w:rFonts w:ascii="Arial" w:hAnsi="Arial" w:cs="Arial"/>
          <w:sz w:val="24"/>
          <w:szCs w:val="24"/>
        </w:rPr>
        <w:t xml:space="preserve">under control account 1580 </w:t>
      </w:r>
      <w:r w:rsidR="007A73CE">
        <w:rPr>
          <w:rFonts w:ascii="Arial" w:hAnsi="Arial" w:cs="Arial"/>
          <w:sz w:val="24"/>
          <w:szCs w:val="24"/>
        </w:rPr>
        <w:t xml:space="preserve">includes the amount in sub-account CBR Class B. However, the 2015 year-end balance in sub-account CBR Class B should still be filed in this sub-account in RRR. (The variance in cell BT23 on the continuity schedule is expected due to the difference in filing requirements between RRR and continuity schedule.) </w:t>
      </w:r>
    </w:p>
    <w:p w:rsidR="00626512" w:rsidRDefault="007A73CE" w:rsidP="007A73CE">
      <w:pPr>
        <w:pStyle w:val="ListParagraph"/>
        <w:numPr>
          <w:ilvl w:val="0"/>
          <w:numId w:val="34"/>
        </w:numPr>
        <w:rPr>
          <w:rFonts w:ascii="Arial" w:hAnsi="Arial" w:cs="Arial"/>
          <w:sz w:val="24"/>
          <w:szCs w:val="24"/>
        </w:rPr>
      </w:pPr>
      <w:r w:rsidRPr="007A73CE">
        <w:rPr>
          <w:rFonts w:ascii="Arial" w:hAnsi="Arial" w:cs="Arial"/>
          <w:sz w:val="24"/>
          <w:szCs w:val="24"/>
        </w:rPr>
        <w:t>Please revise the RRR filing accordingly and notify OEB staff when the revision is processed. (No action is required on the IRM model.)</w:t>
      </w:r>
    </w:p>
    <w:p w:rsidR="006C09F8" w:rsidRPr="006C09F8" w:rsidRDefault="006C09F8" w:rsidP="006C09F8">
      <w:pPr>
        <w:pStyle w:val="ListParagraph"/>
        <w:rPr>
          <w:rFonts w:ascii="Arial" w:hAnsi="Arial" w:cs="Arial"/>
          <w:color w:val="1F497D" w:themeColor="text2"/>
          <w:sz w:val="24"/>
          <w:szCs w:val="24"/>
        </w:rPr>
      </w:pPr>
    </w:p>
    <w:p w:rsidR="006C09F8" w:rsidRPr="006C09F8" w:rsidRDefault="006C09F8" w:rsidP="006C09F8">
      <w:pPr>
        <w:pStyle w:val="ListParagraph"/>
        <w:rPr>
          <w:rFonts w:ascii="Arial" w:hAnsi="Arial" w:cs="Arial"/>
          <w:color w:val="1F497D" w:themeColor="text2"/>
          <w:sz w:val="24"/>
          <w:szCs w:val="24"/>
        </w:rPr>
      </w:pPr>
      <w:r w:rsidRPr="006C09F8">
        <w:rPr>
          <w:rFonts w:ascii="Arial" w:hAnsi="Arial" w:cs="Arial"/>
          <w:color w:val="1F497D" w:themeColor="text2"/>
          <w:sz w:val="24"/>
          <w:szCs w:val="24"/>
        </w:rPr>
        <w:t>WDI Response – The RRR revision request has been made and the changes have been made by WDI in the RRR 2.1.7 balances for Account 1580 CBR Class B.</w:t>
      </w:r>
    </w:p>
    <w:p w:rsidR="00626512" w:rsidRDefault="00626512" w:rsidP="00601C3B">
      <w:pPr>
        <w:rPr>
          <w:rFonts w:ascii="Arial" w:hAnsi="Arial" w:cs="Arial"/>
          <w:sz w:val="24"/>
          <w:szCs w:val="24"/>
        </w:rPr>
      </w:pPr>
      <w:r>
        <w:rPr>
          <w:noProof/>
          <w:lang w:eastAsia="en-CA"/>
        </w:rPr>
        <w:drawing>
          <wp:inline distT="0" distB="0" distL="0" distR="0" wp14:anchorId="65DD612A" wp14:editId="78E578CC">
            <wp:extent cx="5400000" cy="31333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00000" cy="3133334"/>
                    </a:xfrm>
                    <a:prstGeom prst="rect">
                      <a:avLst/>
                    </a:prstGeom>
                  </pic:spPr>
                </pic:pic>
              </a:graphicData>
            </a:graphic>
          </wp:inline>
        </w:drawing>
      </w:r>
    </w:p>
    <w:p w:rsidR="009E5CA3" w:rsidRDefault="009E5CA3" w:rsidP="00601C3B">
      <w:pPr>
        <w:rPr>
          <w:rFonts w:ascii="Arial" w:hAnsi="Arial" w:cs="Arial"/>
          <w:sz w:val="24"/>
          <w:szCs w:val="24"/>
        </w:rPr>
      </w:pPr>
    </w:p>
    <w:p w:rsidR="006C09F8" w:rsidRDefault="006C09F8" w:rsidP="009E1626">
      <w:pPr>
        <w:rPr>
          <w:rFonts w:ascii="Arial" w:hAnsi="Arial" w:cs="Arial"/>
          <w:b/>
          <w:sz w:val="24"/>
          <w:szCs w:val="24"/>
        </w:rPr>
      </w:pPr>
    </w:p>
    <w:p w:rsidR="006C09F8" w:rsidRDefault="006C09F8" w:rsidP="009E1626">
      <w:pPr>
        <w:rPr>
          <w:rFonts w:ascii="Arial" w:hAnsi="Arial" w:cs="Arial"/>
          <w:b/>
          <w:sz w:val="24"/>
          <w:szCs w:val="24"/>
        </w:rPr>
      </w:pPr>
    </w:p>
    <w:p w:rsidR="006C09F8" w:rsidRDefault="006C09F8" w:rsidP="009E1626">
      <w:pPr>
        <w:rPr>
          <w:rFonts w:ascii="Arial" w:hAnsi="Arial" w:cs="Arial"/>
          <w:b/>
          <w:sz w:val="24"/>
          <w:szCs w:val="24"/>
        </w:rPr>
      </w:pPr>
    </w:p>
    <w:p w:rsidR="006C09F8" w:rsidRDefault="006C09F8" w:rsidP="009E1626">
      <w:pPr>
        <w:rPr>
          <w:rFonts w:ascii="Arial" w:hAnsi="Arial" w:cs="Arial"/>
          <w:b/>
          <w:sz w:val="24"/>
          <w:szCs w:val="24"/>
        </w:rPr>
      </w:pPr>
    </w:p>
    <w:p w:rsidR="006C09F8" w:rsidRDefault="006C09F8" w:rsidP="009E1626">
      <w:pPr>
        <w:rPr>
          <w:rFonts w:ascii="Arial" w:hAnsi="Arial" w:cs="Arial"/>
          <w:b/>
          <w:sz w:val="24"/>
          <w:szCs w:val="24"/>
        </w:rPr>
      </w:pPr>
    </w:p>
    <w:p w:rsidR="009E1626" w:rsidRPr="002B321A" w:rsidRDefault="002F18DE" w:rsidP="009E1626">
      <w:pPr>
        <w:rPr>
          <w:rFonts w:ascii="Arial" w:hAnsi="Arial" w:cs="Arial"/>
          <w:b/>
          <w:sz w:val="24"/>
          <w:szCs w:val="24"/>
        </w:rPr>
      </w:pPr>
      <w:r w:rsidRPr="002B321A">
        <w:rPr>
          <w:rFonts w:ascii="Arial" w:hAnsi="Arial" w:cs="Arial"/>
          <w:b/>
          <w:sz w:val="24"/>
          <w:szCs w:val="24"/>
        </w:rPr>
        <w:lastRenderedPageBreak/>
        <w:t xml:space="preserve">Question </w:t>
      </w:r>
      <w:r w:rsidR="0037187A">
        <w:rPr>
          <w:rFonts w:ascii="Arial" w:hAnsi="Arial" w:cs="Arial"/>
          <w:b/>
          <w:sz w:val="24"/>
          <w:szCs w:val="24"/>
        </w:rPr>
        <w:t>#3</w:t>
      </w:r>
    </w:p>
    <w:p w:rsidR="00EB047D" w:rsidRDefault="00F77AE7" w:rsidP="009E1626">
      <w:pPr>
        <w:rPr>
          <w:rFonts w:ascii="Arial" w:hAnsi="Arial" w:cs="Arial"/>
          <w:b/>
          <w:sz w:val="24"/>
          <w:szCs w:val="24"/>
        </w:rPr>
      </w:pPr>
      <w:r>
        <w:rPr>
          <w:rFonts w:ascii="Arial" w:hAnsi="Arial" w:cs="Arial"/>
          <w:b/>
          <w:sz w:val="24"/>
          <w:szCs w:val="24"/>
        </w:rPr>
        <w:t xml:space="preserve">Ref: </w:t>
      </w:r>
      <w:r w:rsidR="00FD37AC">
        <w:rPr>
          <w:rFonts w:ascii="Arial" w:hAnsi="Arial" w:cs="Arial"/>
          <w:b/>
          <w:sz w:val="24"/>
          <w:szCs w:val="24"/>
        </w:rPr>
        <w:t>IRM Model – tab 3 Continuity Schedule:</w:t>
      </w:r>
      <w:r w:rsidR="00EB047D">
        <w:rPr>
          <w:rFonts w:ascii="Arial" w:hAnsi="Arial" w:cs="Arial"/>
          <w:b/>
          <w:sz w:val="24"/>
          <w:szCs w:val="24"/>
        </w:rPr>
        <w:t xml:space="preserve"> </w:t>
      </w:r>
      <w:r w:rsidR="00270C4C">
        <w:rPr>
          <w:rFonts w:ascii="Arial" w:hAnsi="Arial" w:cs="Arial"/>
          <w:b/>
          <w:sz w:val="24"/>
          <w:szCs w:val="24"/>
        </w:rPr>
        <w:t>variances in account 1595 (2010), 1595 (2011) and 1595 (2012)</w:t>
      </w:r>
    </w:p>
    <w:p w:rsidR="00FD37AC" w:rsidRDefault="008A1D4D" w:rsidP="009E1626">
      <w:pPr>
        <w:rPr>
          <w:rFonts w:ascii="Arial" w:hAnsi="Arial" w:cs="Arial"/>
          <w:sz w:val="24"/>
          <w:szCs w:val="24"/>
        </w:rPr>
      </w:pPr>
      <w:r>
        <w:rPr>
          <w:rFonts w:ascii="Arial" w:hAnsi="Arial" w:cs="Arial"/>
          <w:sz w:val="24"/>
          <w:szCs w:val="24"/>
        </w:rPr>
        <w:t>As shown in the screenshot below, there’re variance amounts between RRR and 2015 year-end balances on the continuity schedule in account 1595 (2010), 1595 (2011) and 1595 (2012). Please review and provide explanations for these variances.</w:t>
      </w:r>
    </w:p>
    <w:p w:rsidR="00601C3B" w:rsidRDefault="00FD37AC" w:rsidP="0001354E">
      <w:pPr>
        <w:rPr>
          <w:rFonts w:ascii="Arial" w:hAnsi="Arial" w:cs="Arial"/>
          <w:sz w:val="24"/>
          <w:szCs w:val="24"/>
        </w:rPr>
      </w:pPr>
      <w:r>
        <w:rPr>
          <w:noProof/>
          <w:lang w:eastAsia="en-CA"/>
        </w:rPr>
        <w:drawing>
          <wp:inline distT="0" distB="0" distL="0" distR="0" wp14:anchorId="1FBBE76D" wp14:editId="06A9F101">
            <wp:extent cx="5172075" cy="435111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71429" cy="4350567"/>
                    </a:xfrm>
                    <a:prstGeom prst="rect">
                      <a:avLst/>
                    </a:prstGeom>
                  </pic:spPr>
                </pic:pic>
              </a:graphicData>
            </a:graphic>
          </wp:inline>
        </w:drawing>
      </w:r>
    </w:p>
    <w:p w:rsidR="004016BA" w:rsidRDefault="004016BA" w:rsidP="0001354E">
      <w:pPr>
        <w:rPr>
          <w:rFonts w:ascii="Arial" w:hAnsi="Arial" w:cs="Arial"/>
          <w:sz w:val="24"/>
          <w:szCs w:val="24"/>
        </w:rPr>
      </w:pPr>
    </w:p>
    <w:p w:rsidR="006C09F8" w:rsidRPr="00235656" w:rsidRDefault="00235656" w:rsidP="0001354E">
      <w:pPr>
        <w:rPr>
          <w:rFonts w:ascii="Arial" w:hAnsi="Arial" w:cs="Arial"/>
          <w:color w:val="1F497D" w:themeColor="text2"/>
          <w:sz w:val="24"/>
          <w:szCs w:val="24"/>
        </w:rPr>
      </w:pPr>
      <w:r>
        <w:rPr>
          <w:rFonts w:ascii="Arial" w:hAnsi="Arial" w:cs="Arial"/>
          <w:color w:val="1F497D" w:themeColor="text2"/>
          <w:sz w:val="24"/>
          <w:szCs w:val="24"/>
        </w:rPr>
        <w:t>WDI Response</w:t>
      </w:r>
      <w:r w:rsidR="006C09F8" w:rsidRPr="00235656">
        <w:rPr>
          <w:rFonts w:ascii="Arial" w:hAnsi="Arial" w:cs="Arial"/>
          <w:color w:val="1F497D" w:themeColor="text2"/>
          <w:sz w:val="24"/>
          <w:szCs w:val="24"/>
        </w:rPr>
        <w:t xml:space="preserve"> - The balances for these accounts were inadvertently entered on the wrong lines </w:t>
      </w:r>
      <w:r w:rsidRPr="00235656">
        <w:rPr>
          <w:rFonts w:ascii="Arial" w:hAnsi="Arial" w:cs="Arial"/>
          <w:color w:val="1F497D" w:themeColor="text2"/>
          <w:sz w:val="24"/>
          <w:szCs w:val="24"/>
        </w:rPr>
        <w:t>on Tab 3. WDI has received the IRM model back from the OEB and made the appropriate changes on Lines 30, 31 and 32 which now agrees with the RRR 2015 year end balances. The amount now asked for disposition is the Account 1595 (2011) balance.</w:t>
      </w:r>
      <w:r>
        <w:rPr>
          <w:rFonts w:ascii="Arial" w:hAnsi="Arial" w:cs="Arial"/>
          <w:color w:val="1F497D" w:themeColor="text2"/>
          <w:sz w:val="24"/>
          <w:szCs w:val="24"/>
        </w:rPr>
        <w:t xml:space="preserve"> WDI is also resubmitting this revised model through the RESS portal.</w:t>
      </w:r>
    </w:p>
    <w:p w:rsidR="006C09F8" w:rsidRDefault="006C09F8" w:rsidP="0001354E">
      <w:pPr>
        <w:rPr>
          <w:rFonts w:ascii="Arial" w:hAnsi="Arial" w:cs="Arial"/>
          <w:sz w:val="24"/>
          <w:szCs w:val="24"/>
        </w:rPr>
      </w:pPr>
    </w:p>
    <w:p w:rsidR="006C09F8" w:rsidRDefault="006C09F8" w:rsidP="0001354E">
      <w:pPr>
        <w:rPr>
          <w:rFonts w:ascii="Arial" w:hAnsi="Arial" w:cs="Arial"/>
          <w:sz w:val="24"/>
          <w:szCs w:val="24"/>
        </w:rPr>
      </w:pPr>
    </w:p>
    <w:p w:rsidR="006C09F8" w:rsidRDefault="006C09F8" w:rsidP="0001354E">
      <w:pPr>
        <w:rPr>
          <w:rFonts w:ascii="Arial" w:hAnsi="Arial" w:cs="Arial"/>
          <w:sz w:val="24"/>
          <w:szCs w:val="24"/>
        </w:rPr>
      </w:pPr>
    </w:p>
    <w:p w:rsidR="00B314F3" w:rsidRPr="0055352F" w:rsidRDefault="002F18DE" w:rsidP="0001354E">
      <w:pPr>
        <w:rPr>
          <w:rFonts w:ascii="Arial" w:hAnsi="Arial" w:cs="Arial"/>
          <w:b/>
          <w:sz w:val="24"/>
          <w:szCs w:val="24"/>
        </w:rPr>
      </w:pPr>
      <w:r w:rsidRPr="0055352F">
        <w:rPr>
          <w:rFonts w:ascii="Arial" w:hAnsi="Arial" w:cs="Arial"/>
          <w:b/>
          <w:sz w:val="24"/>
          <w:szCs w:val="24"/>
        </w:rPr>
        <w:lastRenderedPageBreak/>
        <w:t xml:space="preserve">Question </w:t>
      </w:r>
      <w:r w:rsidR="008539D9" w:rsidRPr="0055352F">
        <w:rPr>
          <w:rFonts w:ascii="Arial" w:hAnsi="Arial" w:cs="Arial"/>
          <w:b/>
          <w:sz w:val="24"/>
          <w:szCs w:val="24"/>
        </w:rPr>
        <w:t>#</w:t>
      </w:r>
      <w:r w:rsidR="0055352F" w:rsidRPr="0055352F">
        <w:rPr>
          <w:rFonts w:ascii="Arial" w:hAnsi="Arial" w:cs="Arial"/>
          <w:b/>
          <w:sz w:val="24"/>
          <w:szCs w:val="24"/>
        </w:rPr>
        <w:t>4</w:t>
      </w:r>
    </w:p>
    <w:p w:rsidR="00B314F3" w:rsidRDefault="002B7C64" w:rsidP="0001354E">
      <w:pPr>
        <w:rPr>
          <w:rFonts w:ascii="Arial" w:hAnsi="Arial" w:cs="Arial"/>
          <w:b/>
          <w:sz w:val="24"/>
          <w:szCs w:val="24"/>
        </w:rPr>
      </w:pPr>
      <w:r>
        <w:rPr>
          <w:rFonts w:ascii="Arial" w:hAnsi="Arial" w:cs="Arial"/>
          <w:b/>
          <w:sz w:val="24"/>
          <w:szCs w:val="24"/>
        </w:rPr>
        <w:t>Ref:</w:t>
      </w:r>
      <w:r w:rsidR="005224FF">
        <w:rPr>
          <w:rFonts w:ascii="Arial" w:hAnsi="Arial" w:cs="Arial"/>
          <w:b/>
          <w:sz w:val="24"/>
          <w:szCs w:val="24"/>
        </w:rPr>
        <w:t xml:space="preserve"> </w:t>
      </w:r>
      <w:r w:rsidR="009B4857">
        <w:rPr>
          <w:rFonts w:ascii="Arial" w:hAnsi="Arial" w:cs="Arial"/>
          <w:b/>
          <w:sz w:val="24"/>
          <w:szCs w:val="24"/>
        </w:rPr>
        <w:t>balances in account 1588 and account 1589</w:t>
      </w:r>
    </w:p>
    <w:p w:rsidR="00EE68D6" w:rsidRDefault="00B35F73" w:rsidP="00EE68D6">
      <w:pPr>
        <w:rPr>
          <w:rFonts w:ascii="Arial" w:hAnsi="Arial" w:cs="Arial"/>
          <w:sz w:val="24"/>
          <w:szCs w:val="24"/>
        </w:rPr>
      </w:pPr>
      <w:r>
        <w:rPr>
          <w:rFonts w:ascii="Arial" w:hAnsi="Arial" w:cs="Arial"/>
          <w:sz w:val="24"/>
          <w:szCs w:val="24"/>
        </w:rPr>
        <w:t xml:space="preserve">Wasaga Distribution </w:t>
      </w:r>
      <w:r w:rsidR="00EE68D6">
        <w:rPr>
          <w:rFonts w:ascii="Arial" w:hAnsi="Arial" w:cs="Arial"/>
          <w:sz w:val="24"/>
          <w:szCs w:val="24"/>
        </w:rPr>
        <w:t>has a total GA claim of $</w:t>
      </w:r>
      <w:r>
        <w:rPr>
          <w:rFonts w:ascii="Arial" w:hAnsi="Arial" w:cs="Arial"/>
          <w:sz w:val="24"/>
          <w:szCs w:val="24"/>
        </w:rPr>
        <w:t xml:space="preserve">309,575 </w:t>
      </w:r>
      <w:proofErr w:type="gramStart"/>
      <w:r w:rsidR="00EE68D6">
        <w:rPr>
          <w:rFonts w:ascii="Arial" w:hAnsi="Arial" w:cs="Arial"/>
          <w:sz w:val="24"/>
          <w:szCs w:val="24"/>
        </w:rPr>
        <w:t>resulting</w:t>
      </w:r>
      <w:proofErr w:type="gramEnd"/>
      <w:r w:rsidR="00EE68D6">
        <w:rPr>
          <w:rFonts w:ascii="Arial" w:hAnsi="Arial" w:cs="Arial"/>
          <w:sz w:val="24"/>
          <w:szCs w:val="24"/>
        </w:rPr>
        <w:t xml:space="preserve"> a rate rider of $0.0</w:t>
      </w:r>
      <w:r>
        <w:rPr>
          <w:rFonts w:ascii="Arial" w:hAnsi="Arial" w:cs="Arial"/>
          <w:sz w:val="24"/>
          <w:szCs w:val="24"/>
        </w:rPr>
        <w:t>153</w:t>
      </w:r>
      <w:r w:rsidR="00EE68D6">
        <w:rPr>
          <w:rFonts w:ascii="Arial" w:hAnsi="Arial" w:cs="Arial"/>
          <w:sz w:val="24"/>
          <w:szCs w:val="24"/>
        </w:rPr>
        <w:t>/kWh. This results in a charge of $1</w:t>
      </w:r>
      <w:r>
        <w:rPr>
          <w:rFonts w:ascii="Arial" w:hAnsi="Arial" w:cs="Arial"/>
          <w:sz w:val="24"/>
          <w:szCs w:val="24"/>
        </w:rPr>
        <w:t>1</w:t>
      </w:r>
      <w:r w:rsidR="00EE68D6">
        <w:rPr>
          <w:rFonts w:ascii="Arial" w:hAnsi="Arial" w:cs="Arial"/>
          <w:sz w:val="24"/>
          <w:szCs w:val="24"/>
        </w:rPr>
        <w:t>.</w:t>
      </w:r>
      <w:r>
        <w:rPr>
          <w:rFonts w:ascii="Arial" w:hAnsi="Arial" w:cs="Arial"/>
          <w:sz w:val="24"/>
          <w:szCs w:val="24"/>
        </w:rPr>
        <w:t>48</w:t>
      </w:r>
      <w:r w:rsidR="00EE68D6">
        <w:rPr>
          <w:rFonts w:ascii="Arial" w:hAnsi="Arial" w:cs="Arial"/>
          <w:sz w:val="24"/>
          <w:szCs w:val="24"/>
        </w:rPr>
        <w:t xml:space="preserve"> for a typical Non-RPP customer at 750kWh. </w:t>
      </w:r>
      <w:r w:rsidR="004367EE">
        <w:rPr>
          <w:rFonts w:ascii="Arial" w:hAnsi="Arial" w:cs="Arial"/>
          <w:sz w:val="24"/>
          <w:szCs w:val="24"/>
        </w:rPr>
        <w:t>OEB staff also notes that Was</w:t>
      </w:r>
      <w:r w:rsidR="009B4857">
        <w:rPr>
          <w:rFonts w:ascii="Arial" w:hAnsi="Arial" w:cs="Arial"/>
          <w:sz w:val="24"/>
          <w:szCs w:val="24"/>
        </w:rPr>
        <w:t>aga Distribution had a large credit Transaction balance of $1,116,470 in account 1588 in 2015</w:t>
      </w:r>
      <w:r w:rsidR="004367EE">
        <w:rPr>
          <w:rFonts w:ascii="Arial" w:hAnsi="Arial" w:cs="Arial"/>
          <w:sz w:val="24"/>
          <w:szCs w:val="24"/>
        </w:rPr>
        <w:t>.</w:t>
      </w:r>
    </w:p>
    <w:p w:rsidR="007B276F" w:rsidRPr="009B4857" w:rsidRDefault="0071379E" w:rsidP="00F27A5F">
      <w:pPr>
        <w:pStyle w:val="ListParagraph"/>
        <w:numPr>
          <w:ilvl w:val="0"/>
          <w:numId w:val="31"/>
        </w:numPr>
        <w:rPr>
          <w:noProof/>
          <w:lang w:eastAsia="en-CA"/>
        </w:rPr>
      </w:pPr>
      <w:r w:rsidRPr="00EE68D6">
        <w:rPr>
          <w:rFonts w:ascii="Arial" w:hAnsi="Arial" w:cs="Arial"/>
          <w:sz w:val="24"/>
          <w:szCs w:val="24"/>
        </w:rPr>
        <w:t>Please explain</w:t>
      </w:r>
      <w:r w:rsidR="00EE68D6" w:rsidRPr="00EE68D6">
        <w:rPr>
          <w:rFonts w:ascii="Arial" w:hAnsi="Arial" w:cs="Arial"/>
          <w:sz w:val="24"/>
          <w:szCs w:val="24"/>
        </w:rPr>
        <w:t xml:space="preserve"> the reasoning for the </w:t>
      </w:r>
      <w:r w:rsidR="00EE68D6">
        <w:rPr>
          <w:rFonts w:ascii="Arial" w:hAnsi="Arial" w:cs="Arial"/>
          <w:sz w:val="24"/>
          <w:szCs w:val="24"/>
        </w:rPr>
        <w:t xml:space="preserve">large </w:t>
      </w:r>
      <w:r w:rsidR="00EE68D6" w:rsidRPr="00EE68D6">
        <w:rPr>
          <w:rFonts w:ascii="Arial" w:hAnsi="Arial" w:cs="Arial"/>
          <w:sz w:val="24"/>
          <w:szCs w:val="24"/>
        </w:rPr>
        <w:t>total GA claim in the 2017 application.</w:t>
      </w:r>
      <w:r w:rsidRPr="00EE68D6">
        <w:rPr>
          <w:rFonts w:ascii="Arial" w:hAnsi="Arial" w:cs="Arial"/>
          <w:sz w:val="24"/>
          <w:szCs w:val="24"/>
        </w:rPr>
        <w:t xml:space="preserve"> </w:t>
      </w:r>
    </w:p>
    <w:p w:rsidR="00235656" w:rsidRPr="00235656" w:rsidRDefault="009B4857" w:rsidP="00235656">
      <w:pPr>
        <w:pStyle w:val="ListParagraph"/>
        <w:numPr>
          <w:ilvl w:val="0"/>
          <w:numId w:val="31"/>
        </w:numPr>
        <w:rPr>
          <w:noProof/>
          <w:lang w:eastAsia="en-CA"/>
        </w:rPr>
      </w:pPr>
      <w:r>
        <w:rPr>
          <w:rFonts w:ascii="Arial" w:hAnsi="Arial" w:cs="Arial"/>
          <w:sz w:val="24"/>
          <w:szCs w:val="24"/>
        </w:rPr>
        <w:t>Please explain the reasoning for the large credit transaction balance of $1,116,470 in account 1588 Power in 201</w:t>
      </w:r>
      <w:r w:rsidR="00553269">
        <w:rPr>
          <w:rFonts w:ascii="Arial" w:hAnsi="Arial" w:cs="Arial"/>
          <w:sz w:val="24"/>
          <w:szCs w:val="24"/>
        </w:rPr>
        <w:t>5</w:t>
      </w:r>
      <w:r>
        <w:rPr>
          <w:rFonts w:ascii="Arial" w:hAnsi="Arial" w:cs="Arial"/>
          <w:sz w:val="24"/>
          <w:szCs w:val="24"/>
        </w:rPr>
        <w:t>.</w:t>
      </w:r>
    </w:p>
    <w:p w:rsidR="00235656" w:rsidRPr="00235656" w:rsidRDefault="00235656" w:rsidP="00235656">
      <w:pPr>
        <w:rPr>
          <w:rFonts w:ascii="Arial" w:hAnsi="Arial" w:cs="Arial"/>
          <w:noProof/>
          <w:color w:val="1F497D" w:themeColor="text2"/>
          <w:sz w:val="24"/>
          <w:szCs w:val="24"/>
          <w:lang w:eastAsia="en-CA"/>
        </w:rPr>
      </w:pPr>
      <w:r w:rsidRPr="00235656">
        <w:rPr>
          <w:rFonts w:ascii="Arial" w:hAnsi="Arial" w:cs="Arial"/>
          <w:noProof/>
          <w:color w:val="1F497D" w:themeColor="text2"/>
          <w:sz w:val="24"/>
          <w:szCs w:val="24"/>
          <w:lang w:eastAsia="en-CA"/>
        </w:rPr>
        <w:t>WDI Response</w:t>
      </w:r>
      <w:r w:rsidR="00C31227">
        <w:rPr>
          <w:rFonts w:ascii="Arial" w:hAnsi="Arial" w:cs="Arial"/>
          <w:noProof/>
          <w:color w:val="1F497D" w:themeColor="text2"/>
          <w:sz w:val="24"/>
          <w:szCs w:val="24"/>
          <w:lang w:eastAsia="en-CA"/>
        </w:rPr>
        <w:t xml:space="preserve"> (a) &amp; (b)</w:t>
      </w:r>
      <w:r w:rsidRPr="00235656">
        <w:rPr>
          <w:rFonts w:ascii="Arial" w:hAnsi="Arial" w:cs="Arial"/>
          <w:noProof/>
          <w:color w:val="1F497D" w:themeColor="text2"/>
          <w:sz w:val="24"/>
          <w:szCs w:val="24"/>
          <w:lang w:eastAsia="en-CA"/>
        </w:rPr>
        <w:t xml:space="preserve"> </w:t>
      </w:r>
      <w:r>
        <w:rPr>
          <w:rFonts w:ascii="Arial" w:hAnsi="Arial" w:cs="Arial"/>
          <w:noProof/>
          <w:color w:val="1F497D" w:themeColor="text2"/>
          <w:sz w:val="24"/>
          <w:szCs w:val="24"/>
          <w:lang w:eastAsia="en-CA"/>
        </w:rPr>
        <w:t>–</w:t>
      </w:r>
      <w:r w:rsidRPr="00235656">
        <w:rPr>
          <w:rFonts w:ascii="Arial" w:hAnsi="Arial" w:cs="Arial"/>
          <w:noProof/>
          <w:color w:val="1F497D" w:themeColor="text2"/>
          <w:sz w:val="24"/>
          <w:szCs w:val="24"/>
          <w:lang w:eastAsia="en-CA"/>
        </w:rPr>
        <w:t xml:space="preserve"> </w:t>
      </w:r>
      <w:r>
        <w:rPr>
          <w:rFonts w:ascii="Arial" w:hAnsi="Arial" w:cs="Arial"/>
          <w:noProof/>
          <w:color w:val="1F497D" w:themeColor="text2"/>
          <w:sz w:val="24"/>
          <w:szCs w:val="24"/>
          <w:lang w:eastAsia="en-CA"/>
        </w:rPr>
        <w:t xml:space="preserve">WDI has experienced a large credit balance in Account 1588 (Power) and an increasingly large debit balance in Account 1589 (GA) for several years. As WDI has an 85% residential population and the TOU rates continue to increase compared to the Weighted Average Price – WDI largely residential class will continue to see this difference being returned to them in as a Rate Rider. The same holds true for the GA – as the GA rate continues to climb and our </w:t>
      </w:r>
      <w:r w:rsidR="00C31227">
        <w:rPr>
          <w:rFonts w:ascii="Arial" w:hAnsi="Arial" w:cs="Arial"/>
          <w:noProof/>
          <w:color w:val="1F497D" w:themeColor="text2"/>
          <w:sz w:val="24"/>
          <w:szCs w:val="24"/>
          <w:lang w:eastAsia="en-CA"/>
        </w:rPr>
        <w:t xml:space="preserve">Residential non-RPP, </w:t>
      </w:r>
      <w:r>
        <w:rPr>
          <w:rFonts w:ascii="Arial" w:hAnsi="Arial" w:cs="Arial"/>
          <w:noProof/>
          <w:color w:val="1F497D" w:themeColor="text2"/>
          <w:sz w:val="24"/>
          <w:szCs w:val="24"/>
          <w:lang w:eastAsia="en-CA"/>
        </w:rPr>
        <w:t xml:space="preserve">GS&lt;50, GS&gt;50 and Street Light profile is relatively small – this debit needs to be recovered from this population. </w:t>
      </w:r>
    </w:p>
    <w:p w:rsidR="001E7DA3" w:rsidRDefault="001E7DA3" w:rsidP="00F27A5F">
      <w:pPr>
        <w:rPr>
          <w:rFonts w:ascii="Arial" w:hAnsi="Arial" w:cs="Arial"/>
          <w:b/>
          <w:sz w:val="24"/>
          <w:szCs w:val="24"/>
        </w:rPr>
      </w:pPr>
    </w:p>
    <w:p w:rsidR="00F27A5F" w:rsidRPr="000811CC" w:rsidRDefault="002F18DE" w:rsidP="00F27A5F">
      <w:pPr>
        <w:rPr>
          <w:rFonts w:ascii="Arial" w:hAnsi="Arial" w:cs="Arial"/>
          <w:b/>
          <w:sz w:val="24"/>
          <w:szCs w:val="24"/>
        </w:rPr>
      </w:pPr>
      <w:r w:rsidRPr="000811CC">
        <w:rPr>
          <w:rFonts w:ascii="Arial" w:hAnsi="Arial" w:cs="Arial"/>
          <w:b/>
          <w:sz w:val="24"/>
          <w:szCs w:val="24"/>
        </w:rPr>
        <w:t xml:space="preserve">Question </w:t>
      </w:r>
      <w:r w:rsidR="003421C4">
        <w:rPr>
          <w:rFonts w:ascii="Arial" w:hAnsi="Arial" w:cs="Arial"/>
          <w:b/>
          <w:sz w:val="24"/>
          <w:szCs w:val="24"/>
        </w:rPr>
        <w:t>#5</w:t>
      </w:r>
    </w:p>
    <w:p w:rsidR="00F27A5F" w:rsidRDefault="00F830AC" w:rsidP="00F27A5F">
      <w:pPr>
        <w:rPr>
          <w:rFonts w:ascii="Arial" w:hAnsi="Arial" w:cs="Arial"/>
          <w:b/>
          <w:sz w:val="24"/>
          <w:szCs w:val="24"/>
        </w:rPr>
      </w:pPr>
      <w:r>
        <w:rPr>
          <w:rFonts w:ascii="Arial" w:hAnsi="Arial" w:cs="Arial"/>
          <w:b/>
          <w:sz w:val="24"/>
          <w:szCs w:val="24"/>
        </w:rPr>
        <w:t>Ref: IRM Model – tab 12, 13, 14 RTSR: Line Connection Charge</w:t>
      </w:r>
    </w:p>
    <w:p w:rsidR="007B276F" w:rsidRPr="007B276F" w:rsidRDefault="00F830AC" w:rsidP="00F830AC">
      <w:pPr>
        <w:rPr>
          <w:rFonts w:ascii="Arial" w:hAnsi="Arial" w:cs="Arial"/>
          <w:sz w:val="24"/>
          <w:szCs w:val="24"/>
        </w:rPr>
      </w:pPr>
      <w:r>
        <w:rPr>
          <w:rFonts w:ascii="Arial" w:hAnsi="Arial" w:cs="Arial"/>
          <w:sz w:val="24"/>
          <w:szCs w:val="24"/>
        </w:rPr>
        <w:t>Please confirm if Wasag</w:t>
      </w:r>
      <w:r w:rsidR="00E80040">
        <w:rPr>
          <w:rFonts w:ascii="Arial" w:hAnsi="Arial" w:cs="Arial"/>
          <w:sz w:val="24"/>
          <w:szCs w:val="24"/>
        </w:rPr>
        <w:t xml:space="preserve">a Distribution only receive two rates from Hydro One Networks Inc.: 1) Retail Transmission - Network and 2) Retail Transmission – </w:t>
      </w:r>
      <w:r w:rsidR="00E80040" w:rsidRPr="00E80040">
        <w:rPr>
          <w:rFonts w:ascii="Arial" w:hAnsi="Arial" w:cs="Arial"/>
          <w:b/>
          <w:sz w:val="24"/>
          <w:szCs w:val="24"/>
        </w:rPr>
        <w:t>Transformation Connection</w:t>
      </w:r>
      <w:r w:rsidR="00E80040">
        <w:rPr>
          <w:rFonts w:ascii="Arial" w:hAnsi="Arial" w:cs="Arial"/>
          <w:sz w:val="24"/>
          <w:szCs w:val="24"/>
        </w:rPr>
        <w:t>. The Line Connection rate is not applicable. If this is true, OEB staff will need to update the model tab 12 to remove the units entered under Line Connection, so that the Line Connection $ amounts will not be calculated on tab 13 and tab 14.</w:t>
      </w:r>
    </w:p>
    <w:p w:rsidR="00B12E4C" w:rsidRPr="00C31227" w:rsidRDefault="00C31227" w:rsidP="00B12E4C">
      <w:pPr>
        <w:rPr>
          <w:rFonts w:ascii="Arial" w:hAnsi="Arial" w:cs="Arial"/>
          <w:noProof/>
          <w:color w:val="1F497D" w:themeColor="text2"/>
          <w:sz w:val="24"/>
          <w:szCs w:val="24"/>
          <w:lang w:eastAsia="en-CA"/>
        </w:rPr>
      </w:pPr>
      <w:r w:rsidRPr="00C31227">
        <w:rPr>
          <w:rFonts w:ascii="Arial" w:hAnsi="Arial" w:cs="Arial"/>
          <w:noProof/>
          <w:color w:val="1F497D" w:themeColor="text2"/>
          <w:sz w:val="24"/>
          <w:szCs w:val="24"/>
          <w:lang w:eastAsia="en-CA"/>
        </w:rPr>
        <w:t>WDI Response - Confirmed</w:t>
      </w:r>
    </w:p>
    <w:p w:rsidR="00C31227" w:rsidRDefault="00C31227" w:rsidP="0043497A">
      <w:pPr>
        <w:rPr>
          <w:rFonts w:ascii="Arial" w:hAnsi="Arial" w:cs="Arial"/>
          <w:b/>
          <w:sz w:val="24"/>
          <w:szCs w:val="24"/>
        </w:rPr>
      </w:pPr>
    </w:p>
    <w:p w:rsidR="00C31227" w:rsidRDefault="00C31227" w:rsidP="0043497A">
      <w:pPr>
        <w:rPr>
          <w:rFonts w:ascii="Arial" w:hAnsi="Arial" w:cs="Arial"/>
          <w:b/>
          <w:sz w:val="24"/>
          <w:szCs w:val="24"/>
        </w:rPr>
      </w:pPr>
    </w:p>
    <w:p w:rsidR="00C31227" w:rsidRDefault="00C31227" w:rsidP="0043497A">
      <w:pPr>
        <w:rPr>
          <w:rFonts w:ascii="Arial" w:hAnsi="Arial" w:cs="Arial"/>
          <w:b/>
          <w:sz w:val="24"/>
          <w:szCs w:val="24"/>
        </w:rPr>
      </w:pPr>
    </w:p>
    <w:p w:rsidR="00C31227" w:rsidRDefault="00C31227" w:rsidP="0043497A">
      <w:pPr>
        <w:rPr>
          <w:rFonts w:ascii="Arial" w:hAnsi="Arial" w:cs="Arial"/>
          <w:b/>
          <w:sz w:val="24"/>
          <w:szCs w:val="24"/>
        </w:rPr>
      </w:pPr>
    </w:p>
    <w:p w:rsidR="00C31227" w:rsidRDefault="00C31227" w:rsidP="0043497A">
      <w:pPr>
        <w:rPr>
          <w:rFonts w:ascii="Arial" w:hAnsi="Arial" w:cs="Arial"/>
          <w:b/>
          <w:sz w:val="24"/>
          <w:szCs w:val="24"/>
        </w:rPr>
      </w:pPr>
    </w:p>
    <w:p w:rsidR="00C31227" w:rsidRDefault="00C31227" w:rsidP="0043497A">
      <w:pPr>
        <w:rPr>
          <w:rFonts w:ascii="Arial" w:hAnsi="Arial" w:cs="Arial"/>
          <w:b/>
          <w:sz w:val="24"/>
          <w:szCs w:val="24"/>
        </w:rPr>
      </w:pPr>
    </w:p>
    <w:p w:rsidR="00C31227" w:rsidRDefault="00C31227" w:rsidP="0043497A">
      <w:pPr>
        <w:rPr>
          <w:rFonts w:ascii="Arial" w:hAnsi="Arial" w:cs="Arial"/>
          <w:b/>
          <w:sz w:val="24"/>
          <w:szCs w:val="24"/>
        </w:rPr>
      </w:pPr>
    </w:p>
    <w:p w:rsidR="00C31227" w:rsidRDefault="00C31227" w:rsidP="0043497A">
      <w:pPr>
        <w:rPr>
          <w:rFonts w:ascii="Arial" w:hAnsi="Arial" w:cs="Arial"/>
          <w:b/>
          <w:sz w:val="24"/>
          <w:szCs w:val="24"/>
        </w:rPr>
      </w:pPr>
    </w:p>
    <w:p w:rsidR="0043497A" w:rsidRPr="000811CC" w:rsidRDefault="0043497A" w:rsidP="0043497A">
      <w:pPr>
        <w:rPr>
          <w:rFonts w:ascii="Arial" w:hAnsi="Arial" w:cs="Arial"/>
          <w:b/>
          <w:sz w:val="24"/>
          <w:szCs w:val="24"/>
        </w:rPr>
      </w:pPr>
      <w:r w:rsidRPr="000811CC">
        <w:rPr>
          <w:rFonts w:ascii="Arial" w:hAnsi="Arial" w:cs="Arial"/>
          <w:b/>
          <w:sz w:val="24"/>
          <w:szCs w:val="24"/>
        </w:rPr>
        <w:lastRenderedPageBreak/>
        <w:t xml:space="preserve">Question </w:t>
      </w:r>
      <w:r>
        <w:rPr>
          <w:rFonts w:ascii="Arial" w:hAnsi="Arial" w:cs="Arial"/>
          <w:b/>
          <w:sz w:val="24"/>
          <w:szCs w:val="24"/>
        </w:rPr>
        <w:t>#6</w:t>
      </w:r>
    </w:p>
    <w:p w:rsidR="0043497A" w:rsidRDefault="0043497A" w:rsidP="00B12E4C">
      <w:pPr>
        <w:rPr>
          <w:rFonts w:ascii="Arial" w:hAnsi="Arial" w:cs="Arial"/>
          <w:sz w:val="24"/>
          <w:szCs w:val="24"/>
        </w:rPr>
      </w:pPr>
      <w:r>
        <w:rPr>
          <w:rFonts w:ascii="Arial" w:hAnsi="Arial" w:cs="Arial"/>
          <w:b/>
          <w:sz w:val="24"/>
          <w:szCs w:val="24"/>
        </w:rPr>
        <w:t xml:space="preserve">Ref: IRM Model – tab 18 </w:t>
      </w:r>
      <w:r w:rsidR="006F637E">
        <w:rPr>
          <w:rFonts w:ascii="Arial" w:hAnsi="Arial" w:cs="Arial"/>
          <w:b/>
          <w:sz w:val="24"/>
          <w:szCs w:val="24"/>
        </w:rPr>
        <w:t>Additional Rates: CBR rate rider</w:t>
      </w:r>
    </w:p>
    <w:p w:rsidR="00D60DCE" w:rsidRDefault="00EE5954" w:rsidP="00B12E4C">
      <w:pPr>
        <w:rPr>
          <w:rFonts w:ascii="Arial" w:hAnsi="Arial" w:cs="Arial"/>
          <w:sz w:val="24"/>
          <w:szCs w:val="24"/>
        </w:rPr>
      </w:pPr>
      <w:r>
        <w:rPr>
          <w:rFonts w:ascii="Arial" w:hAnsi="Arial" w:cs="Arial"/>
          <w:sz w:val="24"/>
          <w:szCs w:val="24"/>
        </w:rPr>
        <w:t>As noted on tab 3 continuity s</w:t>
      </w:r>
      <w:r w:rsidR="00C2326D">
        <w:rPr>
          <w:rFonts w:ascii="Arial" w:hAnsi="Arial" w:cs="Arial"/>
          <w:sz w:val="24"/>
          <w:szCs w:val="24"/>
        </w:rPr>
        <w:t xml:space="preserve">chedule (in the blue textbox), if a distributor has only Class B customers, the balance in sub-account 1580 CBR Class B will be allocated and disposed with the control account 1580. If Wasaga Distribution has only Class B customers, </w:t>
      </w:r>
      <w:r w:rsidR="00A037AC">
        <w:rPr>
          <w:rFonts w:ascii="Arial" w:hAnsi="Arial" w:cs="Arial"/>
          <w:sz w:val="24"/>
          <w:szCs w:val="24"/>
        </w:rPr>
        <w:t>the balance in account 1580 sub-account CBR Class B, $35,580 has been added to the control account 1580 balance of ($175,212) when allocating account balance to each class (see screenshot below of tab 5). Therefore, Wasaga Distribution should not calculate a separate rate rider outside the model to dispose of sub-account CBR Class B. It has been allocated and disposed with the control account 1580 in the group 1 DVA disposition. The CBR rate rider should be removed from tab 18.</w:t>
      </w:r>
    </w:p>
    <w:p w:rsidR="00A037AC" w:rsidRDefault="00A037AC" w:rsidP="006A129A">
      <w:pPr>
        <w:pStyle w:val="ListParagraph"/>
        <w:numPr>
          <w:ilvl w:val="0"/>
          <w:numId w:val="35"/>
        </w:numPr>
        <w:rPr>
          <w:rFonts w:ascii="Arial" w:hAnsi="Arial" w:cs="Arial"/>
          <w:sz w:val="24"/>
          <w:szCs w:val="24"/>
        </w:rPr>
      </w:pPr>
      <w:r w:rsidRPr="006A129A">
        <w:rPr>
          <w:rFonts w:ascii="Arial" w:hAnsi="Arial" w:cs="Arial"/>
          <w:sz w:val="24"/>
          <w:szCs w:val="24"/>
        </w:rPr>
        <w:t>Please</w:t>
      </w:r>
      <w:r w:rsidR="006A129A">
        <w:rPr>
          <w:rFonts w:ascii="Arial" w:hAnsi="Arial" w:cs="Arial"/>
          <w:sz w:val="24"/>
          <w:szCs w:val="24"/>
        </w:rPr>
        <w:t xml:space="preserve"> confirm Wasaga Distribution has no Class A customers, and in 2015, Wasaga Distribution had no customers moved between Class A and Class B.</w:t>
      </w:r>
    </w:p>
    <w:p w:rsidR="00C31227" w:rsidRDefault="00C31227" w:rsidP="00C31227">
      <w:pPr>
        <w:pStyle w:val="ListParagraph"/>
        <w:rPr>
          <w:rFonts w:ascii="Arial" w:hAnsi="Arial" w:cs="Arial"/>
          <w:sz w:val="24"/>
          <w:szCs w:val="24"/>
        </w:rPr>
      </w:pPr>
    </w:p>
    <w:p w:rsidR="00C31227" w:rsidRDefault="00C31227" w:rsidP="00C31227">
      <w:pPr>
        <w:pStyle w:val="ListParagraph"/>
        <w:rPr>
          <w:rFonts w:ascii="Arial" w:hAnsi="Arial" w:cs="Arial"/>
          <w:color w:val="1F497D" w:themeColor="text2"/>
          <w:sz w:val="24"/>
          <w:szCs w:val="24"/>
        </w:rPr>
      </w:pPr>
      <w:r>
        <w:rPr>
          <w:rFonts w:ascii="Arial" w:hAnsi="Arial" w:cs="Arial"/>
          <w:color w:val="1F497D" w:themeColor="text2"/>
          <w:sz w:val="24"/>
          <w:szCs w:val="24"/>
        </w:rPr>
        <w:t>WDI Response – WDI has no Class A customers and WDI had had no customers move between Class A and Class B.</w:t>
      </w:r>
    </w:p>
    <w:p w:rsidR="00C31227" w:rsidRPr="00C31227" w:rsidRDefault="00C31227" w:rsidP="00C31227">
      <w:pPr>
        <w:pStyle w:val="ListParagraph"/>
        <w:rPr>
          <w:rFonts w:ascii="Arial" w:hAnsi="Arial" w:cs="Arial"/>
          <w:color w:val="1F497D" w:themeColor="text2"/>
          <w:sz w:val="24"/>
          <w:szCs w:val="24"/>
        </w:rPr>
      </w:pPr>
    </w:p>
    <w:p w:rsidR="006A129A" w:rsidRDefault="006A129A" w:rsidP="006A129A">
      <w:pPr>
        <w:pStyle w:val="ListParagraph"/>
        <w:numPr>
          <w:ilvl w:val="0"/>
          <w:numId w:val="35"/>
        </w:numPr>
        <w:rPr>
          <w:rFonts w:ascii="Arial" w:hAnsi="Arial" w:cs="Arial"/>
          <w:sz w:val="24"/>
          <w:szCs w:val="24"/>
        </w:rPr>
      </w:pPr>
      <w:r>
        <w:rPr>
          <w:rFonts w:ascii="Arial" w:hAnsi="Arial" w:cs="Arial"/>
          <w:sz w:val="24"/>
          <w:szCs w:val="24"/>
        </w:rPr>
        <w:t>Please review and confirm the above description of disposition of sub-account 1580 CBR Class B. OEB staff will update the model to remove the CBR rate rider on tab 18.</w:t>
      </w:r>
    </w:p>
    <w:p w:rsidR="00C31227" w:rsidRPr="00C31227" w:rsidRDefault="00C31227" w:rsidP="00C31227">
      <w:pPr>
        <w:ind w:left="720"/>
        <w:rPr>
          <w:rFonts w:ascii="Arial" w:hAnsi="Arial" w:cs="Arial"/>
          <w:color w:val="1F497D" w:themeColor="text2"/>
          <w:sz w:val="24"/>
          <w:szCs w:val="24"/>
        </w:rPr>
      </w:pPr>
      <w:r w:rsidRPr="00C31227">
        <w:rPr>
          <w:rFonts w:ascii="Arial" w:hAnsi="Arial" w:cs="Arial"/>
          <w:color w:val="1F497D" w:themeColor="text2"/>
          <w:sz w:val="24"/>
          <w:szCs w:val="24"/>
        </w:rPr>
        <w:t>WDI Response - Confirmed</w:t>
      </w:r>
    </w:p>
    <w:p w:rsidR="00A037AC" w:rsidRDefault="00A037AC" w:rsidP="00B12E4C">
      <w:pPr>
        <w:rPr>
          <w:rFonts w:ascii="Arial" w:hAnsi="Arial" w:cs="Arial"/>
          <w:sz w:val="24"/>
          <w:szCs w:val="24"/>
        </w:rPr>
      </w:pPr>
      <w:r>
        <w:rPr>
          <w:noProof/>
          <w:lang w:eastAsia="en-CA"/>
        </w:rPr>
        <w:drawing>
          <wp:inline distT="0" distB="0" distL="0" distR="0" wp14:anchorId="1B1CF203" wp14:editId="193EF8DC">
            <wp:extent cx="3638095" cy="248571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38095" cy="2485714"/>
                    </a:xfrm>
                    <a:prstGeom prst="rect">
                      <a:avLst/>
                    </a:prstGeom>
                  </pic:spPr>
                </pic:pic>
              </a:graphicData>
            </a:graphic>
          </wp:inline>
        </w:drawing>
      </w:r>
    </w:p>
    <w:p w:rsidR="003F7D01" w:rsidRDefault="003F7D01" w:rsidP="00D21A42">
      <w:pPr>
        <w:pStyle w:val="ListParagraph"/>
        <w:rPr>
          <w:rFonts w:ascii="Arial" w:hAnsi="Arial" w:cs="Arial"/>
          <w:sz w:val="24"/>
          <w:szCs w:val="24"/>
        </w:rPr>
      </w:pPr>
    </w:p>
    <w:p w:rsidR="00C31227" w:rsidRDefault="00C31227" w:rsidP="00931765">
      <w:pPr>
        <w:rPr>
          <w:rFonts w:ascii="Arial" w:hAnsi="Arial" w:cs="Arial"/>
          <w:b/>
          <w:sz w:val="24"/>
          <w:szCs w:val="24"/>
        </w:rPr>
      </w:pPr>
    </w:p>
    <w:p w:rsidR="00C31227" w:rsidRDefault="00C31227" w:rsidP="00931765">
      <w:pPr>
        <w:rPr>
          <w:rFonts w:ascii="Arial" w:hAnsi="Arial" w:cs="Arial"/>
          <w:b/>
          <w:sz w:val="24"/>
          <w:szCs w:val="24"/>
        </w:rPr>
      </w:pPr>
    </w:p>
    <w:p w:rsidR="00C31227" w:rsidRDefault="00C31227" w:rsidP="00931765">
      <w:pPr>
        <w:rPr>
          <w:rFonts w:ascii="Arial" w:hAnsi="Arial" w:cs="Arial"/>
          <w:b/>
          <w:sz w:val="24"/>
          <w:szCs w:val="24"/>
        </w:rPr>
      </w:pPr>
    </w:p>
    <w:p w:rsidR="00C31227" w:rsidRDefault="00C31227" w:rsidP="00931765">
      <w:pPr>
        <w:rPr>
          <w:rFonts w:ascii="Arial" w:hAnsi="Arial" w:cs="Arial"/>
          <w:b/>
          <w:sz w:val="24"/>
          <w:szCs w:val="24"/>
        </w:rPr>
      </w:pPr>
    </w:p>
    <w:p w:rsidR="00931765" w:rsidRPr="000811CC" w:rsidRDefault="00931765" w:rsidP="00931765">
      <w:pPr>
        <w:rPr>
          <w:rFonts w:ascii="Arial" w:hAnsi="Arial" w:cs="Arial"/>
          <w:b/>
          <w:sz w:val="24"/>
          <w:szCs w:val="24"/>
        </w:rPr>
      </w:pPr>
      <w:r w:rsidRPr="000811CC">
        <w:rPr>
          <w:rFonts w:ascii="Arial" w:hAnsi="Arial" w:cs="Arial"/>
          <w:b/>
          <w:sz w:val="24"/>
          <w:szCs w:val="24"/>
        </w:rPr>
        <w:lastRenderedPageBreak/>
        <w:t xml:space="preserve">Question </w:t>
      </w:r>
      <w:r>
        <w:rPr>
          <w:rFonts w:ascii="Arial" w:hAnsi="Arial" w:cs="Arial"/>
          <w:b/>
          <w:sz w:val="24"/>
          <w:szCs w:val="24"/>
        </w:rPr>
        <w:t>#7</w:t>
      </w:r>
    </w:p>
    <w:p w:rsidR="00931765" w:rsidRDefault="00931765" w:rsidP="00931765">
      <w:pPr>
        <w:rPr>
          <w:rFonts w:ascii="Arial" w:hAnsi="Arial" w:cs="Arial"/>
          <w:sz w:val="24"/>
          <w:szCs w:val="24"/>
        </w:rPr>
      </w:pPr>
      <w:r>
        <w:rPr>
          <w:rFonts w:ascii="Arial" w:hAnsi="Arial" w:cs="Arial"/>
          <w:b/>
          <w:sz w:val="24"/>
          <w:szCs w:val="24"/>
        </w:rPr>
        <w:t>Ref: IRM Model – tab 20 Billing Determinant for Unmetered Classes</w:t>
      </w:r>
    </w:p>
    <w:p w:rsidR="00C31227" w:rsidRDefault="00290389" w:rsidP="00931765">
      <w:pPr>
        <w:rPr>
          <w:rFonts w:ascii="Arial" w:hAnsi="Arial" w:cs="Arial"/>
          <w:sz w:val="24"/>
          <w:szCs w:val="24"/>
        </w:rPr>
      </w:pPr>
      <w:r>
        <w:rPr>
          <w:rFonts w:ascii="Arial" w:hAnsi="Arial" w:cs="Arial"/>
          <w:sz w:val="24"/>
          <w:szCs w:val="24"/>
        </w:rPr>
        <w:t>Wasaga Distribution’s USL and Street Lighting classes are billed based on the number of connections. In Column N of tab 20 Bill Impacts, the number of connections of a typical customer in these two classes should be entered. Please provide the two numbers of connections for USL and Street Lighting classes. OEB staff will update the model.</w:t>
      </w:r>
    </w:p>
    <w:p w:rsidR="00C31227" w:rsidRPr="00C31227" w:rsidRDefault="00C31227" w:rsidP="00931765">
      <w:pPr>
        <w:rPr>
          <w:rFonts w:ascii="Arial" w:hAnsi="Arial" w:cs="Arial"/>
          <w:color w:val="1F497D" w:themeColor="text2"/>
          <w:sz w:val="24"/>
          <w:szCs w:val="24"/>
        </w:rPr>
      </w:pPr>
      <w:r w:rsidRPr="00C31227">
        <w:rPr>
          <w:rFonts w:ascii="Arial" w:hAnsi="Arial" w:cs="Arial"/>
          <w:color w:val="1F497D" w:themeColor="text2"/>
          <w:sz w:val="24"/>
          <w:szCs w:val="24"/>
        </w:rPr>
        <w:t>WDI Response – WDI has updated the revised IRM model that will be submitted through the portal with the appropriate numbers on Tab 20. The USL number is “1” and the Street Light number is “2,899.”</w:t>
      </w:r>
    </w:p>
    <w:p w:rsidR="00931765" w:rsidRDefault="00931765" w:rsidP="00931765">
      <w:pPr>
        <w:rPr>
          <w:rFonts w:ascii="Arial" w:hAnsi="Arial" w:cs="Arial"/>
          <w:sz w:val="24"/>
          <w:szCs w:val="24"/>
        </w:rPr>
      </w:pPr>
      <w:r>
        <w:rPr>
          <w:noProof/>
          <w:lang w:eastAsia="en-CA"/>
        </w:rPr>
        <w:drawing>
          <wp:inline distT="0" distB="0" distL="0" distR="0" wp14:anchorId="464972D2" wp14:editId="0770B58A">
            <wp:extent cx="3619048" cy="244761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19048" cy="2447619"/>
                    </a:xfrm>
                    <a:prstGeom prst="rect">
                      <a:avLst/>
                    </a:prstGeom>
                  </pic:spPr>
                </pic:pic>
              </a:graphicData>
            </a:graphic>
          </wp:inline>
        </w:drawing>
      </w:r>
    </w:p>
    <w:p w:rsidR="00BC1A68" w:rsidRPr="00931765" w:rsidRDefault="00BC1A68" w:rsidP="00931765">
      <w:pPr>
        <w:rPr>
          <w:rFonts w:ascii="Arial" w:hAnsi="Arial" w:cs="Arial"/>
          <w:sz w:val="24"/>
          <w:szCs w:val="24"/>
        </w:rPr>
      </w:pPr>
    </w:p>
    <w:p w:rsidR="008E2D30" w:rsidRDefault="008E2D30" w:rsidP="005E2BA4">
      <w:pPr>
        <w:rPr>
          <w:rFonts w:ascii="Arial" w:hAnsi="Arial" w:cs="Arial"/>
          <w:b/>
          <w:sz w:val="24"/>
          <w:szCs w:val="24"/>
        </w:rPr>
      </w:pPr>
    </w:p>
    <w:p w:rsidR="008E2D30" w:rsidRDefault="008E2D30" w:rsidP="005E2BA4">
      <w:pPr>
        <w:rPr>
          <w:rFonts w:ascii="Arial" w:hAnsi="Arial" w:cs="Arial"/>
          <w:b/>
          <w:sz w:val="24"/>
          <w:szCs w:val="24"/>
        </w:rPr>
      </w:pPr>
    </w:p>
    <w:p w:rsidR="008E2D30" w:rsidRDefault="008E2D30" w:rsidP="005E2BA4">
      <w:pPr>
        <w:rPr>
          <w:rFonts w:ascii="Arial" w:hAnsi="Arial" w:cs="Arial"/>
          <w:b/>
          <w:sz w:val="24"/>
          <w:szCs w:val="24"/>
        </w:rPr>
      </w:pPr>
    </w:p>
    <w:p w:rsidR="008E2D30" w:rsidRDefault="008E2D30" w:rsidP="005E2BA4">
      <w:pPr>
        <w:rPr>
          <w:rFonts w:ascii="Arial" w:hAnsi="Arial" w:cs="Arial"/>
          <w:b/>
          <w:sz w:val="24"/>
          <w:szCs w:val="24"/>
        </w:rPr>
      </w:pPr>
    </w:p>
    <w:p w:rsidR="008E2D30" w:rsidRDefault="008E2D30" w:rsidP="005E2BA4">
      <w:pPr>
        <w:rPr>
          <w:rFonts w:ascii="Arial" w:hAnsi="Arial" w:cs="Arial"/>
          <w:b/>
          <w:sz w:val="24"/>
          <w:szCs w:val="24"/>
        </w:rPr>
      </w:pPr>
    </w:p>
    <w:p w:rsidR="008E2D30" w:rsidRDefault="008E2D30" w:rsidP="005E2BA4">
      <w:pPr>
        <w:rPr>
          <w:rFonts w:ascii="Arial" w:hAnsi="Arial" w:cs="Arial"/>
          <w:b/>
          <w:sz w:val="24"/>
          <w:szCs w:val="24"/>
        </w:rPr>
      </w:pPr>
    </w:p>
    <w:p w:rsidR="008E2D30" w:rsidRDefault="008E2D30" w:rsidP="005E2BA4">
      <w:pPr>
        <w:rPr>
          <w:rFonts w:ascii="Arial" w:hAnsi="Arial" w:cs="Arial"/>
          <w:b/>
          <w:sz w:val="24"/>
          <w:szCs w:val="24"/>
        </w:rPr>
      </w:pPr>
    </w:p>
    <w:p w:rsidR="008E2D30" w:rsidRDefault="008E2D30" w:rsidP="005E2BA4">
      <w:pPr>
        <w:rPr>
          <w:rFonts w:ascii="Arial" w:hAnsi="Arial" w:cs="Arial"/>
          <w:b/>
          <w:sz w:val="24"/>
          <w:szCs w:val="24"/>
        </w:rPr>
      </w:pPr>
    </w:p>
    <w:p w:rsidR="008E2D30" w:rsidRDefault="008E2D30" w:rsidP="005E2BA4">
      <w:pPr>
        <w:rPr>
          <w:rFonts w:ascii="Arial" w:hAnsi="Arial" w:cs="Arial"/>
          <w:b/>
          <w:sz w:val="24"/>
          <w:szCs w:val="24"/>
        </w:rPr>
      </w:pPr>
    </w:p>
    <w:p w:rsidR="008E2D30" w:rsidRDefault="008E2D30" w:rsidP="005E2BA4">
      <w:pPr>
        <w:rPr>
          <w:rFonts w:ascii="Arial" w:hAnsi="Arial" w:cs="Arial"/>
          <w:b/>
          <w:sz w:val="24"/>
          <w:szCs w:val="24"/>
        </w:rPr>
      </w:pPr>
    </w:p>
    <w:p w:rsidR="005E2BA4" w:rsidRPr="000811CC" w:rsidRDefault="005E2BA4" w:rsidP="005E2BA4">
      <w:pPr>
        <w:rPr>
          <w:rFonts w:ascii="Arial" w:hAnsi="Arial" w:cs="Arial"/>
          <w:b/>
          <w:sz w:val="24"/>
          <w:szCs w:val="24"/>
        </w:rPr>
      </w:pPr>
      <w:r w:rsidRPr="000811CC">
        <w:rPr>
          <w:rFonts w:ascii="Arial" w:hAnsi="Arial" w:cs="Arial"/>
          <w:b/>
          <w:sz w:val="24"/>
          <w:szCs w:val="24"/>
        </w:rPr>
        <w:lastRenderedPageBreak/>
        <w:t xml:space="preserve">Question </w:t>
      </w:r>
      <w:r>
        <w:rPr>
          <w:rFonts w:ascii="Arial" w:hAnsi="Arial" w:cs="Arial"/>
          <w:b/>
          <w:sz w:val="24"/>
          <w:szCs w:val="24"/>
        </w:rPr>
        <w:t>#8</w:t>
      </w:r>
    </w:p>
    <w:p w:rsidR="005E2BA4" w:rsidRPr="005E2BA4" w:rsidRDefault="005E2BA4" w:rsidP="005E2BA4">
      <w:pPr>
        <w:pStyle w:val="NoSpacing"/>
        <w:rPr>
          <w:rFonts w:ascii="Arial" w:hAnsi="Arial" w:cs="Arial"/>
          <w:b/>
          <w:sz w:val="24"/>
          <w:szCs w:val="24"/>
        </w:rPr>
      </w:pPr>
      <w:r w:rsidRPr="005E2BA4">
        <w:rPr>
          <w:rFonts w:ascii="Arial" w:hAnsi="Arial" w:cs="Arial"/>
          <w:b/>
          <w:sz w:val="24"/>
          <w:szCs w:val="24"/>
        </w:rPr>
        <w:t>Ref:</w:t>
      </w:r>
      <w:r w:rsidRPr="005E2BA4">
        <w:rPr>
          <w:rFonts w:ascii="Arial" w:hAnsi="Arial" w:cs="Arial"/>
          <w:b/>
          <w:sz w:val="24"/>
          <w:szCs w:val="24"/>
        </w:rPr>
        <w:tab/>
        <w:t>Tab “2.  CDM Allocation” of LRAMVA Work Form</w:t>
      </w:r>
    </w:p>
    <w:p w:rsidR="005E2BA4" w:rsidRPr="005E2BA4" w:rsidRDefault="005E2BA4" w:rsidP="005E2BA4">
      <w:pPr>
        <w:pStyle w:val="NoSpacing"/>
        <w:rPr>
          <w:rFonts w:ascii="Arial" w:hAnsi="Arial" w:cs="Arial"/>
          <w:b/>
          <w:sz w:val="24"/>
          <w:szCs w:val="24"/>
        </w:rPr>
      </w:pPr>
      <w:r w:rsidRPr="005E2BA4">
        <w:rPr>
          <w:rFonts w:ascii="Arial" w:hAnsi="Arial" w:cs="Arial"/>
          <w:b/>
          <w:sz w:val="24"/>
          <w:szCs w:val="24"/>
        </w:rPr>
        <w:tab/>
        <w:t>EB-2011-0103, Wasaga Responses to Interrogatories – VECC #18</w:t>
      </w:r>
    </w:p>
    <w:p w:rsidR="005E2BA4" w:rsidRPr="005E2BA4" w:rsidRDefault="005E2BA4" w:rsidP="005E2BA4">
      <w:pPr>
        <w:pStyle w:val="NoSpacing"/>
        <w:ind w:firstLine="720"/>
        <w:rPr>
          <w:rFonts w:ascii="Arial" w:hAnsi="Arial" w:cs="Arial"/>
          <w:b/>
          <w:sz w:val="24"/>
          <w:szCs w:val="24"/>
        </w:rPr>
      </w:pPr>
      <w:proofErr w:type="gramStart"/>
      <w:r w:rsidRPr="005E2BA4">
        <w:rPr>
          <w:rFonts w:ascii="Arial" w:hAnsi="Arial" w:cs="Arial"/>
          <w:b/>
          <w:sz w:val="24"/>
          <w:szCs w:val="24"/>
        </w:rPr>
        <w:t>Tab “5.</w:t>
      </w:r>
      <w:proofErr w:type="gramEnd"/>
      <w:r w:rsidRPr="005E2BA4">
        <w:rPr>
          <w:rFonts w:ascii="Arial" w:hAnsi="Arial" w:cs="Arial"/>
          <w:b/>
          <w:sz w:val="24"/>
          <w:szCs w:val="24"/>
        </w:rPr>
        <w:t xml:space="preserve">  2015 LRAM” of LRAMVA Work Form</w:t>
      </w:r>
    </w:p>
    <w:p w:rsidR="005E2BA4" w:rsidRDefault="005E2BA4" w:rsidP="005E2BA4">
      <w:pPr>
        <w:rPr>
          <w:rFonts w:ascii="Arial" w:hAnsi="Arial" w:cs="Arial"/>
          <w:sz w:val="24"/>
          <w:szCs w:val="24"/>
        </w:rPr>
      </w:pPr>
      <w:r>
        <w:rPr>
          <w:rFonts w:ascii="Arial" w:hAnsi="Arial" w:cs="Arial"/>
          <w:sz w:val="24"/>
          <w:szCs w:val="24"/>
        </w:rPr>
        <w:t>Pre-amble:</w:t>
      </w:r>
    </w:p>
    <w:p w:rsidR="005E2BA4" w:rsidRDefault="005E2BA4" w:rsidP="005E2BA4">
      <w:pPr>
        <w:rPr>
          <w:rFonts w:ascii="Arial" w:hAnsi="Arial" w:cs="Arial"/>
          <w:sz w:val="24"/>
          <w:szCs w:val="24"/>
        </w:rPr>
      </w:pPr>
      <w:r w:rsidRPr="00FC2BFC">
        <w:rPr>
          <w:rFonts w:ascii="Arial" w:hAnsi="Arial" w:cs="Arial"/>
          <w:sz w:val="24"/>
          <w:szCs w:val="24"/>
        </w:rPr>
        <w:t xml:space="preserve">Based on Wasaga’s interrogatory responses to VECC (#18) in the 2012 cost of service application (EB-2011-0103), Wasaga confirmed that the CDM adjustment </w:t>
      </w:r>
      <w:r>
        <w:rPr>
          <w:rFonts w:ascii="Arial" w:hAnsi="Arial" w:cs="Arial"/>
          <w:sz w:val="24"/>
          <w:szCs w:val="24"/>
        </w:rPr>
        <w:t xml:space="preserve">of </w:t>
      </w:r>
      <w:r w:rsidRPr="00FC2BFC">
        <w:rPr>
          <w:rFonts w:ascii="Arial" w:hAnsi="Arial" w:cs="Arial"/>
          <w:sz w:val="24"/>
          <w:szCs w:val="24"/>
        </w:rPr>
        <w:t xml:space="preserve">802,000 kWh </w:t>
      </w:r>
      <w:r>
        <w:rPr>
          <w:rFonts w:ascii="Arial" w:hAnsi="Arial" w:cs="Arial"/>
          <w:sz w:val="24"/>
          <w:szCs w:val="24"/>
        </w:rPr>
        <w:t>to</w:t>
      </w:r>
      <w:r w:rsidRPr="00FC2BFC">
        <w:rPr>
          <w:rFonts w:ascii="Arial" w:hAnsi="Arial" w:cs="Arial"/>
          <w:sz w:val="24"/>
          <w:szCs w:val="24"/>
        </w:rPr>
        <w:t xml:space="preserve"> the load forecast was </w:t>
      </w:r>
      <w:r>
        <w:rPr>
          <w:rFonts w:ascii="Arial" w:hAnsi="Arial" w:cs="Arial"/>
          <w:sz w:val="24"/>
          <w:szCs w:val="24"/>
        </w:rPr>
        <w:t>to account for estimated 2012 CDM savings. This is shown in Tab “</w:t>
      </w:r>
      <w:r w:rsidRPr="00E85911">
        <w:rPr>
          <w:rFonts w:ascii="Arial" w:hAnsi="Arial" w:cs="Arial"/>
          <w:sz w:val="24"/>
          <w:szCs w:val="24"/>
        </w:rPr>
        <w:t>2.  CDM Allocation</w:t>
      </w:r>
      <w:r>
        <w:rPr>
          <w:rFonts w:ascii="Arial" w:hAnsi="Arial" w:cs="Arial"/>
          <w:sz w:val="24"/>
          <w:szCs w:val="24"/>
        </w:rPr>
        <w:t xml:space="preserve">” of Wasaga’s LRAMVA workform. </w:t>
      </w:r>
    </w:p>
    <w:p w:rsidR="005E2BA4" w:rsidRDefault="005E2BA4" w:rsidP="005E2BA4">
      <w:pPr>
        <w:rPr>
          <w:rFonts w:ascii="Arial" w:hAnsi="Arial" w:cs="Arial"/>
          <w:sz w:val="24"/>
          <w:szCs w:val="24"/>
        </w:rPr>
      </w:pPr>
      <w:proofErr w:type="gramStart"/>
      <w:r>
        <w:rPr>
          <w:rFonts w:ascii="Arial" w:hAnsi="Arial" w:cs="Arial"/>
          <w:sz w:val="24"/>
          <w:szCs w:val="24"/>
        </w:rPr>
        <w:t>In Tab “5.</w:t>
      </w:r>
      <w:proofErr w:type="gramEnd"/>
      <w:r>
        <w:rPr>
          <w:rFonts w:ascii="Arial" w:hAnsi="Arial" w:cs="Arial"/>
          <w:sz w:val="24"/>
          <w:szCs w:val="24"/>
        </w:rPr>
        <w:t xml:space="preserve"> </w:t>
      </w:r>
      <w:r w:rsidRPr="00FC2BFC">
        <w:rPr>
          <w:rFonts w:ascii="Arial" w:hAnsi="Arial" w:cs="Arial"/>
          <w:sz w:val="24"/>
          <w:szCs w:val="24"/>
        </w:rPr>
        <w:t>2015 LRAM</w:t>
      </w:r>
      <w:r>
        <w:rPr>
          <w:rFonts w:ascii="Arial" w:hAnsi="Arial" w:cs="Arial"/>
          <w:sz w:val="24"/>
          <w:szCs w:val="24"/>
        </w:rPr>
        <w:t>” of LRAMVA Work Form, the persistence of 2011 CDM savings are claimed into future years, although it appears that the 2011 CDM savings persistence were captured in the 2012 load forecast.</w:t>
      </w:r>
    </w:p>
    <w:p w:rsidR="005E2BA4" w:rsidRDefault="005E2BA4" w:rsidP="005E2BA4">
      <w:pPr>
        <w:rPr>
          <w:rFonts w:ascii="Arial" w:hAnsi="Arial" w:cs="Arial"/>
          <w:sz w:val="24"/>
          <w:szCs w:val="24"/>
        </w:rPr>
      </w:pPr>
      <w:r>
        <w:rPr>
          <w:rFonts w:ascii="Arial" w:hAnsi="Arial" w:cs="Arial"/>
          <w:sz w:val="24"/>
          <w:szCs w:val="24"/>
        </w:rPr>
        <w:t>Questions:</w:t>
      </w:r>
    </w:p>
    <w:p w:rsidR="005E2BA4" w:rsidRDefault="005E2BA4" w:rsidP="005E2BA4">
      <w:pPr>
        <w:pStyle w:val="ListParagraph"/>
        <w:numPr>
          <w:ilvl w:val="0"/>
          <w:numId w:val="38"/>
        </w:numPr>
        <w:rPr>
          <w:rFonts w:ascii="Arial" w:hAnsi="Arial" w:cs="Arial"/>
          <w:sz w:val="24"/>
          <w:szCs w:val="24"/>
        </w:rPr>
      </w:pPr>
      <w:r>
        <w:rPr>
          <w:rFonts w:ascii="Arial" w:hAnsi="Arial" w:cs="Arial"/>
          <w:sz w:val="24"/>
          <w:szCs w:val="24"/>
        </w:rPr>
        <w:t>Please indicate what year of actual data was used to develop Wasaga’s load forecast as part of its 2012 cost of service proceeding.</w:t>
      </w:r>
    </w:p>
    <w:p w:rsidR="005E2BA4" w:rsidRDefault="005E2BA4" w:rsidP="005E2BA4">
      <w:pPr>
        <w:pStyle w:val="ListParagraph"/>
        <w:numPr>
          <w:ilvl w:val="0"/>
          <w:numId w:val="38"/>
        </w:numPr>
        <w:rPr>
          <w:rFonts w:ascii="Arial" w:hAnsi="Arial" w:cs="Arial"/>
          <w:sz w:val="24"/>
          <w:szCs w:val="24"/>
        </w:rPr>
      </w:pPr>
      <w:r>
        <w:rPr>
          <w:rFonts w:ascii="Arial" w:hAnsi="Arial" w:cs="Arial"/>
          <w:sz w:val="24"/>
          <w:szCs w:val="24"/>
        </w:rPr>
        <w:t>In the event that 2011 actual data was used to develop the load forecast, please discuss the appropriateness of claiming 2011 persisting CDM savings into 2015 as these savings would already be built into Wasaga’s rates through its load forecast.</w:t>
      </w:r>
    </w:p>
    <w:p w:rsidR="008775CE" w:rsidRDefault="005E2BA4" w:rsidP="008775CE">
      <w:pPr>
        <w:pStyle w:val="ListParagraph"/>
        <w:numPr>
          <w:ilvl w:val="0"/>
          <w:numId w:val="38"/>
        </w:numPr>
        <w:rPr>
          <w:rFonts w:ascii="Arial" w:hAnsi="Arial" w:cs="Arial"/>
          <w:sz w:val="24"/>
          <w:szCs w:val="24"/>
        </w:rPr>
      </w:pPr>
      <w:r>
        <w:rPr>
          <w:rFonts w:ascii="Arial" w:hAnsi="Arial" w:cs="Arial"/>
          <w:sz w:val="24"/>
          <w:szCs w:val="24"/>
        </w:rPr>
        <w:t>P</w:t>
      </w:r>
      <w:r w:rsidRPr="00D16E00">
        <w:rPr>
          <w:rFonts w:ascii="Arial" w:hAnsi="Arial" w:cs="Arial"/>
          <w:sz w:val="24"/>
          <w:szCs w:val="24"/>
        </w:rPr>
        <w:t xml:space="preserve">lease </w:t>
      </w:r>
      <w:r>
        <w:rPr>
          <w:rFonts w:ascii="Arial" w:hAnsi="Arial" w:cs="Arial"/>
          <w:sz w:val="24"/>
          <w:szCs w:val="24"/>
        </w:rPr>
        <w:t xml:space="preserve">exclude all savings related to 2011 CDM programs from the </w:t>
      </w:r>
      <w:r w:rsidRPr="00D16E00">
        <w:rPr>
          <w:rFonts w:ascii="Arial" w:hAnsi="Arial" w:cs="Arial"/>
          <w:sz w:val="24"/>
          <w:szCs w:val="24"/>
        </w:rPr>
        <w:t>LRAM claim</w:t>
      </w:r>
      <w:r>
        <w:rPr>
          <w:rFonts w:ascii="Arial" w:hAnsi="Arial" w:cs="Arial"/>
          <w:sz w:val="24"/>
          <w:szCs w:val="24"/>
        </w:rPr>
        <w:t xml:space="preserve"> and provide an updated LRAMVA workform.</w:t>
      </w:r>
    </w:p>
    <w:p w:rsidR="00EE5954" w:rsidRDefault="00EE5954" w:rsidP="00EE5954">
      <w:pPr>
        <w:pStyle w:val="ListParagraph"/>
        <w:rPr>
          <w:rFonts w:ascii="Arial" w:hAnsi="Arial" w:cs="Arial"/>
          <w:sz w:val="24"/>
          <w:szCs w:val="24"/>
        </w:rPr>
      </w:pPr>
    </w:p>
    <w:p w:rsidR="00EE5954" w:rsidRDefault="009D0533" w:rsidP="009D0533">
      <w:pPr>
        <w:rPr>
          <w:rFonts w:ascii="Arial" w:hAnsi="Arial" w:cs="Arial"/>
          <w:color w:val="1F497D" w:themeColor="text2"/>
          <w:sz w:val="24"/>
          <w:szCs w:val="24"/>
        </w:rPr>
      </w:pPr>
      <w:r w:rsidRPr="00C31227">
        <w:rPr>
          <w:rFonts w:ascii="Arial" w:hAnsi="Arial" w:cs="Arial"/>
          <w:color w:val="1F497D" w:themeColor="text2"/>
          <w:sz w:val="24"/>
          <w:szCs w:val="24"/>
        </w:rPr>
        <w:t>WDI Response</w:t>
      </w:r>
      <w:r>
        <w:rPr>
          <w:rFonts w:ascii="Arial" w:hAnsi="Arial" w:cs="Arial"/>
          <w:color w:val="1F497D" w:themeColor="text2"/>
          <w:sz w:val="24"/>
          <w:szCs w:val="24"/>
        </w:rPr>
        <w:t>:</w:t>
      </w:r>
    </w:p>
    <w:p w:rsidR="009D0533" w:rsidRPr="009D0533" w:rsidRDefault="009D0533" w:rsidP="009D0533">
      <w:pPr>
        <w:pStyle w:val="ListParagraph"/>
        <w:numPr>
          <w:ilvl w:val="0"/>
          <w:numId w:val="39"/>
        </w:numPr>
        <w:rPr>
          <w:rFonts w:ascii="Arial" w:hAnsi="Arial" w:cs="Arial"/>
          <w:color w:val="1F497D" w:themeColor="text2"/>
          <w:sz w:val="24"/>
          <w:szCs w:val="24"/>
        </w:rPr>
      </w:pPr>
      <w:r w:rsidRPr="009D0533">
        <w:rPr>
          <w:rFonts w:ascii="Arial" w:hAnsi="Arial" w:cs="Arial"/>
          <w:color w:val="1F497D" w:themeColor="text2"/>
          <w:sz w:val="24"/>
          <w:szCs w:val="24"/>
        </w:rPr>
        <w:t>Wasaga used 2011 actual data as part of its 2012 cost of service proceeding in developing Wasaga’s load forecast</w:t>
      </w:r>
    </w:p>
    <w:p w:rsidR="009D0533" w:rsidRPr="009D0533" w:rsidRDefault="009D0533" w:rsidP="009D0533">
      <w:pPr>
        <w:pStyle w:val="ListParagraph"/>
        <w:numPr>
          <w:ilvl w:val="0"/>
          <w:numId w:val="39"/>
        </w:numPr>
        <w:rPr>
          <w:rFonts w:ascii="Arial" w:hAnsi="Arial" w:cs="Arial"/>
          <w:color w:val="1F497D" w:themeColor="text2"/>
          <w:sz w:val="24"/>
          <w:szCs w:val="24"/>
        </w:rPr>
      </w:pPr>
      <w:r w:rsidRPr="009D0533">
        <w:rPr>
          <w:rFonts w:ascii="Arial" w:hAnsi="Arial" w:cs="Arial"/>
          <w:color w:val="1F497D" w:themeColor="text2"/>
          <w:sz w:val="24"/>
          <w:szCs w:val="24"/>
        </w:rPr>
        <w:t xml:space="preserve">Due to the methodology used in Load Forecasting and adoption of the 2011-2014 CDM programs, starting in 2011 – particularly for residential CDM programs.  WDI does not feel that the impact on CDM on the overall load was significant enough for the regression analysis to accurately identify the impact on CDM in 2011 and correctly predict what this impact would have had in 2012 and therefore it is WDI’s belief that CDM has had a larger impact on revenues beyond what has been asked. With respect to this issue, WDI would not dispute OEB staff position.  </w:t>
      </w:r>
    </w:p>
    <w:p w:rsidR="009D0533" w:rsidRPr="009D0533" w:rsidRDefault="009D0533" w:rsidP="009D0533">
      <w:pPr>
        <w:pStyle w:val="ListParagraph"/>
        <w:numPr>
          <w:ilvl w:val="0"/>
          <w:numId w:val="39"/>
        </w:numPr>
        <w:rPr>
          <w:rFonts w:ascii="Arial" w:hAnsi="Arial" w:cs="Arial"/>
          <w:color w:val="1F497D" w:themeColor="text2"/>
          <w:sz w:val="24"/>
          <w:szCs w:val="24"/>
        </w:rPr>
      </w:pPr>
      <w:r w:rsidRPr="009D0533">
        <w:rPr>
          <w:rFonts w:ascii="Arial" w:hAnsi="Arial" w:cs="Arial"/>
          <w:color w:val="1F497D" w:themeColor="text2"/>
          <w:sz w:val="24"/>
          <w:szCs w:val="24"/>
        </w:rPr>
        <w:t xml:space="preserve">Wasaga has removed 2011 CDM persistence savings from the LRAMVA model (2012-2015) and submitted a revised LRAMVA workform in response. </w:t>
      </w:r>
    </w:p>
    <w:p w:rsidR="0089735A" w:rsidRDefault="0089735A" w:rsidP="008775CE">
      <w:pPr>
        <w:rPr>
          <w:rFonts w:ascii="Arial" w:hAnsi="Arial" w:cs="Arial"/>
          <w:b/>
          <w:sz w:val="24"/>
          <w:szCs w:val="24"/>
          <w:u w:val="single"/>
        </w:rPr>
      </w:pPr>
      <w:bookmarkStart w:id="0" w:name="_GoBack"/>
      <w:bookmarkEnd w:id="0"/>
    </w:p>
    <w:p w:rsidR="0089735A" w:rsidRDefault="0089735A" w:rsidP="008775CE">
      <w:pPr>
        <w:rPr>
          <w:rFonts w:ascii="Arial" w:hAnsi="Arial" w:cs="Arial"/>
          <w:b/>
          <w:sz w:val="24"/>
          <w:szCs w:val="24"/>
          <w:u w:val="single"/>
        </w:rPr>
      </w:pPr>
    </w:p>
    <w:p w:rsidR="0089735A" w:rsidRDefault="0089735A" w:rsidP="008775CE">
      <w:pPr>
        <w:rPr>
          <w:rFonts w:ascii="Arial" w:hAnsi="Arial" w:cs="Arial"/>
          <w:b/>
          <w:sz w:val="24"/>
          <w:szCs w:val="24"/>
          <w:u w:val="single"/>
        </w:rPr>
      </w:pPr>
    </w:p>
    <w:p w:rsidR="008775CE" w:rsidRPr="00304228" w:rsidRDefault="008775CE" w:rsidP="008775CE">
      <w:pPr>
        <w:rPr>
          <w:rFonts w:ascii="Arial" w:hAnsi="Arial" w:cs="Arial"/>
          <w:b/>
          <w:sz w:val="24"/>
          <w:szCs w:val="24"/>
          <w:u w:val="single"/>
        </w:rPr>
      </w:pPr>
      <w:r w:rsidRPr="00304228">
        <w:rPr>
          <w:rFonts w:ascii="Arial" w:hAnsi="Arial" w:cs="Arial"/>
          <w:b/>
          <w:sz w:val="24"/>
          <w:szCs w:val="24"/>
          <w:u w:val="single"/>
        </w:rPr>
        <w:lastRenderedPageBreak/>
        <w:t>Updates to IRM Model made by OEB staff</w:t>
      </w:r>
    </w:p>
    <w:p w:rsidR="008775CE" w:rsidRDefault="008775CE" w:rsidP="008775CE">
      <w:pPr>
        <w:pStyle w:val="ListParagraph"/>
        <w:numPr>
          <w:ilvl w:val="0"/>
          <w:numId w:val="6"/>
        </w:numPr>
        <w:rPr>
          <w:rFonts w:ascii="Arial" w:hAnsi="Arial" w:cs="Arial"/>
          <w:b/>
          <w:sz w:val="24"/>
          <w:szCs w:val="24"/>
        </w:rPr>
      </w:pPr>
      <w:r>
        <w:rPr>
          <w:rFonts w:ascii="Arial" w:hAnsi="Arial" w:cs="Arial"/>
          <w:b/>
          <w:sz w:val="24"/>
          <w:szCs w:val="24"/>
        </w:rPr>
        <w:t>Tab 16: GDP-IPI</w:t>
      </w:r>
    </w:p>
    <w:p w:rsidR="008775CE" w:rsidRDefault="008775CE" w:rsidP="00931765">
      <w:pPr>
        <w:pStyle w:val="ListParagraph"/>
        <w:rPr>
          <w:rFonts w:ascii="Arial" w:hAnsi="Arial" w:cs="Arial"/>
          <w:sz w:val="24"/>
          <w:szCs w:val="24"/>
        </w:rPr>
      </w:pPr>
      <w:r w:rsidRPr="00931288">
        <w:rPr>
          <w:rFonts w:ascii="Arial" w:hAnsi="Arial" w:cs="Arial"/>
          <w:sz w:val="24"/>
          <w:szCs w:val="24"/>
        </w:rPr>
        <w:t xml:space="preserve">Consistent with the policy determinations set out in the Report of the Board on Rate Setting Parameters and Benchmarking under the Renewed Regulatory Framework for Ontario's Electricity Distributors (EB-2010-0379) (Issued November 21, 2013 and updated December 4, 2013), the OEB has calculated the value of the inflation factor for incentive rate setting under the Price Cap IR and Annual Index plans, for rate changes effective in 2017, to be 1.9%. </w:t>
      </w:r>
      <w:r>
        <w:rPr>
          <w:rFonts w:ascii="Arial" w:hAnsi="Arial" w:cs="Arial"/>
          <w:sz w:val="24"/>
          <w:szCs w:val="24"/>
        </w:rPr>
        <w:t>OEB staff has updated</w:t>
      </w:r>
      <w:r w:rsidRPr="00931288">
        <w:rPr>
          <w:rFonts w:ascii="Arial" w:hAnsi="Arial" w:cs="Arial"/>
          <w:sz w:val="24"/>
          <w:szCs w:val="24"/>
        </w:rPr>
        <w:t xml:space="preserve"> the price escalator </w:t>
      </w:r>
      <w:r>
        <w:rPr>
          <w:rFonts w:ascii="Arial" w:hAnsi="Arial" w:cs="Arial"/>
          <w:sz w:val="24"/>
          <w:szCs w:val="24"/>
        </w:rPr>
        <w:t xml:space="preserve">on tab 16 of </w:t>
      </w:r>
      <w:r w:rsidR="00931765">
        <w:rPr>
          <w:rFonts w:ascii="Arial" w:hAnsi="Arial" w:cs="Arial"/>
          <w:sz w:val="24"/>
          <w:szCs w:val="24"/>
        </w:rPr>
        <w:t>Wasaga Distribution</w:t>
      </w:r>
      <w:r>
        <w:rPr>
          <w:rFonts w:ascii="Arial" w:hAnsi="Arial" w:cs="Arial"/>
          <w:sz w:val="24"/>
          <w:szCs w:val="24"/>
        </w:rPr>
        <w:t>’</w:t>
      </w:r>
      <w:r w:rsidR="00931765">
        <w:rPr>
          <w:rFonts w:ascii="Arial" w:hAnsi="Arial" w:cs="Arial"/>
          <w:sz w:val="24"/>
          <w:szCs w:val="24"/>
        </w:rPr>
        <w:t xml:space="preserve">s </w:t>
      </w:r>
      <w:r w:rsidRPr="00931765">
        <w:rPr>
          <w:rFonts w:ascii="Arial" w:hAnsi="Arial" w:cs="Arial"/>
          <w:sz w:val="24"/>
          <w:szCs w:val="24"/>
        </w:rPr>
        <w:t>IRM model.</w:t>
      </w:r>
    </w:p>
    <w:p w:rsidR="00C31227" w:rsidRDefault="00C31227" w:rsidP="00931765">
      <w:pPr>
        <w:pStyle w:val="ListParagraph"/>
        <w:rPr>
          <w:rFonts w:ascii="Arial" w:hAnsi="Arial" w:cs="Arial"/>
          <w:sz w:val="24"/>
          <w:szCs w:val="24"/>
        </w:rPr>
      </w:pPr>
    </w:p>
    <w:p w:rsidR="00C31227" w:rsidRPr="00C31227" w:rsidRDefault="00C31227" w:rsidP="00931765">
      <w:pPr>
        <w:pStyle w:val="ListParagraph"/>
        <w:rPr>
          <w:rFonts w:ascii="Arial" w:hAnsi="Arial" w:cs="Arial"/>
          <w:color w:val="1F497D" w:themeColor="text2"/>
          <w:sz w:val="24"/>
          <w:szCs w:val="24"/>
        </w:rPr>
      </w:pPr>
      <w:r w:rsidRPr="00C31227">
        <w:rPr>
          <w:rFonts w:ascii="Arial" w:hAnsi="Arial" w:cs="Arial"/>
          <w:color w:val="1F497D" w:themeColor="text2"/>
          <w:sz w:val="24"/>
          <w:szCs w:val="24"/>
        </w:rPr>
        <w:t>Thank you</w:t>
      </w:r>
    </w:p>
    <w:p w:rsidR="00290389" w:rsidRDefault="00290389" w:rsidP="00931765">
      <w:pPr>
        <w:pStyle w:val="ListParagraph"/>
        <w:rPr>
          <w:rFonts w:ascii="Arial" w:hAnsi="Arial" w:cs="Arial"/>
          <w:sz w:val="24"/>
          <w:szCs w:val="24"/>
        </w:rPr>
      </w:pPr>
    </w:p>
    <w:p w:rsidR="00931765" w:rsidRDefault="00290389" w:rsidP="00931765">
      <w:pPr>
        <w:pStyle w:val="ListParagraph"/>
        <w:numPr>
          <w:ilvl w:val="0"/>
          <w:numId w:val="6"/>
        </w:numPr>
        <w:rPr>
          <w:rFonts w:ascii="Arial" w:hAnsi="Arial" w:cs="Arial"/>
          <w:b/>
          <w:sz w:val="24"/>
          <w:szCs w:val="24"/>
        </w:rPr>
      </w:pPr>
      <w:r>
        <w:rPr>
          <w:rFonts w:ascii="Arial" w:hAnsi="Arial" w:cs="Arial"/>
          <w:b/>
          <w:sz w:val="24"/>
          <w:szCs w:val="24"/>
        </w:rPr>
        <w:t>Tab 20: save additional rate classes</w:t>
      </w:r>
    </w:p>
    <w:p w:rsidR="00290389" w:rsidRPr="00290389" w:rsidRDefault="00290389" w:rsidP="00290389">
      <w:pPr>
        <w:pStyle w:val="ListParagraph"/>
        <w:rPr>
          <w:rFonts w:ascii="Arial" w:hAnsi="Arial" w:cs="Arial"/>
          <w:sz w:val="24"/>
          <w:szCs w:val="24"/>
        </w:rPr>
      </w:pPr>
      <w:r>
        <w:rPr>
          <w:rFonts w:ascii="Arial" w:hAnsi="Arial" w:cs="Arial"/>
          <w:sz w:val="24"/>
          <w:szCs w:val="24"/>
        </w:rPr>
        <w:t>OEB staff has fixed the IRM model to save the additional rate classes on tab 20. “Residential Service Classification” has been saved in row 35 and 36.</w:t>
      </w:r>
    </w:p>
    <w:p w:rsidR="00931765" w:rsidRPr="00931765" w:rsidRDefault="00C31227" w:rsidP="00931765">
      <w:pPr>
        <w:rPr>
          <w:rFonts w:ascii="Arial" w:hAnsi="Arial" w:cs="Arial"/>
          <w:sz w:val="24"/>
          <w:szCs w:val="24"/>
        </w:rPr>
      </w:pPr>
      <w:r>
        <w:rPr>
          <w:rFonts w:ascii="Arial" w:hAnsi="Arial" w:cs="Arial"/>
          <w:sz w:val="24"/>
          <w:szCs w:val="24"/>
        </w:rPr>
        <w:tab/>
      </w:r>
      <w:r w:rsidRPr="00C31227">
        <w:rPr>
          <w:rFonts w:ascii="Arial" w:hAnsi="Arial" w:cs="Arial"/>
          <w:color w:val="1F497D" w:themeColor="text2"/>
          <w:sz w:val="24"/>
          <w:szCs w:val="24"/>
        </w:rPr>
        <w:t>Thank you</w:t>
      </w:r>
    </w:p>
    <w:p w:rsidR="008775CE" w:rsidRPr="008775CE" w:rsidRDefault="008775CE" w:rsidP="008775CE">
      <w:pPr>
        <w:rPr>
          <w:rFonts w:ascii="Arial" w:hAnsi="Arial" w:cs="Arial"/>
          <w:b/>
          <w:sz w:val="24"/>
          <w:szCs w:val="24"/>
        </w:rPr>
      </w:pPr>
    </w:p>
    <w:p w:rsidR="00145A2B" w:rsidRDefault="00DA09D0" w:rsidP="00DA09D0">
      <w:pPr>
        <w:ind w:left="720"/>
        <w:rPr>
          <w:rFonts w:ascii="Arial" w:hAnsi="Arial" w:cs="Arial"/>
          <w:b/>
          <w:color w:val="1F497D" w:themeColor="text2"/>
          <w:sz w:val="24"/>
          <w:szCs w:val="24"/>
        </w:rPr>
      </w:pPr>
      <w:r>
        <w:rPr>
          <w:rFonts w:ascii="Arial" w:hAnsi="Arial" w:cs="Arial"/>
          <w:sz w:val="24"/>
          <w:szCs w:val="24"/>
        </w:rPr>
        <w:t xml:space="preserve"> </w:t>
      </w:r>
      <w:proofErr w:type="gramStart"/>
      <w:r w:rsidR="00C31227" w:rsidRPr="00C31227">
        <w:rPr>
          <w:rFonts w:ascii="Arial" w:hAnsi="Arial" w:cs="Arial"/>
          <w:b/>
          <w:color w:val="1F497D" w:themeColor="text2"/>
          <w:sz w:val="24"/>
          <w:szCs w:val="24"/>
        </w:rPr>
        <w:t>Respectfully submitted.</w:t>
      </w:r>
      <w:proofErr w:type="gramEnd"/>
      <w:r w:rsidR="00C31227" w:rsidRPr="00C31227">
        <w:rPr>
          <w:rFonts w:ascii="Arial" w:hAnsi="Arial" w:cs="Arial"/>
          <w:b/>
          <w:color w:val="1F497D" w:themeColor="text2"/>
          <w:sz w:val="24"/>
          <w:szCs w:val="24"/>
        </w:rPr>
        <w:t xml:space="preserve"> </w:t>
      </w:r>
    </w:p>
    <w:p w:rsidR="00C31227" w:rsidRPr="00C31227" w:rsidRDefault="009D0533" w:rsidP="00DA09D0">
      <w:pPr>
        <w:ind w:left="720"/>
        <w:rPr>
          <w:rFonts w:ascii="Arial" w:hAnsi="Arial" w:cs="Arial"/>
          <w:b/>
          <w:sz w:val="24"/>
          <w:szCs w:val="24"/>
        </w:rPr>
      </w:pPr>
      <w:r>
        <w:rPr>
          <w:rFonts w:ascii="Arial" w:hAnsi="Arial" w:cs="Arial"/>
          <w:b/>
          <w:color w:val="1F497D" w:themeColor="text2"/>
          <w:sz w:val="24"/>
          <w:szCs w:val="24"/>
        </w:rPr>
        <w:t>November 24</w:t>
      </w:r>
      <w:r w:rsidR="00C31227">
        <w:rPr>
          <w:rFonts w:ascii="Arial" w:hAnsi="Arial" w:cs="Arial"/>
          <w:b/>
          <w:color w:val="1F497D" w:themeColor="text2"/>
          <w:sz w:val="24"/>
          <w:szCs w:val="24"/>
        </w:rPr>
        <w:t>, 2016</w:t>
      </w:r>
    </w:p>
    <w:sectPr w:rsidR="00C31227" w:rsidRPr="00C31227" w:rsidSect="000D3025">
      <w:headerReference w:type="default" r:id="rId15"/>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18" w:rsidRDefault="00851418" w:rsidP="00851418">
      <w:pPr>
        <w:spacing w:after="0" w:line="240" w:lineRule="auto"/>
      </w:pPr>
      <w:r>
        <w:separator/>
      </w:r>
    </w:p>
  </w:endnote>
  <w:endnote w:type="continuationSeparator" w:id="0">
    <w:p w:rsidR="00851418" w:rsidRDefault="00851418"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18" w:rsidRDefault="00851418" w:rsidP="00851418">
      <w:pPr>
        <w:spacing w:after="0" w:line="240" w:lineRule="auto"/>
      </w:pPr>
      <w:r>
        <w:separator/>
      </w:r>
    </w:p>
  </w:footnote>
  <w:footnote w:type="continuationSeparator" w:id="0">
    <w:p w:rsidR="00851418" w:rsidRDefault="00851418" w:rsidP="00851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18" w:rsidRDefault="00D5062F">
    <w:pPr>
      <w:pStyle w:val="Header"/>
    </w:pPr>
    <w:r>
      <w:ptab w:relativeTo="margin" w:alignment="center" w:leader="none"/>
    </w:r>
    <w:r>
      <w:ptab w:relativeTo="margin" w:alignment="right" w:leader="none"/>
    </w:r>
    <w:r w:rsidR="00A9257F">
      <w:t xml:space="preserve"> Wasaga Distribution Inc.</w:t>
    </w:r>
  </w:p>
  <w:p w:rsidR="00D5062F" w:rsidRDefault="00D5062F" w:rsidP="0060096F">
    <w:pPr>
      <w:pStyle w:val="Header"/>
      <w:jc w:val="right"/>
    </w:pPr>
    <w:r>
      <w:tab/>
    </w:r>
    <w:r>
      <w:tab/>
    </w:r>
    <w:r w:rsidR="00A9257F">
      <w:t>EB-2016-0108</w:t>
    </w:r>
    <w:r w:rsidR="002F18DE">
      <w:t xml:space="preserve"> </w:t>
    </w:r>
  </w:p>
  <w:p w:rsidR="00D5062F" w:rsidRDefault="00D5062F" w:rsidP="0060096F">
    <w:pPr>
      <w:pStyle w:val="Header"/>
      <w:jc w:val="right"/>
    </w:pPr>
    <w:r>
      <w:tab/>
    </w:r>
    <w:r>
      <w:tab/>
    </w:r>
    <w:r w:rsidR="0060096F">
      <w:t xml:space="preserve">     </w:t>
    </w:r>
    <w:r>
      <w:t xml:space="preserve">Page </w:t>
    </w:r>
    <w:r>
      <w:rPr>
        <w:b/>
      </w:rPr>
      <w:fldChar w:fldCharType="begin"/>
    </w:r>
    <w:r>
      <w:rPr>
        <w:b/>
      </w:rPr>
      <w:instrText xml:space="preserve"> PAGE  \* Arabic  \* MERGEFORMAT </w:instrText>
    </w:r>
    <w:r>
      <w:rPr>
        <w:b/>
      </w:rPr>
      <w:fldChar w:fldCharType="separate"/>
    </w:r>
    <w:r w:rsidR="009D0533">
      <w:rPr>
        <w:b/>
        <w:noProof/>
      </w:rPr>
      <w:t>8</w:t>
    </w:r>
    <w:r>
      <w:rPr>
        <w:b/>
      </w:rPr>
      <w:fldChar w:fldCharType="end"/>
    </w:r>
    <w:r>
      <w:t xml:space="preserve"> of </w:t>
    </w:r>
    <w:r>
      <w:rPr>
        <w:b/>
      </w:rPr>
      <w:fldChar w:fldCharType="begin"/>
    </w:r>
    <w:r>
      <w:rPr>
        <w:b/>
      </w:rPr>
      <w:instrText xml:space="preserve"> NUMPAGES  \* Arabic  \* MERGEFORMAT </w:instrText>
    </w:r>
    <w:r>
      <w:rPr>
        <w:b/>
      </w:rPr>
      <w:fldChar w:fldCharType="separate"/>
    </w:r>
    <w:r w:rsidR="009D0533">
      <w:rPr>
        <w:b/>
        <w:noProof/>
      </w:rPr>
      <w:t>9</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nsid w:val="046B1D49"/>
    <w:multiLevelType w:val="hybridMultilevel"/>
    <w:tmpl w:val="313E82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4">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4FF3D37"/>
    <w:multiLevelType w:val="hybridMultilevel"/>
    <w:tmpl w:val="3E0E173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38E4755"/>
    <w:multiLevelType w:val="hybridMultilevel"/>
    <w:tmpl w:val="132029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6B94E54"/>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CF84EDD"/>
    <w:multiLevelType w:val="hybridMultilevel"/>
    <w:tmpl w:val="2B9E97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D9571DD"/>
    <w:multiLevelType w:val="hybridMultilevel"/>
    <w:tmpl w:val="2B9E97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DA67D52"/>
    <w:multiLevelType w:val="hybridMultilevel"/>
    <w:tmpl w:val="2402BF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1A138EF"/>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nsid w:val="39441685"/>
    <w:multiLevelType w:val="hybridMultilevel"/>
    <w:tmpl w:val="787E0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E00446F"/>
    <w:multiLevelType w:val="hybridMultilevel"/>
    <w:tmpl w:val="319E02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1">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2">
    <w:nsid w:val="440709F6"/>
    <w:multiLevelType w:val="hybridMultilevel"/>
    <w:tmpl w:val="F73C84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83025D7"/>
    <w:multiLevelType w:val="hybridMultilevel"/>
    <w:tmpl w:val="272C4690"/>
    <w:lvl w:ilvl="0" w:tplc="7E3C4C3C">
      <w:start w:val="1"/>
      <w:numFmt w:val="lowerLetter"/>
      <w:lvlText w:val="%1)"/>
      <w:lvlJc w:val="left"/>
      <w:pPr>
        <w:ind w:left="645" w:hanging="360"/>
      </w:pPr>
      <w:rPr>
        <w:rFonts w:hint="default"/>
      </w:rPr>
    </w:lvl>
    <w:lvl w:ilvl="1" w:tplc="10090019" w:tentative="1">
      <w:start w:val="1"/>
      <w:numFmt w:val="lowerLetter"/>
      <w:lvlText w:val="%2."/>
      <w:lvlJc w:val="left"/>
      <w:pPr>
        <w:ind w:left="1365" w:hanging="360"/>
      </w:pPr>
    </w:lvl>
    <w:lvl w:ilvl="2" w:tplc="1009001B" w:tentative="1">
      <w:start w:val="1"/>
      <w:numFmt w:val="lowerRoman"/>
      <w:lvlText w:val="%3."/>
      <w:lvlJc w:val="right"/>
      <w:pPr>
        <w:ind w:left="2085" w:hanging="180"/>
      </w:pPr>
    </w:lvl>
    <w:lvl w:ilvl="3" w:tplc="1009000F" w:tentative="1">
      <w:start w:val="1"/>
      <w:numFmt w:val="decimal"/>
      <w:lvlText w:val="%4."/>
      <w:lvlJc w:val="left"/>
      <w:pPr>
        <w:ind w:left="2805" w:hanging="360"/>
      </w:pPr>
    </w:lvl>
    <w:lvl w:ilvl="4" w:tplc="10090019" w:tentative="1">
      <w:start w:val="1"/>
      <w:numFmt w:val="lowerLetter"/>
      <w:lvlText w:val="%5."/>
      <w:lvlJc w:val="left"/>
      <w:pPr>
        <w:ind w:left="3525" w:hanging="360"/>
      </w:pPr>
    </w:lvl>
    <w:lvl w:ilvl="5" w:tplc="1009001B" w:tentative="1">
      <w:start w:val="1"/>
      <w:numFmt w:val="lowerRoman"/>
      <w:lvlText w:val="%6."/>
      <w:lvlJc w:val="right"/>
      <w:pPr>
        <w:ind w:left="4245" w:hanging="180"/>
      </w:pPr>
    </w:lvl>
    <w:lvl w:ilvl="6" w:tplc="1009000F" w:tentative="1">
      <w:start w:val="1"/>
      <w:numFmt w:val="decimal"/>
      <w:lvlText w:val="%7."/>
      <w:lvlJc w:val="left"/>
      <w:pPr>
        <w:ind w:left="4965" w:hanging="360"/>
      </w:pPr>
    </w:lvl>
    <w:lvl w:ilvl="7" w:tplc="10090019" w:tentative="1">
      <w:start w:val="1"/>
      <w:numFmt w:val="lowerLetter"/>
      <w:lvlText w:val="%8."/>
      <w:lvlJc w:val="left"/>
      <w:pPr>
        <w:ind w:left="5685" w:hanging="360"/>
      </w:pPr>
    </w:lvl>
    <w:lvl w:ilvl="8" w:tplc="1009001B" w:tentative="1">
      <w:start w:val="1"/>
      <w:numFmt w:val="lowerRoman"/>
      <w:lvlText w:val="%9."/>
      <w:lvlJc w:val="right"/>
      <w:pPr>
        <w:ind w:left="6405" w:hanging="180"/>
      </w:pPr>
    </w:lvl>
  </w:abstractNum>
  <w:abstractNum w:abstractNumId="24">
    <w:nsid w:val="513B105D"/>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2491044"/>
    <w:multiLevelType w:val="hybridMultilevel"/>
    <w:tmpl w:val="E8CA43EA"/>
    <w:lvl w:ilvl="0" w:tplc="B972C29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8">
    <w:nsid w:val="5B30124D"/>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9">
    <w:nsid w:val="5BA47B7E"/>
    <w:multiLevelType w:val="hybridMultilevel"/>
    <w:tmpl w:val="E1EEED4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1813E11"/>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4181AB2"/>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87563A8"/>
    <w:multiLevelType w:val="hybridMultilevel"/>
    <w:tmpl w:val="E38E7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98D668A"/>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C40644A"/>
    <w:multiLevelType w:val="hybridMultilevel"/>
    <w:tmpl w:val="626A07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C8D0B09"/>
    <w:multiLevelType w:val="hybridMultilevel"/>
    <w:tmpl w:val="0C2A0F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2"/>
  </w:num>
  <w:num w:numId="2">
    <w:abstractNumId w:val="7"/>
  </w:num>
  <w:num w:numId="3">
    <w:abstractNumId w:val="12"/>
  </w:num>
  <w:num w:numId="4">
    <w:abstractNumId w:val="10"/>
  </w:num>
  <w:num w:numId="5">
    <w:abstractNumId w:val="11"/>
  </w:num>
  <w:num w:numId="6">
    <w:abstractNumId w:val="18"/>
  </w:num>
  <w:num w:numId="7">
    <w:abstractNumId w:val="26"/>
  </w:num>
  <w:num w:numId="8">
    <w:abstractNumId w:val="30"/>
  </w:num>
  <w:num w:numId="9">
    <w:abstractNumId w:val="4"/>
  </w:num>
  <w:num w:numId="10">
    <w:abstractNumId w:val="0"/>
  </w:num>
  <w:num w:numId="11">
    <w:abstractNumId w:val="21"/>
  </w:num>
  <w:num w:numId="12">
    <w:abstractNumId w:val="16"/>
  </w:num>
  <w:num w:numId="13">
    <w:abstractNumId w:val="31"/>
  </w:num>
  <w:num w:numId="14">
    <w:abstractNumId w:val="5"/>
  </w:num>
  <w:num w:numId="15">
    <w:abstractNumId w:val="27"/>
  </w:num>
  <w:num w:numId="16">
    <w:abstractNumId w:val="2"/>
  </w:num>
  <w:num w:numId="17">
    <w:abstractNumId w:val="17"/>
  </w:num>
  <w:num w:numId="18">
    <w:abstractNumId w:val="3"/>
  </w:num>
  <w:num w:numId="19">
    <w:abstractNumId w:val="20"/>
  </w:num>
  <w:num w:numId="20">
    <w:abstractNumId w:val="28"/>
  </w:num>
  <w:num w:numId="21">
    <w:abstractNumId w:val="8"/>
  </w:num>
  <w:num w:numId="22">
    <w:abstractNumId w:val="34"/>
  </w:num>
  <w:num w:numId="23">
    <w:abstractNumId w:val="19"/>
  </w:num>
  <w:num w:numId="24">
    <w:abstractNumId w:val="38"/>
  </w:num>
  <w:num w:numId="25">
    <w:abstractNumId w:val="1"/>
  </w:num>
  <w:num w:numId="26">
    <w:abstractNumId w:val="33"/>
  </w:num>
  <w:num w:numId="27">
    <w:abstractNumId w:val="9"/>
  </w:num>
  <w:num w:numId="28">
    <w:abstractNumId w:val="36"/>
  </w:num>
  <w:num w:numId="29">
    <w:abstractNumId w:val="35"/>
  </w:num>
  <w:num w:numId="30">
    <w:abstractNumId w:val="13"/>
  </w:num>
  <w:num w:numId="31">
    <w:abstractNumId w:val="15"/>
  </w:num>
  <w:num w:numId="32">
    <w:abstractNumId w:val="24"/>
  </w:num>
  <w:num w:numId="33">
    <w:abstractNumId w:val="14"/>
  </w:num>
  <w:num w:numId="34">
    <w:abstractNumId w:val="22"/>
  </w:num>
  <w:num w:numId="35">
    <w:abstractNumId w:val="6"/>
  </w:num>
  <w:num w:numId="36">
    <w:abstractNumId w:val="29"/>
  </w:num>
  <w:num w:numId="37">
    <w:abstractNumId w:val="37"/>
  </w:num>
  <w:num w:numId="38">
    <w:abstractNumId w:val="2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8"/>
    <w:rsid w:val="00003BE1"/>
    <w:rsid w:val="0001354E"/>
    <w:rsid w:val="000414BC"/>
    <w:rsid w:val="00041BBD"/>
    <w:rsid w:val="0006116B"/>
    <w:rsid w:val="000811CC"/>
    <w:rsid w:val="000843ED"/>
    <w:rsid w:val="000C035C"/>
    <w:rsid w:val="000D2EAF"/>
    <w:rsid w:val="000D3025"/>
    <w:rsid w:val="000E4C7B"/>
    <w:rsid w:val="000E514C"/>
    <w:rsid w:val="00103F13"/>
    <w:rsid w:val="00145A2B"/>
    <w:rsid w:val="00146770"/>
    <w:rsid w:val="001563E4"/>
    <w:rsid w:val="0016286E"/>
    <w:rsid w:val="00163BCB"/>
    <w:rsid w:val="00165D34"/>
    <w:rsid w:val="001B2AD3"/>
    <w:rsid w:val="001C7CA4"/>
    <w:rsid w:val="001D7086"/>
    <w:rsid w:val="001E069B"/>
    <w:rsid w:val="001E1F20"/>
    <w:rsid w:val="001E7DA3"/>
    <w:rsid w:val="00204A40"/>
    <w:rsid w:val="00235656"/>
    <w:rsid w:val="002649D9"/>
    <w:rsid w:val="00270C4C"/>
    <w:rsid w:val="00275F39"/>
    <w:rsid w:val="00290389"/>
    <w:rsid w:val="00293086"/>
    <w:rsid w:val="00294A9A"/>
    <w:rsid w:val="002A72E9"/>
    <w:rsid w:val="002B321A"/>
    <w:rsid w:val="002B7C64"/>
    <w:rsid w:val="002C6C00"/>
    <w:rsid w:val="002D2F55"/>
    <w:rsid w:val="002F18DE"/>
    <w:rsid w:val="002F6DF1"/>
    <w:rsid w:val="00312024"/>
    <w:rsid w:val="00323BCB"/>
    <w:rsid w:val="0032442F"/>
    <w:rsid w:val="00330786"/>
    <w:rsid w:val="003421C4"/>
    <w:rsid w:val="0035397C"/>
    <w:rsid w:val="0037187A"/>
    <w:rsid w:val="0037285F"/>
    <w:rsid w:val="003747F2"/>
    <w:rsid w:val="003856F8"/>
    <w:rsid w:val="00394351"/>
    <w:rsid w:val="003A7960"/>
    <w:rsid w:val="003B75B5"/>
    <w:rsid w:val="003E076C"/>
    <w:rsid w:val="003E7D1C"/>
    <w:rsid w:val="003F7D01"/>
    <w:rsid w:val="004016BA"/>
    <w:rsid w:val="00412DC6"/>
    <w:rsid w:val="0043497A"/>
    <w:rsid w:val="004367EE"/>
    <w:rsid w:val="00464D00"/>
    <w:rsid w:val="00471B90"/>
    <w:rsid w:val="00476264"/>
    <w:rsid w:val="00480429"/>
    <w:rsid w:val="004A5F89"/>
    <w:rsid w:val="004D46E0"/>
    <w:rsid w:val="005072D9"/>
    <w:rsid w:val="00511282"/>
    <w:rsid w:val="005117CF"/>
    <w:rsid w:val="005216D6"/>
    <w:rsid w:val="005224FF"/>
    <w:rsid w:val="0053347F"/>
    <w:rsid w:val="00553269"/>
    <w:rsid w:val="0055352F"/>
    <w:rsid w:val="00553935"/>
    <w:rsid w:val="0058048C"/>
    <w:rsid w:val="005B4AF6"/>
    <w:rsid w:val="005B4C39"/>
    <w:rsid w:val="005C44AD"/>
    <w:rsid w:val="005C5C6B"/>
    <w:rsid w:val="005E2BA4"/>
    <w:rsid w:val="0060096F"/>
    <w:rsid w:val="00601C3B"/>
    <w:rsid w:val="0060662D"/>
    <w:rsid w:val="006125B7"/>
    <w:rsid w:val="00626512"/>
    <w:rsid w:val="00634992"/>
    <w:rsid w:val="006561C4"/>
    <w:rsid w:val="006604B5"/>
    <w:rsid w:val="00663600"/>
    <w:rsid w:val="006857F7"/>
    <w:rsid w:val="0069057C"/>
    <w:rsid w:val="00691C29"/>
    <w:rsid w:val="00692FC5"/>
    <w:rsid w:val="00693C4F"/>
    <w:rsid w:val="006A129A"/>
    <w:rsid w:val="006A1768"/>
    <w:rsid w:val="006A6B6B"/>
    <w:rsid w:val="006C09F8"/>
    <w:rsid w:val="006E2AF8"/>
    <w:rsid w:val="006F637E"/>
    <w:rsid w:val="0071379E"/>
    <w:rsid w:val="007312BB"/>
    <w:rsid w:val="00746080"/>
    <w:rsid w:val="0075403E"/>
    <w:rsid w:val="00776FED"/>
    <w:rsid w:val="007A73CE"/>
    <w:rsid w:val="007A7954"/>
    <w:rsid w:val="007B276F"/>
    <w:rsid w:val="00806D93"/>
    <w:rsid w:val="00831B80"/>
    <w:rsid w:val="00832168"/>
    <w:rsid w:val="00832A00"/>
    <w:rsid w:val="00833F5F"/>
    <w:rsid w:val="00834E7C"/>
    <w:rsid w:val="00850053"/>
    <w:rsid w:val="00851418"/>
    <w:rsid w:val="008539D9"/>
    <w:rsid w:val="0087639C"/>
    <w:rsid w:val="008775CE"/>
    <w:rsid w:val="008939E2"/>
    <w:rsid w:val="0089735A"/>
    <w:rsid w:val="008A1D4D"/>
    <w:rsid w:val="008A5D3A"/>
    <w:rsid w:val="008C74E3"/>
    <w:rsid w:val="008E2D30"/>
    <w:rsid w:val="008F31C8"/>
    <w:rsid w:val="008F688C"/>
    <w:rsid w:val="008F73E8"/>
    <w:rsid w:val="00931765"/>
    <w:rsid w:val="00937121"/>
    <w:rsid w:val="009643D1"/>
    <w:rsid w:val="0098287F"/>
    <w:rsid w:val="00983A06"/>
    <w:rsid w:val="009910E3"/>
    <w:rsid w:val="0099497C"/>
    <w:rsid w:val="009B4857"/>
    <w:rsid w:val="009C7818"/>
    <w:rsid w:val="009D0533"/>
    <w:rsid w:val="009E1626"/>
    <w:rsid w:val="009E5CA3"/>
    <w:rsid w:val="00A00B3F"/>
    <w:rsid w:val="00A037AC"/>
    <w:rsid w:val="00A102CC"/>
    <w:rsid w:val="00A52B1A"/>
    <w:rsid w:val="00A56508"/>
    <w:rsid w:val="00A704BA"/>
    <w:rsid w:val="00A72A49"/>
    <w:rsid w:val="00A74142"/>
    <w:rsid w:val="00A9257F"/>
    <w:rsid w:val="00AA06D9"/>
    <w:rsid w:val="00AA7CBC"/>
    <w:rsid w:val="00AF288A"/>
    <w:rsid w:val="00B04B7B"/>
    <w:rsid w:val="00B076A5"/>
    <w:rsid w:val="00B12E4C"/>
    <w:rsid w:val="00B20109"/>
    <w:rsid w:val="00B247C1"/>
    <w:rsid w:val="00B25576"/>
    <w:rsid w:val="00B26F6A"/>
    <w:rsid w:val="00B314F3"/>
    <w:rsid w:val="00B35F73"/>
    <w:rsid w:val="00B76EA7"/>
    <w:rsid w:val="00B94FF4"/>
    <w:rsid w:val="00BC1A68"/>
    <w:rsid w:val="00BE1A92"/>
    <w:rsid w:val="00C2326D"/>
    <w:rsid w:val="00C31227"/>
    <w:rsid w:val="00C63C8D"/>
    <w:rsid w:val="00C655AF"/>
    <w:rsid w:val="00C818E2"/>
    <w:rsid w:val="00CB168B"/>
    <w:rsid w:val="00CC447E"/>
    <w:rsid w:val="00CC6D11"/>
    <w:rsid w:val="00CE17D5"/>
    <w:rsid w:val="00CF0F7C"/>
    <w:rsid w:val="00CF6349"/>
    <w:rsid w:val="00D0482F"/>
    <w:rsid w:val="00D0773D"/>
    <w:rsid w:val="00D21A42"/>
    <w:rsid w:val="00D36BBE"/>
    <w:rsid w:val="00D5062F"/>
    <w:rsid w:val="00D60DCE"/>
    <w:rsid w:val="00D614C3"/>
    <w:rsid w:val="00D80859"/>
    <w:rsid w:val="00D87CAA"/>
    <w:rsid w:val="00D91B73"/>
    <w:rsid w:val="00D958A6"/>
    <w:rsid w:val="00D95CAA"/>
    <w:rsid w:val="00D95F3E"/>
    <w:rsid w:val="00D974D5"/>
    <w:rsid w:val="00D975C5"/>
    <w:rsid w:val="00DA09D0"/>
    <w:rsid w:val="00DA2484"/>
    <w:rsid w:val="00DC3F8F"/>
    <w:rsid w:val="00DC3FBA"/>
    <w:rsid w:val="00DD09DC"/>
    <w:rsid w:val="00DD2002"/>
    <w:rsid w:val="00E23ECF"/>
    <w:rsid w:val="00E261A1"/>
    <w:rsid w:val="00E2681D"/>
    <w:rsid w:val="00E2683A"/>
    <w:rsid w:val="00E35E8C"/>
    <w:rsid w:val="00E45775"/>
    <w:rsid w:val="00E63408"/>
    <w:rsid w:val="00E6651E"/>
    <w:rsid w:val="00E7523D"/>
    <w:rsid w:val="00E80040"/>
    <w:rsid w:val="00E9387D"/>
    <w:rsid w:val="00EA0919"/>
    <w:rsid w:val="00EB047D"/>
    <w:rsid w:val="00EB68C4"/>
    <w:rsid w:val="00EC0C97"/>
    <w:rsid w:val="00EC26AE"/>
    <w:rsid w:val="00EE450C"/>
    <w:rsid w:val="00EE5954"/>
    <w:rsid w:val="00EE68D6"/>
    <w:rsid w:val="00F17213"/>
    <w:rsid w:val="00F213C1"/>
    <w:rsid w:val="00F27A5F"/>
    <w:rsid w:val="00F72F89"/>
    <w:rsid w:val="00F77AE7"/>
    <w:rsid w:val="00F830AC"/>
    <w:rsid w:val="00F92F12"/>
    <w:rsid w:val="00FB3A11"/>
    <w:rsid w:val="00FD37AC"/>
    <w:rsid w:val="00FF24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character" w:styleId="FollowedHyperlink">
    <w:name w:val="FollowedHyperlink"/>
    <w:basedOn w:val="DefaultParagraphFont"/>
    <w:uiPriority w:val="99"/>
    <w:semiHidden/>
    <w:unhideWhenUsed/>
    <w:rsid w:val="0006116B"/>
    <w:rPr>
      <w:color w:val="800080" w:themeColor="followedHyperlink"/>
      <w:u w:val="single"/>
    </w:rPr>
  </w:style>
  <w:style w:type="paragraph" w:customStyle="1" w:styleId="Default">
    <w:name w:val="Default"/>
    <w:rsid w:val="00D614C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qFormat/>
    <w:rsid w:val="00D614C3"/>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paragraph" w:styleId="NoSpacing">
    <w:name w:val="No Spacing"/>
    <w:uiPriority w:val="1"/>
    <w:qFormat/>
    <w:rsid w:val="005E2B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character" w:styleId="FollowedHyperlink">
    <w:name w:val="FollowedHyperlink"/>
    <w:basedOn w:val="DefaultParagraphFont"/>
    <w:uiPriority w:val="99"/>
    <w:semiHidden/>
    <w:unhideWhenUsed/>
    <w:rsid w:val="0006116B"/>
    <w:rPr>
      <w:color w:val="800080" w:themeColor="followedHyperlink"/>
      <w:u w:val="single"/>
    </w:rPr>
  </w:style>
  <w:style w:type="paragraph" w:customStyle="1" w:styleId="Default">
    <w:name w:val="Default"/>
    <w:rsid w:val="00D614C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qFormat/>
    <w:rsid w:val="00D614C3"/>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paragraph" w:styleId="NoSpacing">
    <w:name w:val="No Spacing"/>
    <w:uiPriority w:val="1"/>
    <w:qFormat/>
    <w:rsid w:val="005E2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4134-6A50-40BC-B1FE-993E0E83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Joanne Tackaberry</cp:lastModifiedBy>
  <cp:revision>7</cp:revision>
  <dcterms:created xsi:type="dcterms:W3CDTF">2016-11-22T19:59:00Z</dcterms:created>
  <dcterms:modified xsi:type="dcterms:W3CDTF">2016-11-24T19:21:00Z</dcterms:modified>
</cp:coreProperties>
</file>