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D31675" w:rsidRDefault="00800815" w:rsidP="00D31675">
      <w:pPr>
        <w:jc w:val="center"/>
        <w:rPr>
          <w:rFonts w:ascii="Arial" w:hAnsi="Arial" w:cs="Arial"/>
          <w:b/>
          <w:sz w:val="24"/>
          <w:szCs w:val="24"/>
        </w:rPr>
      </w:pPr>
      <w:bookmarkStart w:id="0" w:name="_GoBack"/>
      <w:bookmarkEnd w:id="0"/>
      <w:r w:rsidRPr="00800815">
        <w:rPr>
          <w:rFonts w:ascii="Arial" w:hAnsi="Arial" w:cs="Arial"/>
          <w:b/>
          <w:sz w:val="24"/>
          <w:szCs w:val="24"/>
        </w:rPr>
        <w:t>Sioux Lookout Hydro Inc.</w:t>
      </w:r>
    </w:p>
    <w:p w:rsidR="00D31675" w:rsidRPr="007E4839" w:rsidRDefault="00D31675" w:rsidP="008C1B53">
      <w:pPr>
        <w:jc w:val="center"/>
        <w:rPr>
          <w:rFonts w:ascii="Arial" w:hAnsi="Arial" w:cs="Arial"/>
          <w:b/>
          <w:sz w:val="24"/>
          <w:szCs w:val="24"/>
        </w:rPr>
      </w:pPr>
      <w:r w:rsidRPr="00D31675">
        <w:rPr>
          <w:rFonts w:ascii="Arial" w:hAnsi="Arial" w:cs="Arial"/>
          <w:b/>
          <w:sz w:val="24"/>
          <w:szCs w:val="24"/>
        </w:rPr>
        <w:t>Ap</w:t>
      </w:r>
      <w:r w:rsidR="004411FC">
        <w:rPr>
          <w:rFonts w:ascii="Arial" w:hAnsi="Arial" w:cs="Arial"/>
          <w:b/>
          <w:sz w:val="24"/>
          <w:szCs w:val="24"/>
        </w:rPr>
        <w:t>plication Analysis (</w:t>
      </w:r>
      <w:r w:rsidR="00800815" w:rsidRPr="00800815">
        <w:rPr>
          <w:rFonts w:ascii="Arial" w:hAnsi="Arial" w:cs="Arial"/>
          <w:b/>
          <w:sz w:val="24"/>
          <w:szCs w:val="24"/>
        </w:rPr>
        <w:t>EB-2016-0103</w:t>
      </w:r>
      <w:r w:rsidRPr="00D31675">
        <w:rPr>
          <w:rFonts w:ascii="Arial" w:hAnsi="Arial" w:cs="Arial"/>
          <w:b/>
          <w:sz w:val="24"/>
          <w:szCs w:val="24"/>
        </w:rPr>
        <w:t>)</w:t>
      </w:r>
    </w:p>
    <w:p w:rsidR="007E4839" w:rsidRDefault="00020000" w:rsidP="007E4839">
      <w:pPr>
        <w:spacing w:after="0" w:line="300" w:lineRule="auto"/>
        <w:rPr>
          <w:rFonts w:ascii="Arial" w:hAnsi="Arial" w:cs="Arial"/>
          <w:b/>
          <w:sz w:val="24"/>
          <w:szCs w:val="24"/>
        </w:rPr>
      </w:pPr>
      <w:r>
        <w:rPr>
          <w:rFonts w:ascii="Arial" w:hAnsi="Arial" w:cs="Arial"/>
          <w:b/>
          <w:sz w:val="24"/>
          <w:szCs w:val="24"/>
        </w:rPr>
        <w:t xml:space="preserve">Tab 3 – </w:t>
      </w:r>
      <w:r w:rsidR="00E3062F">
        <w:rPr>
          <w:rFonts w:ascii="Arial" w:hAnsi="Arial" w:cs="Arial"/>
          <w:b/>
          <w:sz w:val="24"/>
          <w:szCs w:val="24"/>
        </w:rPr>
        <w:t>Continuity Schedule</w:t>
      </w:r>
    </w:p>
    <w:p w:rsidR="00E3062F" w:rsidRPr="00E3062F" w:rsidRDefault="00E3062F" w:rsidP="007E4839">
      <w:pPr>
        <w:spacing w:after="0" w:line="300" w:lineRule="auto"/>
        <w:rPr>
          <w:rFonts w:ascii="Arial" w:hAnsi="Arial" w:cs="Arial"/>
          <w:sz w:val="24"/>
          <w:szCs w:val="24"/>
        </w:rPr>
      </w:pPr>
    </w:p>
    <w:p w:rsidR="00E3062F" w:rsidRDefault="00E3062F" w:rsidP="00D548A1">
      <w:pPr>
        <w:spacing w:after="0" w:line="300" w:lineRule="auto"/>
        <w:rPr>
          <w:rFonts w:ascii="Arial" w:hAnsi="Arial" w:cs="Arial"/>
          <w:sz w:val="24"/>
          <w:szCs w:val="24"/>
        </w:rPr>
      </w:pPr>
      <w:r w:rsidRPr="00E3062F">
        <w:rPr>
          <w:rFonts w:ascii="Arial" w:hAnsi="Arial" w:cs="Arial"/>
          <w:sz w:val="24"/>
          <w:szCs w:val="24"/>
        </w:rPr>
        <w:t xml:space="preserve">OEB staff is unable to reconcile the amount entered in cell BJ35 of a credit of $436. Please confirm that entry of this figure is correct and provide the source documentation. </w:t>
      </w:r>
    </w:p>
    <w:p w:rsidR="006A6826" w:rsidRDefault="006A6826" w:rsidP="00D548A1">
      <w:pPr>
        <w:spacing w:after="0" w:line="300" w:lineRule="auto"/>
        <w:rPr>
          <w:rFonts w:ascii="Arial" w:hAnsi="Arial" w:cs="Arial"/>
          <w:sz w:val="24"/>
          <w:szCs w:val="24"/>
        </w:rPr>
      </w:pPr>
    </w:p>
    <w:p w:rsidR="006A6826" w:rsidRPr="00CB7FC2" w:rsidRDefault="006A6826" w:rsidP="00D548A1">
      <w:pPr>
        <w:spacing w:after="0" w:line="300" w:lineRule="auto"/>
        <w:rPr>
          <w:rFonts w:ascii="Arial" w:hAnsi="Arial" w:cs="Arial"/>
          <w:b/>
          <w:color w:val="E36C0A" w:themeColor="accent6" w:themeShade="BF"/>
          <w:sz w:val="24"/>
          <w:szCs w:val="24"/>
        </w:rPr>
      </w:pPr>
      <w:r w:rsidRPr="00CB7FC2">
        <w:rPr>
          <w:rFonts w:ascii="Arial" w:hAnsi="Arial" w:cs="Arial"/>
          <w:b/>
          <w:color w:val="E36C0A" w:themeColor="accent6" w:themeShade="BF"/>
          <w:sz w:val="24"/>
          <w:szCs w:val="24"/>
        </w:rPr>
        <w:t>Response:</w:t>
      </w:r>
    </w:p>
    <w:p w:rsidR="006A6826" w:rsidRPr="00CB7FC2" w:rsidRDefault="006A6826" w:rsidP="00D548A1">
      <w:pPr>
        <w:spacing w:after="0" w:line="300" w:lineRule="auto"/>
        <w:rPr>
          <w:rFonts w:ascii="Arial" w:hAnsi="Arial" w:cs="Arial"/>
          <w:i/>
          <w:color w:val="E36C0A" w:themeColor="accent6" w:themeShade="BF"/>
          <w:sz w:val="24"/>
          <w:szCs w:val="24"/>
        </w:rPr>
      </w:pPr>
      <w:r w:rsidRPr="00CB7FC2">
        <w:rPr>
          <w:rFonts w:ascii="Arial" w:hAnsi="Arial" w:cs="Arial"/>
          <w:i/>
          <w:color w:val="E36C0A" w:themeColor="accent6" w:themeShade="BF"/>
          <w:sz w:val="24"/>
          <w:szCs w:val="24"/>
        </w:rPr>
        <w:t xml:space="preserve">This relates to Interrogatory #2 from EB-2015-0101. The $436 was transferred to Account 1595(2014) from 1595(2008) in 2014 as an immaterial amount after decision EB-2013-0170. The entry to dispose of the $436 </w:t>
      </w:r>
      <w:r w:rsidR="00AE321F" w:rsidRPr="00CB7FC2">
        <w:rPr>
          <w:rFonts w:ascii="Arial" w:hAnsi="Arial" w:cs="Arial"/>
          <w:i/>
          <w:color w:val="E36C0A" w:themeColor="accent6" w:themeShade="BF"/>
          <w:sz w:val="24"/>
          <w:szCs w:val="24"/>
        </w:rPr>
        <w:t xml:space="preserve">from Decision EB-2014-0112 </w:t>
      </w:r>
      <w:r w:rsidRPr="00CB7FC2">
        <w:rPr>
          <w:rFonts w:ascii="Arial" w:hAnsi="Arial" w:cs="Arial"/>
          <w:i/>
          <w:color w:val="E36C0A" w:themeColor="accent6" w:themeShade="BF"/>
          <w:sz w:val="24"/>
          <w:szCs w:val="24"/>
        </w:rPr>
        <w:t>was then applied to 1595(2014)</w:t>
      </w:r>
      <w:r w:rsidR="00AE321F" w:rsidRPr="00CB7FC2">
        <w:rPr>
          <w:rFonts w:ascii="Arial" w:hAnsi="Arial" w:cs="Arial"/>
          <w:i/>
          <w:color w:val="E36C0A" w:themeColor="accent6" w:themeShade="BF"/>
          <w:sz w:val="24"/>
          <w:szCs w:val="24"/>
        </w:rPr>
        <w:t xml:space="preserve"> in May 2015, </w:t>
      </w:r>
      <w:r w:rsidRPr="00CB7FC2">
        <w:rPr>
          <w:rFonts w:ascii="Arial" w:hAnsi="Arial" w:cs="Arial"/>
          <w:i/>
          <w:color w:val="E36C0A" w:themeColor="accent6" w:themeShade="BF"/>
          <w:sz w:val="24"/>
          <w:szCs w:val="24"/>
        </w:rPr>
        <w:t>not 1595(2008) since the amount had been transferred there. Account 1595(2014) was not included in EB-2015-0101, Group 1 Deferral and Variance Account Balances for disposition, therefore the amount has been properly disposed of.</w:t>
      </w:r>
    </w:p>
    <w:p w:rsidR="00E3062F" w:rsidRDefault="00E3062F" w:rsidP="00D548A1">
      <w:pPr>
        <w:spacing w:after="0" w:line="300" w:lineRule="auto"/>
        <w:rPr>
          <w:rFonts w:ascii="Arial" w:hAnsi="Arial" w:cs="Arial"/>
          <w:b/>
          <w:sz w:val="24"/>
          <w:szCs w:val="24"/>
        </w:rPr>
      </w:pPr>
    </w:p>
    <w:p w:rsidR="00020000" w:rsidRPr="00CB35AC" w:rsidRDefault="00020000" w:rsidP="00020000">
      <w:pPr>
        <w:rPr>
          <w:rFonts w:ascii="Arial" w:hAnsi="Arial" w:cs="Arial"/>
          <w:b/>
          <w:bCs/>
          <w:sz w:val="24"/>
          <w:szCs w:val="24"/>
        </w:rPr>
      </w:pPr>
      <w:r w:rsidRPr="00CB35AC">
        <w:rPr>
          <w:rFonts w:ascii="Arial" w:hAnsi="Arial" w:cs="Arial"/>
          <w:b/>
          <w:bCs/>
          <w:sz w:val="24"/>
          <w:szCs w:val="24"/>
        </w:rPr>
        <w:t>Tab 16 – Rev2Cost_GDPIPI</w:t>
      </w:r>
    </w:p>
    <w:p w:rsidR="00020000" w:rsidRDefault="00020000" w:rsidP="00020000">
      <w:pPr>
        <w:rPr>
          <w:rFonts w:ascii="Arial" w:hAnsi="Arial" w:cs="Arial"/>
          <w:bCs/>
          <w:sz w:val="24"/>
          <w:szCs w:val="24"/>
        </w:rPr>
      </w:pPr>
      <w:r>
        <w:rPr>
          <w:rFonts w:ascii="Arial" w:hAnsi="Arial" w:cs="Arial"/>
          <w:bCs/>
          <w:sz w:val="24"/>
          <w:szCs w:val="24"/>
        </w:rPr>
        <w:t>The OEB issued its updated cost of capital parameters applicable for 2017 applications. This is to confirm that OEB staff will update Sioux Lookout Hydro’s IRM model to incorporate the price escalator to 1.9%.</w:t>
      </w:r>
    </w:p>
    <w:p w:rsidR="00BE2657" w:rsidRPr="00CB7FC2" w:rsidRDefault="00BE2657" w:rsidP="00020000">
      <w:pPr>
        <w:contextualSpacing/>
        <w:rPr>
          <w:rFonts w:ascii="Arial" w:hAnsi="Arial" w:cs="Arial"/>
          <w:b/>
          <w:bCs/>
          <w:color w:val="E36C0A" w:themeColor="accent6" w:themeShade="BF"/>
          <w:sz w:val="24"/>
          <w:szCs w:val="24"/>
        </w:rPr>
      </w:pPr>
      <w:r w:rsidRPr="00CB7FC2">
        <w:rPr>
          <w:rFonts w:ascii="Arial" w:hAnsi="Arial" w:cs="Arial"/>
          <w:b/>
          <w:bCs/>
          <w:color w:val="E36C0A" w:themeColor="accent6" w:themeShade="BF"/>
          <w:sz w:val="24"/>
          <w:szCs w:val="24"/>
        </w:rPr>
        <w:t>Response:</w:t>
      </w:r>
    </w:p>
    <w:p w:rsidR="00BE2657" w:rsidRPr="00CB7FC2" w:rsidRDefault="00BE2657" w:rsidP="00020000">
      <w:pPr>
        <w:contextualSpacing/>
        <w:rPr>
          <w:rFonts w:ascii="Arial" w:hAnsi="Arial" w:cs="Arial"/>
          <w:bCs/>
          <w:i/>
          <w:color w:val="E36C0A" w:themeColor="accent6" w:themeShade="BF"/>
          <w:sz w:val="24"/>
          <w:szCs w:val="24"/>
        </w:rPr>
      </w:pPr>
      <w:r w:rsidRPr="00CB7FC2">
        <w:rPr>
          <w:rFonts w:ascii="Arial" w:hAnsi="Arial" w:cs="Arial"/>
          <w:bCs/>
          <w:i/>
          <w:color w:val="E36C0A" w:themeColor="accent6" w:themeShade="BF"/>
          <w:sz w:val="24"/>
          <w:szCs w:val="24"/>
        </w:rPr>
        <w:t>Sioux Lookout Hydro acknowledges that OEB Staff will update the IRM model to incorporate the price escalator to 1.9%.</w:t>
      </w:r>
    </w:p>
    <w:p w:rsidR="00BE2657" w:rsidRPr="00BE2657" w:rsidRDefault="00BE2657" w:rsidP="00020000">
      <w:pPr>
        <w:contextualSpacing/>
        <w:rPr>
          <w:rFonts w:ascii="Arial" w:hAnsi="Arial" w:cs="Arial"/>
          <w:bCs/>
          <w:sz w:val="24"/>
          <w:szCs w:val="24"/>
        </w:rPr>
      </w:pPr>
    </w:p>
    <w:p w:rsidR="00800815" w:rsidRDefault="00CB35AC" w:rsidP="00D548A1">
      <w:pPr>
        <w:spacing w:after="0" w:line="300" w:lineRule="auto"/>
        <w:rPr>
          <w:rFonts w:ascii="Arial" w:hAnsi="Arial" w:cs="Arial"/>
          <w:b/>
          <w:sz w:val="24"/>
          <w:szCs w:val="24"/>
        </w:rPr>
      </w:pPr>
      <w:r>
        <w:rPr>
          <w:rFonts w:ascii="Arial" w:hAnsi="Arial" w:cs="Arial"/>
          <w:b/>
          <w:sz w:val="24"/>
          <w:szCs w:val="24"/>
        </w:rPr>
        <w:t>Manager’s Summary, Page 4 – Account 1595 (2014)</w:t>
      </w:r>
    </w:p>
    <w:p w:rsidR="00CB35AC" w:rsidRDefault="00CB35AC" w:rsidP="00D548A1">
      <w:pPr>
        <w:spacing w:after="0" w:line="300" w:lineRule="auto"/>
        <w:rPr>
          <w:rFonts w:ascii="Arial" w:hAnsi="Arial" w:cs="Arial"/>
          <w:b/>
          <w:sz w:val="24"/>
          <w:szCs w:val="24"/>
        </w:rPr>
      </w:pPr>
    </w:p>
    <w:p w:rsidR="00CB35AC" w:rsidRDefault="00CB35AC" w:rsidP="00D548A1">
      <w:pPr>
        <w:spacing w:after="0" w:line="300" w:lineRule="auto"/>
        <w:rPr>
          <w:rFonts w:ascii="Arial" w:hAnsi="Arial" w:cs="Arial"/>
          <w:sz w:val="24"/>
          <w:szCs w:val="24"/>
        </w:rPr>
      </w:pPr>
      <w:r>
        <w:rPr>
          <w:rFonts w:ascii="Arial" w:hAnsi="Arial" w:cs="Arial"/>
          <w:sz w:val="24"/>
          <w:szCs w:val="24"/>
        </w:rPr>
        <w:t>Sioux Lookout Hydro notes that it is not proposing to dispose of Account 1595 (2014) since there were entries made to this account in 2016 for Long Term Load Transfer Settlement.</w:t>
      </w:r>
    </w:p>
    <w:p w:rsidR="00CB35AC" w:rsidRDefault="00CB35AC" w:rsidP="00D548A1">
      <w:pPr>
        <w:spacing w:after="0" w:line="300" w:lineRule="auto"/>
        <w:rPr>
          <w:rFonts w:ascii="Arial" w:hAnsi="Arial" w:cs="Arial"/>
          <w:sz w:val="24"/>
          <w:szCs w:val="24"/>
        </w:rPr>
      </w:pPr>
    </w:p>
    <w:p w:rsidR="00CB35AC" w:rsidRDefault="00CB35AC" w:rsidP="00CB35AC">
      <w:pPr>
        <w:pStyle w:val="ListParagraph"/>
        <w:numPr>
          <w:ilvl w:val="0"/>
          <w:numId w:val="5"/>
        </w:numPr>
        <w:spacing w:after="0" w:line="300" w:lineRule="auto"/>
        <w:rPr>
          <w:rFonts w:ascii="Arial" w:hAnsi="Arial" w:cs="Arial"/>
          <w:sz w:val="24"/>
          <w:szCs w:val="24"/>
        </w:rPr>
      </w:pPr>
      <w:r>
        <w:rPr>
          <w:rFonts w:ascii="Arial" w:hAnsi="Arial" w:cs="Arial"/>
          <w:sz w:val="24"/>
          <w:szCs w:val="24"/>
        </w:rPr>
        <w:t>Please explain the nature of these adjustments.</w:t>
      </w:r>
    </w:p>
    <w:p w:rsidR="00CB35AC" w:rsidRDefault="00CB35AC" w:rsidP="00CB35AC">
      <w:pPr>
        <w:pStyle w:val="ListParagraph"/>
        <w:numPr>
          <w:ilvl w:val="0"/>
          <w:numId w:val="5"/>
        </w:numPr>
        <w:spacing w:after="0" w:line="300" w:lineRule="auto"/>
        <w:rPr>
          <w:rFonts w:ascii="Arial" w:hAnsi="Arial" w:cs="Arial"/>
          <w:sz w:val="24"/>
          <w:szCs w:val="24"/>
        </w:rPr>
      </w:pPr>
      <w:r>
        <w:rPr>
          <w:rFonts w:ascii="Arial" w:hAnsi="Arial" w:cs="Arial"/>
          <w:sz w:val="24"/>
          <w:szCs w:val="24"/>
        </w:rPr>
        <w:t>Were these adjustments ordered by the OEB? If yes, please provide the relevant documentation.</w:t>
      </w:r>
    </w:p>
    <w:p w:rsidR="00CB35AC" w:rsidRDefault="00CB35AC" w:rsidP="00CB35AC">
      <w:pPr>
        <w:pStyle w:val="ListParagraph"/>
        <w:numPr>
          <w:ilvl w:val="0"/>
          <w:numId w:val="5"/>
        </w:numPr>
        <w:spacing w:after="0" w:line="300" w:lineRule="auto"/>
        <w:rPr>
          <w:rFonts w:ascii="Arial" w:hAnsi="Arial" w:cs="Arial"/>
          <w:sz w:val="24"/>
          <w:szCs w:val="24"/>
        </w:rPr>
      </w:pPr>
      <w:r>
        <w:rPr>
          <w:rFonts w:ascii="Arial" w:hAnsi="Arial" w:cs="Arial"/>
          <w:sz w:val="24"/>
          <w:szCs w:val="24"/>
        </w:rPr>
        <w:t xml:space="preserve">Have any adjustments been made </w:t>
      </w:r>
      <w:r w:rsidR="00D0617F">
        <w:rPr>
          <w:rFonts w:ascii="Arial" w:hAnsi="Arial" w:cs="Arial"/>
          <w:sz w:val="24"/>
          <w:szCs w:val="24"/>
        </w:rPr>
        <w:t>to previously approved balances?</w:t>
      </w:r>
      <w:r>
        <w:rPr>
          <w:rFonts w:ascii="Arial" w:hAnsi="Arial" w:cs="Arial"/>
          <w:sz w:val="24"/>
          <w:szCs w:val="24"/>
        </w:rPr>
        <w:t xml:space="preserve"> </w:t>
      </w:r>
    </w:p>
    <w:p w:rsidR="00BE2657" w:rsidRDefault="00BE2657" w:rsidP="00BE2657">
      <w:pPr>
        <w:spacing w:after="0" w:line="300" w:lineRule="auto"/>
        <w:rPr>
          <w:rFonts w:ascii="Arial" w:hAnsi="Arial" w:cs="Arial"/>
          <w:sz w:val="24"/>
          <w:szCs w:val="24"/>
        </w:rPr>
      </w:pPr>
    </w:p>
    <w:p w:rsidR="00BE2657" w:rsidRPr="00CB7FC2" w:rsidRDefault="00BE2657" w:rsidP="00BE2657">
      <w:pPr>
        <w:spacing w:after="0" w:line="300" w:lineRule="auto"/>
        <w:contextualSpacing/>
        <w:rPr>
          <w:rFonts w:ascii="Arial" w:hAnsi="Arial" w:cs="Arial"/>
          <w:b/>
          <w:color w:val="E36C0A" w:themeColor="accent6" w:themeShade="BF"/>
          <w:sz w:val="24"/>
          <w:szCs w:val="24"/>
        </w:rPr>
      </w:pPr>
      <w:r w:rsidRPr="00CB7FC2">
        <w:rPr>
          <w:rFonts w:ascii="Arial" w:hAnsi="Arial" w:cs="Arial"/>
          <w:b/>
          <w:color w:val="E36C0A" w:themeColor="accent6" w:themeShade="BF"/>
          <w:sz w:val="24"/>
          <w:szCs w:val="24"/>
        </w:rPr>
        <w:t>Response:</w:t>
      </w:r>
    </w:p>
    <w:p w:rsidR="00BE2657" w:rsidRPr="00CB7FC2" w:rsidRDefault="00796DCF" w:rsidP="00BE2657">
      <w:pPr>
        <w:pStyle w:val="ListParagraph"/>
        <w:numPr>
          <w:ilvl w:val="0"/>
          <w:numId w:val="6"/>
        </w:numPr>
        <w:spacing w:after="0" w:line="300" w:lineRule="auto"/>
        <w:rPr>
          <w:rFonts w:ascii="Arial" w:hAnsi="Arial" w:cs="Arial"/>
          <w:i/>
          <w:color w:val="E36C0A" w:themeColor="accent6" w:themeShade="BF"/>
          <w:sz w:val="24"/>
          <w:szCs w:val="24"/>
        </w:rPr>
      </w:pPr>
      <w:r w:rsidRPr="00CB7FC2">
        <w:rPr>
          <w:rFonts w:ascii="Arial" w:hAnsi="Arial" w:cs="Arial"/>
          <w:i/>
          <w:color w:val="E36C0A" w:themeColor="accent6" w:themeShade="BF"/>
          <w:sz w:val="24"/>
          <w:szCs w:val="24"/>
        </w:rPr>
        <w:lastRenderedPageBreak/>
        <w:t>During 2016, Hydro One discovered 7 customers of theirs that had not been included in the Long Term Load Settlement since 2011. The discovery was made due to the preparation of the joint application to the OEB to eliminate all long term load transfer arrangements. As a result, Sioux Lookout Hydro invoiced Hydro One for the missing accounts and one of the entries was to Account 1595(2014) of $217.93 in May 2016. If Sioux Lookout Hydro applies to dispose of Account 1595(2014) in this application the balance will not include this adjustment. There was also a small entry of $(8.32) due to a billing adjustment.</w:t>
      </w:r>
    </w:p>
    <w:p w:rsidR="00796DCF" w:rsidRPr="00CB7FC2" w:rsidRDefault="00796DCF" w:rsidP="00BE2657">
      <w:pPr>
        <w:pStyle w:val="ListParagraph"/>
        <w:numPr>
          <w:ilvl w:val="0"/>
          <w:numId w:val="6"/>
        </w:numPr>
        <w:spacing w:after="0" w:line="300" w:lineRule="auto"/>
        <w:rPr>
          <w:rFonts w:ascii="Arial" w:hAnsi="Arial" w:cs="Arial"/>
          <w:i/>
          <w:color w:val="E36C0A" w:themeColor="accent6" w:themeShade="BF"/>
          <w:sz w:val="24"/>
          <w:szCs w:val="24"/>
        </w:rPr>
      </w:pPr>
      <w:r w:rsidRPr="00CB7FC2">
        <w:rPr>
          <w:rFonts w:ascii="Arial" w:hAnsi="Arial" w:cs="Arial"/>
          <w:i/>
          <w:color w:val="E36C0A" w:themeColor="accent6" w:themeShade="BF"/>
          <w:sz w:val="24"/>
          <w:szCs w:val="24"/>
        </w:rPr>
        <w:t xml:space="preserve">No </w:t>
      </w:r>
    </w:p>
    <w:p w:rsidR="00796DCF" w:rsidRPr="00CB7FC2" w:rsidRDefault="00796DCF" w:rsidP="00BE2657">
      <w:pPr>
        <w:pStyle w:val="ListParagraph"/>
        <w:numPr>
          <w:ilvl w:val="0"/>
          <w:numId w:val="6"/>
        </w:numPr>
        <w:spacing w:after="0" w:line="300" w:lineRule="auto"/>
        <w:rPr>
          <w:rFonts w:ascii="Arial" w:hAnsi="Arial" w:cs="Arial"/>
          <w:i/>
          <w:color w:val="E36C0A" w:themeColor="accent6" w:themeShade="BF"/>
          <w:sz w:val="24"/>
          <w:szCs w:val="24"/>
        </w:rPr>
      </w:pPr>
      <w:r w:rsidRPr="00CB7FC2">
        <w:rPr>
          <w:rFonts w:ascii="Arial" w:hAnsi="Arial" w:cs="Arial"/>
          <w:i/>
          <w:color w:val="E36C0A" w:themeColor="accent6" w:themeShade="BF"/>
          <w:sz w:val="24"/>
          <w:szCs w:val="24"/>
        </w:rPr>
        <w:t>No adjustments have been made to previously approved balances.</w:t>
      </w:r>
    </w:p>
    <w:p w:rsidR="00DB522D" w:rsidRDefault="00DB522D" w:rsidP="00D548A1">
      <w:pPr>
        <w:spacing w:after="0" w:line="300" w:lineRule="auto"/>
        <w:rPr>
          <w:rFonts w:ascii="Arial" w:hAnsi="Arial" w:cs="Arial"/>
          <w:sz w:val="24"/>
          <w:szCs w:val="24"/>
        </w:rPr>
      </w:pPr>
    </w:p>
    <w:p w:rsidR="00CB35AC" w:rsidRDefault="00FC30EF" w:rsidP="00FC30EF">
      <w:pPr>
        <w:rPr>
          <w:rFonts w:ascii="Arial" w:hAnsi="Arial" w:cs="Arial"/>
          <w:b/>
          <w:sz w:val="24"/>
          <w:szCs w:val="24"/>
        </w:rPr>
      </w:pPr>
      <w:r w:rsidRPr="0042059B">
        <w:rPr>
          <w:rFonts w:ascii="Arial" w:hAnsi="Arial" w:cs="Arial"/>
          <w:b/>
          <w:sz w:val="24"/>
          <w:szCs w:val="24"/>
        </w:rPr>
        <w:t xml:space="preserve">Manager’s Summary, Page </w:t>
      </w:r>
      <w:r>
        <w:rPr>
          <w:rFonts w:ascii="Arial" w:hAnsi="Arial" w:cs="Arial"/>
          <w:b/>
          <w:sz w:val="24"/>
          <w:szCs w:val="24"/>
        </w:rPr>
        <w:t>6</w:t>
      </w:r>
      <w:r w:rsidR="00020000">
        <w:rPr>
          <w:rFonts w:ascii="Arial" w:hAnsi="Arial" w:cs="Arial"/>
          <w:b/>
          <w:sz w:val="24"/>
          <w:szCs w:val="24"/>
        </w:rPr>
        <w:t xml:space="preserve"> – </w:t>
      </w:r>
      <w:r w:rsidR="00C73F1B">
        <w:rPr>
          <w:rFonts w:ascii="Arial" w:hAnsi="Arial" w:cs="Arial"/>
          <w:b/>
          <w:sz w:val="24"/>
          <w:szCs w:val="24"/>
        </w:rPr>
        <w:t>Shared Tax Savings</w:t>
      </w:r>
    </w:p>
    <w:p w:rsidR="00852E38" w:rsidRPr="00852E38" w:rsidRDefault="00852E38" w:rsidP="00FC30EF">
      <w:pPr>
        <w:rPr>
          <w:rFonts w:ascii="Arial" w:hAnsi="Arial" w:cs="Arial"/>
          <w:sz w:val="24"/>
          <w:szCs w:val="24"/>
        </w:rPr>
      </w:pPr>
      <w:r w:rsidRPr="00852E38">
        <w:rPr>
          <w:rFonts w:ascii="Arial" w:hAnsi="Arial" w:cs="Arial"/>
          <w:sz w:val="24"/>
          <w:szCs w:val="24"/>
        </w:rPr>
        <w:t xml:space="preserve">OEB staff notes from your application: </w:t>
      </w:r>
    </w:p>
    <w:p w:rsidR="00FC30EF" w:rsidRDefault="00FC30EF" w:rsidP="00852E38">
      <w:pPr>
        <w:ind w:left="720"/>
        <w:rPr>
          <w:rFonts w:ascii="Arial" w:hAnsi="Arial" w:cs="Arial"/>
          <w:bCs/>
          <w:sz w:val="24"/>
          <w:szCs w:val="24"/>
        </w:rPr>
      </w:pPr>
      <w:r>
        <w:rPr>
          <w:rFonts w:ascii="Arial" w:hAnsi="Arial" w:cs="Arial"/>
          <w:bCs/>
          <w:noProof/>
          <w:sz w:val="24"/>
          <w:szCs w:val="24"/>
          <w:lang w:eastAsia="en-CA"/>
        </w:rPr>
        <w:drawing>
          <wp:inline distT="0" distB="0" distL="0" distR="0" wp14:anchorId="44F167EE" wp14:editId="7C2CDED0">
            <wp:extent cx="5401340" cy="7710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51821"/>
                    <a:stretch/>
                  </pic:blipFill>
                  <pic:spPr bwMode="auto">
                    <a:xfrm>
                      <a:off x="0" y="0"/>
                      <a:ext cx="5400675" cy="770963"/>
                    </a:xfrm>
                    <a:prstGeom prst="rect">
                      <a:avLst/>
                    </a:prstGeom>
                    <a:noFill/>
                    <a:ln>
                      <a:noFill/>
                    </a:ln>
                    <a:extLst>
                      <a:ext uri="{53640926-AAD7-44D8-BBD7-CCE9431645EC}">
                        <a14:shadowObscured xmlns:a14="http://schemas.microsoft.com/office/drawing/2010/main"/>
                      </a:ext>
                    </a:extLst>
                  </pic:spPr>
                </pic:pic>
              </a:graphicData>
            </a:graphic>
          </wp:inline>
        </w:drawing>
      </w:r>
    </w:p>
    <w:p w:rsidR="00FC30EF" w:rsidRDefault="00CB35AC" w:rsidP="008C1B53">
      <w:pPr>
        <w:rPr>
          <w:rFonts w:ascii="Arial" w:hAnsi="Arial" w:cs="Arial"/>
          <w:bCs/>
          <w:sz w:val="24"/>
          <w:szCs w:val="24"/>
        </w:rPr>
      </w:pPr>
      <w:r>
        <w:rPr>
          <w:rFonts w:ascii="Arial" w:hAnsi="Arial" w:cs="Arial"/>
          <w:bCs/>
          <w:sz w:val="24"/>
          <w:szCs w:val="24"/>
        </w:rPr>
        <w:t>Please confirm that Sioux Lookout Hydro</w:t>
      </w:r>
      <w:r w:rsidR="00FC30EF">
        <w:rPr>
          <w:rFonts w:ascii="Arial" w:hAnsi="Arial" w:cs="Arial"/>
          <w:bCs/>
          <w:sz w:val="24"/>
          <w:szCs w:val="24"/>
        </w:rPr>
        <w:t xml:space="preserve"> agrees to transfer </w:t>
      </w:r>
      <w:r>
        <w:rPr>
          <w:rFonts w:ascii="Arial" w:hAnsi="Arial" w:cs="Arial"/>
          <w:bCs/>
          <w:sz w:val="24"/>
          <w:szCs w:val="24"/>
        </w:rPr>
        <w:t>the credit amount of $421 to A</w:t>
      </w:r>
      <w:r w:rsidR="00FC30EF">
        <w:rPr>
          <w:rFonts w:ascii="Arial" w:hAnsi="Arial" w:cs="Arial"/>
          <w:bCs/>
          <w:sz w:val="24"/>
          <w:szCs w:val="24"/>
        </w:rPr>
        <w:t>ccount 1595</w:t>
      </w:r>
      <w:r>
        <w:rPr>
          <w:rFonts w:ascii="Arial" w:hAnsi="Arial" w:cs="Arial"/>
          <w:bCs/>
          <w:sz w:val="24"/>
          <w:szCs w:val="24"/>
        </w:rPr>
        <w:t xml:space="preserve"> for future disposition</w:t>
      </w:r>
      <w:r w:rsidR="00FC30EF">
        <w:rPr>
          <w:rFonts w:ascii="Arial" w:hAnsi="Arial" w:cs="Arial"/>
          <w:bCs/>
          <w:sz w:val="24"/>
          <w:szCs w:val="24"/>
        </w:rPr>
        <w:t xml:space="preserve">. </w:t>
      </w:r>
    </w:p>
    <w:p w:rsidR="00796DCF" w:rsidRPr="00CB7FC2" w:rsidRDefault="00796DCF" w:rsidP="00796DCF">
      <w:pPr>
        <w:contextualSpacing/>
        <w:rPr>
          <w:rFonts w:ascii="Arial" w:hAnsi="Arial" w:cs="Arial"/>
          <w:b/>
          <w:bCs/>
          <w:color w:val="E36C0A" w:themeColor="accent6" w:themeShade="BF"/>
          <w:sz w:val="24"/>
          <w:szCs w:val="24"/>
        </w:rPr>
      </w:pPr>
      <w:r w:rsidRPr="00CB7FC2">
        <w:rPr>
          <w:rFonts w:ascii="Arial" w:hAnsi="Arial" w:cs="Arial"/>
          <w:b/>
          <w:bCs/>
          <w:color w:val="E36C0A" w:themeColor="accent6" w:themeShade="BF"/>
          <w:sz w:val="24"/>
          <w:szCs w:val="24"/>
        </w:rPr>
        <w:t>Response:</w:t>
      </w:r>
    </w:p>
    <w:p w:rsidR="00796DCF" w:rsidRPr="00CB7FC2" w:rsidRDefault="00796DCF" w:rsidP="00796DCF">
      <w:pPr>
        <w:contextualSpacing/>
        <w:rPr>
          <w:rFonts w:ascii="Arial" w:hAnsi="Arial" w:cs="Arial"/>
          <w:bCs/>
          <w:i/>
          <w:color w:val="E36C0A" w:themeColor="accent6" w:themeShade="BF"/>
          <w:sz w:val="24"/>
          <w:szCs w:val="24"/>
        </w:rPr>
      </w:pPr>
      <w:r w:rsidRPr="00CB7FC2">
        <w:rPr>
          <w:rFonts w:ascii="Arial" w:hAnsi="Arial" w:cs="Arial"/>
          <w:bCs/>
          <w:i/>
          <w:color w:val="E36C0A" w:themeColor="accent6" w:themeShade="BF"/>
          <w:sz w:val="24"/>
          <w:szCs w:val="24"/>
        </w:rPr>
        <w:t>Yes, Sioux Lookout Hydro agrees to transfer the credit amount of $421 to Account 1595 for future disposition.</w:t>
      </w:r>
    </w:p>
    <w:p w:rsidR="00020000" w:rsidRDefault="00020000">
      <w:pPr>
        <w:rPr>
          <w:rFonts w:ascii="Arial" w:hAnsi="Arial" w:cs="Arial"/>
          <w:bCs/>
          <w:sz w:val="24"/>
          <w:szCs w:val="24"/>
        </w:rPr>
      </w:pPr>
    </w:p>
    <w:sectPr w:rsidR="00020000"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2D3"/>
    <w:multiLevelType w:val="hybridMultilevel"/>
    <w:tmpl w:val="BE1CC566"/>
    <w:lvl w:ilvl="0" w:tplc="C89E0B1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E02472E"/>
    <w:multiLevelType w:val="hybridMultilevel"/>
    <w:tmpl w:val="882C8362"/>
    <w:lvl w:ilvl="0" w:tplc="4D4601C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63E0C26"/>
    <w:multiLevelType w:val="hybridMultilevel"/>
    <w:tmpl w:val="34949BB2"/>
    <w:lvl w:ilvl="0" w:tplc="94CAA2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789248F"/>
    <w:multiLevelType w:val="hybridMultilevel"/>
    <w:tmpl w:val="7658774E"/>
    <w:lvl w:ilvl="0" w:tplc="5C000A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20000"/>
    <w:rsid w:val="000643C0"/>
    <w:rsid w:val="00074589"/>
    <w:rsid w:val="00092149"/>
    <w:rsid w:val="0010474B"/>
    <w:rsid w:val="001859A9"/>
    <w:rsid w:val="001B6315"/>
    <w:rsid w:val="00412DC6"/>
    <w:rsid w:val="0042059B"/>
    <w:rsid w:val="004411FC"/>
    <w:rsid w:val="00481E7F"/>
    <w:rsid w:val="0048591E"/>
    <w:rsid w:val="004B60FF"/>
    <w:rsid w:val="004D016E"/>
    <w:rsid w:val="004E0848"/>
    <w:rsid w:val="004F117E"/>
    <w:rsid w:val="00552D84"/>
    <w:rsid w:val="005D2397"/>
    <w:rsid w:val="005E07CB"/>
    <w:rsid w:val="00623ACF"/>
    <w:rsid w:val="006767D7"/>
    <w:rsid w:val="006A6826"/>
    <w:rsid w:val="006D5FA9"/>
    <w:rsid w:val="007458AD"/>
    <w:rsid w:val="00746080"/>
    <w:rsid w:val="00751034"/>
    <w:rsid w:val="00796DCF"/>
    <w:rsid w:val="007E4839"/>
    <w:rsid w:val="007E5326"/>
    <w:rsid w:val="00800815"/>
    <w:rsid w:val="00831287"/>
    <w:rsid w:val="00852E38"/>
    <w:rsid w:val="008A075E"/>
    <w:rsid w:val="008C1B53"/>
    <w:rsid w:val="009C3D2C"/>
    <w:rsid w:val="00AA06D9"/>
    <w:rsid w:val="00AE321F"/>
    <w:rsid w:val="00B23170"/>
    <w:rsid w:val="00B25576"/>
    <w:rsid w:val="00B65E79"/>
    <w:rsid w:val="00BE2657"/>
    <w:rsid w:val="00C22F71"/>
    <w:rsid w:val="00C73F1B"/>
    <w:rsid w:val="00CB35AC"/>
    <w:rsid w:val="00CB7FC2"/>
    <w:rsid w:val="00D04645"/>
    <w:rsid w:val="00D057A0"/>
    <w:rsid w:val="00D0617F"/>
    <w:rsid w:val="00D12046"/>
    <w:rsid w:val="00D166DC"/>
    <w:rsid w:val="00D31675"/>
    <w:rsid w:val="00D548A1"/>
    <w:rsid w:val="00DB522D"/>
    <w:rsid w:val="00E3062F"/>
    <w:rsid w:val="00E84346"/>
    <w:rsid w:val="00E846AE"/>
    <w:rsid w:val="00EA0919"/>
    <w:rsid w:val="00ED2CFC"/>
    <w:rsid w:val="00FC3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FC30EF"/>
    <w:rPr>
      <w:sz w:val="16"/>
      <w:szCs w:val="16"/>
    </w:rPr>
  </w:style>
  <w:style w:type="paragraph" w:styleId="CommentText">
    <w:name w:val="annotation text"/>
    <w:basedOn w:val="Normal"/>
    <w:link w:val="CommentTextChar"/>
    <w:uiPriority w:val="99"/>
    <w:semiHidden/>
    <w:unhideWhenUsed/>
    <w:rsid w:val="00FC30EF"/>
    <w:pPr>
      <w:spacing w:line="240" w:lineRule="auto"/>
    </w:pPr>
    <w:rPr>
      <w:sz w:val="20"/>
      <w:szCs w:val="20"/>
    </w:rPr>
  </w:style>
  <w:style w:type="character" w:customStyle="1" w:styleId="CommentTextChar">
    <w:name w:val="Comment Text Char"/>
    <w:basedOn w:val="DefaultParagraphFont"/>
    <w:link w:val="CommentText"/>
    <w:uiPriority w:val="99"/>
    <w:semiHidden/>
    <w:rsid w:val="00FC30EF"/>
    <w:rPr>
      <w:sz w:val="20"/>
      <w:szCs w:val="20"/>
    </w:rPr>
  </w:style>
  <w:style w:type="paragraph" w:styleId="CommentSubject">
    <w:name w:val="annotation subject"/>
    <w:basedOn w:val="CommentText"/>
    <w:next w:val="CommentText"/>
    <w:link w:val="CommentSubjectChar"/>
    <w:uiPriority w:val="99"/>
    <w:semiHidden/>
    <w:unhideWhenUsed/>
    <w:rsid w:val="00FC30EF"/>
    <w:rPr>
      <w:b/>
      <w:bCs/>
    </w:rPr>
  </w:style>
  <w:style w:type="character" w:customStyle="1" w:styleId="CommentSubjectChar">
    <w:name w:val="Comment Subject Char"/>
    <w:basedOn w:val="CommentTextChar"/>
    <w:link w:val="CommentSubject"/>
    <w:uiPriority w:val="99"/>
    <w:semiHidden/>
    <w:rsid w:val="00FC30E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FC30EF"/>
    <w:rPr>
      <w:sz w:val="16"/>
      <w:szCs w:val="16"/>
    </w:rPr>
  </w:style>
  <w:style w:type="paragraph" w:styleId="CommentText">
    <w:name w:val="annotation text"/>
    <w:basedOn w:val="Normal"/>
    <w:link w:val="CommentTextChar"/>
    <w:uiPriority w:val="99"/>
    <w:semiHidden/>
    <w:unhideWhenUsed/>
    <w:rsid w:val="00FC30EF"/>
    <w:pPr>
      <w:spacing w:line="240" w:lineRule="auto"/>
    </w:pPr>
    <w:rPr>
      <w:sz w:val="20"/>
      <w:szCs w:val="20"/>
    </w:rPr>
  </w:style>
  <w:style w:type="character" w:customStyle="1" w:styleId="CommentTextChar">
    <w:name w:val="Comment Text Char"/>
    <w:basedOn w:val="DefaultParagraphFont"/>
    <w:link w:val="CommentText"/>
    <w:uiPriority w:val="99"/>
    <w:semiHidden/>
    <w:rsid w:val="00FC30EF"/>
    <w:rPr>
      <w:sz w:val="20"/>
      <w:szCs w:val="20"/>
    </w:rPr>
  </w:style>
  <w:style w:type="paragraph" w:styleId="CommentSubject">
    <w:name w:val="annotation subject"/>
    <w:basedOn w:val="CommentText"/>
    <w:next w:val="CommentText"/>
    <w:link w:val="CommentSubjectChar"/>
    <w:uiPriority w:val="99"/>
    <w:semiHidden/>
    <w:unhideWhenUsed/>
    <w:rsid w:val="00FC30EF"/>
    <w:rPr>
      <w:b/>
      <w:bCs/>
    </w:rPr>
  </w:style>
  <w:style w:type="character" w:customStyle="1" w:styleId="CommentSubjectChar">
    <w:name w:val="Comment Subject Char"/>
    <w:basedOn w:val="CommentTextChar"/>
    <w:link w:val="CommentSubject"/>
    <w:uiPriority w:val="99"/>
    <w:semiHidden/>
    <w:rsid w:val="00FC30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97499">
      <w:bodyDiv w:val="1"/>
      <w:marLeft w:val="0"/>
      <w:marRight w:val="0"/>
      <w:marTop w:val="0"/>
      <w:marBottom w:val="0"/>
      <w:divBdr>
        <w:top w:val="none" w:sz="0" w:space="0" w:color="auto"/>
        <w:left w:val="none" w:sz="0" w:space="0" w:color="auto"/>
        <w:bottom w:val="none" w:sz="0" w:space="0" w:color="auto"/>
        <w:right w:val="none" w:sz="0" w:space="0" w:color="auto"/>
      </w:divBdr>
    </w:div>
    <w:div w:id="704407229">
      <w:bodyDiv w:val="1"/>
      <w:marLeft w:val="0"/>
      <w:marRight w:val="0"/>
      <w:marTop w:val="0"/>
      <w:marBottom w:val="0"/>
      <w:divBdr>
        <w:top w:val="none" w:sz="0" w:space="0" w:color="auto"/>
        <w:left w:val="none" w:sz="0" w:space="0" w:color="auto"/>
        <w:bottom w:val="none" w:sz="0" w:space="0" w:color="auto"/>
        <w:right w:val="none" w:sz="0" w:space="0" w:color="auto"/>
      </w:divBdr>
    </w:div>
    <w:div w:id="1296788179">
      <w:bodyDiv w:val="1"/>
      <w:marLeft w:val="0"/>
      <w:marRight w:val="0"/>
      <w:marTop w:val="0"/>
      <w:marBottom w:val="0"/>
      <w:divBdr>
        <w:top w:val="none" w:sz="0" w:space="0" w:color="auto"/>
        <w:left w:val="none" w:sz="0" w:space="0" w:color="auto"/>
        <w:bottom w:val="none" w:sz="0" w:space="0" w:color="auto"/>
        <w:right w:val="none" w:sz="0" w:space="0" w:color="auto"/>
      </w:divBdr>
    </w:div>
    <w:div w:id="13842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F23E-5D9E-478B-AC06-0001E4E7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Anna King</cp:lastModifiedBy>
  <cp:revision>2</cp:revision>
  <dcterms:created xsi:type="dcterms:W3CDTF">2016-11-01T18:42:00Z</dcterms:created>
  <dcterms:modified xsi:type="dcterms:W3CDTF">2016-11-01T18:42:00Z</dcterms:modified>
</cp:coreProperties>
</file>