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7E8" w:rsidRPr="00CB5BAF" w:rsidRDefault="005F67E8" w:rsidP="005F67E8">
      <w:pPr>
        <w:jc w:val="center"/>
        <w:rPr>
          <w:rFonts w:ascii="Arial" w:hAnsi="Arial" w:cs="Arial"/>
          <w:b/>
          <w:sz w:val="24"/>
          <w:szCs w:val="24"/>
        </w:rPr>
      </w:pPr>
      <w:r w:rsidRPr="00CB5BAF">
        <w:rPr>
          <w:rFonts w:ascii="Arial" w:hAnsi="Arial" w:cs="Arial"/>
          <w:b/>
          <w:sz w:val="24"/>
          <w:szCs w:val="24"/>
        </w:rPr>
        <w:t>Centre Wellington Hydro Ltd.</w:t>
      </w:r>
    </w:p>
    <w:p w:rsidR="005F67E8" w:rsidRPr="00CB5BAF" w:rsidRDefault="005F67E8" w:rsidP="005F67E8">
      <w:pPr>
        <w:jc w:val="center"/>
        <w:rPr>
          <w:rFonts w:ascii="Arial" w:hAnsi="Arial" w:cs="Arial"/>
          <w:b/>
          <w:sz w:val="24"/>
          <w:szCs w:val="24"/>
        </w:rPr>
      </w:pPr>
      <w:r>
        <w:rPr>
          <w:rFonts w:ascii="Arial" w:hAnsi="Arial" w:cs="Arial"/>
          <w:b/>
          <w:sz w:val="24"/>
          <w:szCs w:val="24"/>
        </w:rPr>
        <w:t xml:space="preserve">Follow up questions to </w:t>
      </w:r>
      <w:r w:rsidRPr="00CB5BAF">
        <w:rPr>
          <w:rFonts w:ascii="Arial" w:hAnsi="Arial" w:cs="Arial"/>
          <w:b/>
          <w:sz w:val="24"/>
          <w:szCs w:val="24"/>
        </w:rPr>
        <w:t>Application Analysis (EB-2016-0062)</w:t>
      </w:r>
    </w:p>
    <w:p w:rsidR="005F67E8" w:rsidRDefault="005F67E8" w:rsidP="005F67E8">
      <w:pPr>
        <w:rPr>
          <w:rFonts w:ascii="Arial" w:hAnsi="Arial" w:cs="Arial"/>
          <w:b/>
          <w:sz w:val="24"/>
          <w:szCs w:val="24"/>
        </w:rPr>
      </w:pPr>
    </w:p>
    <w:p w:rsidR="005F67E8" w:rsidRPr="00CB5BAF" w:rsidRDefault="005F67E8" w:rsidP="005F67E8">
      <w:pPr>
        <w:rPr>
          <w:rFonts w:ascii="Arial" w:hAnsi="Arial" w:cs="Arial"/>
          <w:b/>
          <w:sz w:val="24"/>
          <w:szCs w:val="24"/>
        </w:rPr>
      </w:pPr>
      <w:r w:rsidRPr="00CB5BAF">
        <w:rPr>
          <w:rFonts w:ascii="Arial" w:hAnsi="Arial" w:cs="Arial"/>
          <w:b/>
          <w:sz w:val="24"/>
          <w:szCs w:val="24"/>
        </w:rPr>
        <w:t>Tab 3 – Continuity Schedule</w:t>
      </w:r>
      <w:r>
        <w:rPr>
          <w:rFonts w:ascii="Arial" w:hAnsi="Arial" w:cs="Arial"/>
          <w:b/>
          <w:sz w:val="24"/>
          <w:szCs w:val="24"/>
        </w:rPr>
        <w:t xml:space="preserve"> – Interrogatory #2</w:t>
      </w:r>
    </w:p>
    <w:p w:rsidR="005F67E8" w:rsidRDefault="005F67E8" w:rsidP="00623DD2">
      <w:pPr>
        <w:pStyle w:val="ListParagraph"/>
        <w:rPr>
          <w:rFonts w:ascii="Arial" w:hAnsi="Arial" w:cs="Arial"/>
          <w:i/>
          <w:sz w:val="24"/>
          <w:szCs w:val="24"/>
          <w:lang w:val="en-US"/>
        </w:rPr>
      </w:pPr>
      <w:r w:rsidRPr="005F67E8">
        <w:rPr>
          <w:rFonts w:ascii="Arial" w:hAnsi="Arial" w:cs="Arial"/>
          <w:i/>
          <w:sz w:val="24"/>
          <w:szCs w:val="24"/>
          <w:u w:val="single"/>
          <w:lang w:val="en-US"/>
        </w:rPr>
        <w:t>The OEB asked</w:t>
      </w:r>
      <w:r w:rsidRPr="005F67E8">
        <w:rPr>
          <w:rFonts w:ascii="Arial" w:hAnsi="Arial" w:cs="Arial"/>
          <w:i/>
          <w:sz w:val="24"/>
          <w:szCs w:val="24"/>
          <w:lang w:val="en-US"/>
        </w:rPr>
        <w:t xml:space="preserve">: </w:t>
      </w:r>
      <w:r w:rsidR="00623DD2">
        <w:rPr>
          <w:rFonts w:ascii="Arial" w:hAnsi="Arial" w:cs="Arial"/>
          <w:i/>
          <w:sz w:val="24"/>
          <w:szCs w:val="24"/>
          <w:lang w:val="en-US"/>
        </w:rPr>
        <w:t>“</w:t>
      </w:r>
      <w:r w:rsidR="00BE3E1C" w:rsidRPr="005F67E8">
        <w:rPr>
          <w:rFonts w:ascii="Arial" w:hAnsi="Arial" w:cs="Arial"/>
          <w:i/>
          <w:sz w:val="24"/>
          <w:szCs w:val="24"/>
          <w:lang w:val="en-US"/>
        </w:rPr>
        <w:t>The figures reported for approved disposition in 2013 are slightly different from those reported in the 2013 Decision and Rate Order, please verify your submission.</w:t>
      </w:r>
      <w:r w:rsidRPr="005F67E8">
        <w:rPr>
          <w:rFonts w:ascii="Arial" w:hAnsi="Arial" w:cs="Arial"/>
          <w:i/>
          <w:sz w:val="24"/>
          <w:szCs w:val="24"/>
          <w:lang w:val="en-US"/>
        </w:rPr>
        <w:t xml:space="preserve">” </w:t>
      </w:r>
    </w:p>
    <w:p w:rsidR="005F67E8" w:rsidRPr="005F67E8" w:rsidRDefault="005F67E8" w:rsidP="00623DD2">
      <w:pPr>
        <w:ind w:left="720"/>
        <w:rPr>
          <w:rFonts w:ascii="Arial" w:hAnsi="Arial" w:cs="Arial"/>
          <w:i/>
          <w:sz w:val="24"/>
          <w:szCs w:val="24"/>
          <w:lang w:val="en-US"/>
        </w:rPr>
      </w:pPr>
    </w:p>
    <w:p w:rsidR="00BE3E1C" w:rsidRPr="005F67E8" w:rsidRDefault="005F67E8" w:rsidP="00623DD2">
      <w:pPr>
        <w:ind w:left="720"/>
        <w:rPr>
          <w:rFonts w:ascii="Arial" w:hAnsi="Arial" w:cs="Arial"/>
          <w:i/>
          <w:sz w:val="24"/>
          <w:szCs w:val="24"/>
        </w:rPr>
      </w:pPr>
      <w:r w:rsidRPr="005F67E8">
        <w:rPr>
          <w:rFonts w:ascii="Arial" w:hAnsi="Arial" w:cs="Arial"/>
          <w:i/>
          <w:sz w:val="24"/>
          <w:szCs w:val="24"/>
          <w:u w:val="single"/>
          <w:lang w:val="en-US"/>
        </w:rPr>
        <w:t>CW</w:t>
      </w:r>
      <w:r w:rsidR="00623DD2">
        <w:rPr>
          <w:rFonts w:ascii="Arial" w:hAnsi="Arial" w:cs="Arial"/>
          <w:i/>
          <w:sz w:val="24"/>
          <w:szCs w:val="24"/>
          <w:u w:val="single"/>
          <w:lang w:val="en-US"/>
        </w:rPr>
        <w:t>H</w:t>
      </w:r>
      <w:r w:rsidRPr="005F67E8">
        <w:rPr>
          <w:rFonts w:ascii="Arial" w:hAnsi="Arial" w:cs="Arial"/>
          <w:i/>
          <w:sz w:val="24"/>
          <w:szCs w:val="24"/>
          <w:u w:val="single"/>
          <w:lang w:val="en-US"/>
        </w:rPr>
        <w:t xml:space="preserve"> replied</w:t>
      </w:r>
      <w:r w:rsidRPr="005F67E8">
        <w:rPr>
          <w:rFonts w:ascii="Arial" w:hAnsi="Arial" w:cs="Arial"/>
          <w:i/>
          <w:sz w:val="24"/>
          <w:szCs w:val="24"/>
          <w:lang w:val="en-US"/>
        </w:rPr>
        <w:t>: “</w:t>
      </w:r>
      <w:r w:rsidR="00BE3E1C" w:rsidRPr="005F67E8">
        <w:rPr>
          <w:rFonts w:ascii="Arial" w:hAnsi="Arial" w:cs="Arial"/>
          <w:i/>
          <w:sz w:val="24"/>
          <w:szCs w:val="24"/>
        </w:rPr>
        <w:t>In 2009 the principle amount recorded included the carry charges, therefore the total is correct but the allocation between principle and interest is different.</w:t>
      </w:r>
      <w:r w:rsidRPr="005F67E8">
        <w:rPr>
          <w:rFonts w:ascii="Arial" w:hAnsi="Arial" w:cs="Arial"/>
          <w:i/>
          <w:sz w:val="24"/>
          <w:szCs w:val="24"/>
        </w:rPr>
        <w:t>”</w:t>
      </w:r>
    </w:p>
    <w:p w:rsidR="00BE3E1C" w:rsidRDefault="00623DD2" w:rsidP="00BE3E1C">
      <w:pPr>
        <w:spacing w:before="120"/>
        <w:rPr>
          <w:rFonts w:ascii="Arial" w:hAnsi="Arial" w:cs="Arial"/>
          <w:sz w:val="24"/>
          <w:szCs w:val="24"/>
        </w:rPr>
      </w:pPr>
      <w:r w:rsidRPr="00623DD2">
        <w:rPr>
          <w:rFonts w:ascii="Arial" w:hAnsi="Arial" w:cs="Arial"/>
          <w:sz w:val="24"/>
          <w:szCs w:val="24"/>
        </w:rPr>
        <w:t>Could you please explain further how the 2009 principle ties into this, looking at the model, the values in the decision do not balance.</w:t>
      </w:r>
    </w:p>
    <w:p w:rsidR="00926C6D" w:rsidRDefault="00926C6D" w:rsidP="00BE3E1C">
      <w:pPr>
        <w:spacing w:before="120"/>
        <w:rPr>
          <w:rFonts w:ascii="Arial" w:hAnsi="Arial" w:cs="Arial"/>
          <w:sz w:val="24"/>
          <w:szCs w:val="24"/>
        </w:rPr>
      </w:pPr>
    </w:p>
    <w:p w:rsidR="00792561" w:rsidRPr="005506A9" w:rsidRDefault="00792561" w:rsidP="00792561">
      <w:pPr>
        <w:rPr>
          <w:rFonts w:ascii="Arial" w:hAnsi="Arial" w:cs="Arial"/>
          <w:i/>
          <w:color w:val="FF0000"/>
          <w:sz w:val="24"/>
          <w:szCs w:val="24"/>
        </w:rPr>
      </w:pPr>
      <w:r w:rsidRPr="005506A9">
        <w:rPr>
          <w:rFonts w:ascii="Arial" w:hAnsi="Arial" w:cs="Arial"/>
          <w:i/>
          <w:color w:val="FF0000"/>
          <w:sz w:val="24"/>
          <w:szCs w:val="24"/>
        </w:rPr>
        <w:t>Response:</w:t>
      </w:r>
    </w:p>
    <w:p w:rsidR="00792561" w:rsidRDefault="00792561" w:rsidP="00792561">
      <w:pPr>
        <w:rPr>
          <w:rFonts w:ascii="Arial" w:hAnsi="Arial" w:cs="Arial"/>
          <w:i/>
          <w:color w:val="FF0000"/>
          <w:sz w:val="24"/>
          <w:szCs w:val="24"/>
          <w:lang w:val="en-US"/>
        </w:rPr>
      </w:pPr>
      <w:r>
        <w:rPr>
          <w:rFonts w:ascii="Arial" w:hAnsi="Arial" w:cs="Arial"/>
          <w:i/>
          <w:color w:val="FF0000"/>
          <w:sz w:val="24"/>
          <w:szCs w:val="24"/>
          <w:lang w:val="en-US"/>
        </w:rPr>
        <w:t xml:space="preserve">CWH has reviewed all the figures in the Continuity Schedule and revised them to reflect the correct OEB Decision and Rate orders for each year and balanced the amounts to our General Ledger.  The overall figures were correct, but not in all cases did they reflect the OEB decision.  Some of the amounts were incorrectly recorded in the wrong columns.  </w:t>
      </w:r>
    </w:p>
    <w:p w:rsidR="00792561" w:rsidRDefault="00792561" w:rsidP="00792561">
      <w:pPr>
        <w:rPr>
          <w:rFonts w:ascii="Arial" w:hAnsi="Arial" w:cs="Arial"/>
          <w:i/>
          <w:color w:val="FF0000"/>
          <w:sz w:val="24"/>
          <w:szCs w:val="24"/>
          <w:lang w:val="en-US"/>
        </w:rPr>
      </w:pPr>
    </w:p>
    <w:p w:rsidR="00792561" w:rsidRDefault="00792561" w:rsidP="00792561">
      <w:pPr>
        <w:rPr>
          <w:rFonts w:ascii="Arial" w:hAnsi="Arial" w:cs="Arial"/>
          <w:i/>
          <w:color w:val="FF0000"/>
          <w:sz w:val="24"/>
          <w:szCs w:val="24"/>
          <w:lang w:val="en-US"/>
        </w:rPr>
      </w:pPr>
      <w:r>
        <w:rPr>
          <w:rFonts w:ascii="Arial" w:hAnsi="Arial" w:cs="Arial"/>
          <w:i/>
          <w:color w:val="FF0000"/>
          <w:sz w:val="24"/>
          <w:szCs w:val="24"/>
          <w:lang w:val="en-US"/>
        </w:rPr>
        <w:t>An updated copy of the “CWH EB-2016-0062_2017_IRM_RateGen_Model_Revised 20170201” has been included with this submission.</w:t>
      </w:r>
    </w:p>
    <w:p w:rsidR="00926C6D" w:rsidRDefault="00926C6D" w:rsidP="00792561">
      <w:pPr>
        <w:rPr>
          <w:rFonts w:ascii="Arial" w:hAnsi="Arial" w:cs="Arial"/>
          <w:i/>
          <w:color w:val="FF0000"/>
          <w:sz w:val="24"/>
          <w:szCs w:val="24"/>
          <w:lang w:val="en-US"/>
        </w:rPr>
      </w:pPr>
    </w:p>
    <w:p w:rsidR="00792561" w:rsidRDefault="00792561" w:rsidP="00792561">
      <w:pPr>
        <w:rPr>
          <w:rFonts w:ascii="Arial" w:hAnsi="Arial" w:cs="Arial"/>
          <w:i/>
          <w:color w:val="FF0000"/>
          <w:sz w:val="24"/>
          <w:szCs w:val="24"/>
          <w:lang w:val="en-US"/>
        </w:rPr>
      </w:pPr>
      <w:r>
        <w:rPr>
          <w:rFonts w:ascii="Arial" w:hAnsi="Arial" w:cs="Arial"/>
          <w:i/>
          <w:color w:val="FF0000"/>
          <w:sz w:val="24"/>
          <w:szCs w:val="24"/>
          <w:lang w:val="en-US"/>
        </w:rPr>
        <w:t>CWH has made the decision that the Group 1 Deferral Variance will not be disposed of during the 2017 IRM model but will be included in the values for the 2018 Cost of Service application.</w:t>
      </w:r>
    </w:p>
    <w:p w:rsidR="00792561" w:rsidRDefault="00792561" w:rsidP="00792561">
      <w:pPr>
        <w:rPr>
          <w:rFonts w:ascii="Arial" w:hAnsi="Arial" w:cs="Arial"/>
          <w:i/>
          <w:color w:val="FF0000"/>
          <w:sz w:val="24"/>
          <w:szCs w:val="24"/>
          <w:lang w:val="en-US"/>
        </w:rPr>
      </w:pPr>
    </w:p>
    <w:p w:rsidR="00792561" w:rsidRDefault="00792561" w:rsidP="00792561">
      <w:pPr>
        <w:rPr>
          <w:rFonts w:ascii="Arial" w:hAnsi="Arial" w:cs="Arial"/>
          <w:i/>
          <w:color w:val="FF0000"/>
          <w:sz w:val="24"/>
          <w:szCs w:val="24"/>
          <w:lang w:val="en-US"/>
        </w:rPr>
      </w:pPr>
      <w:r>
        <w:rPr>
          <w:rFonts w:ascii="Arial" w:hAnsi="Arial" w:cs="Arial"/>
          <w:i/>
          <w:color w:val="FF0000"/>
          <w:sz w:val="24"/>
          <w:szCs w:val="24"/>
          <w:lang w:val="en-US"/>
        </w:rPr>
        <w:t>With regards to the disposal of</w:t>
      </w:r>
      <w:r w:rsidR="006333F6">
        <w:rPr>
          <w:rFonts w:ascii="Arial" w:hAnsi="Arial" w:cs="Arial"/>
          <w:i/>
          <w:color w:val="FF0000"/>
          <w:sz w:val="24"/>
          <w:szCs w:val="24"/>
          <w:lang w:val="en-US"/>
        </w:rPr>
        <w:t xml:space="preserve"> the LRAMVA revised amount of $73,766</w:t>
      </w:r>
      <w:r>
        <w:rPr>
          <w:rFonts w:ascii="Arial" w:hAnsi="Arial" w:cs="Arial"/>
          <w:i/>
          <w:color w:val="FF0000"/>
          <w:sz w:val="24"/>
          <w:szCs w:val="24"/>
          <w:lang w:val="en-US"/>
        </w:rPr>
        <w:t xml:space="preserve"> for the CDM period of 2011-2014, please see CWH’s response in question number 2 below. </w:t>
      </w:r>
    </w:p>
    <w:p w:rsidR="008417E8" w:rsidRPr="00792561" w:rsidRDefault="008417E8" w:rsidP="00BE3E1C">
      <w:pPr>
        <w:spacing w:before="120"/>
        <w:rPr>
          <w:rFonts w:ascii="Arial" w:hAnsi="Arial" w:cs="Arial"/>
          <w:sz w:val="24"/>
          <w:szCs w:val="24"/>
          <w:lang w:val="en-US"/>
        </w:rPr>
      </w:pPr>
    </w:p>
    <w:p w:rsidR="00BE3E1C" w:rsidRPr="00CB5BAF" w:rsidRDefault="00BE3E1C" w:rsidP="00BE3E1C">
      <w:pPr>
        <w:rPr>
          <w:rFonts w:ascii="Arial" w:hAnsi="Arial" w:cs="Arial"/>
          <w:b/>
          <w:sz w:val="24"/>
          <w:szCs w:val="24"/>
        </w:rPr>
      </w:pPr>
      <w:r w:rsidRPr="00CB5BAF">
        <w:rPr>
          <w:rFonts w:ascii="Arial" w:hAnsi="Arial" w:cs="Arial"/>
          <w:b/>
          <w:sz w:val="24"/>
          <w:szCs w:val="24"/>
        </w:rPr>
        <w:t>Manager’s Summary – 8. Deferral and Variance Accounts</w:t>
      </w:r>
    </w:p>
    <w:p w:rsidR="00BE3E1C" w:rsidRPr="00623DD2" w:rsidRDefault="00623DD2" w:rsidP="00623DD2">
      <w:pPr>
        <w:spacing w:before="120"/>
        <w:ind w:left="720"/>
        <w:rPr>
          <w:rFonts w:ascii="Arial" w:hAnsi="Arial" w:cs="Arial"/>
          <w:i/>
          <w:sz w:val="24"/>
          <w:szCs w:val="24"/>
          <w:lang w:val="en-US"/>
        </w:rPr>
      </w:pPr>
      <w:r w:rsidRPr="00623DD2">
        <w:rPr>
          <w:rFonts w:ascii="Arial" w:hAnsi="Arial" w:cs="Arial"/>
          <w:i/>
          <w:sz w:val="24"/>
          <w:szCs w:val="24"/>
          <w:u w:val="single"/>
          <w:lang w:val="en-US"/>
        </w:rPr>
        <w:t>The OEB asked</w:t>
      </w:r>
      <w:r w:rsidRPr="00623DD2">
        <w:rPr>
          <w:rFonts w:ascii="Arial" w:hAnsi="Arial" w:cs="Arial"/>
          <w:i/>
          <w:sz w:val="24"/>
          <w:szCs w:val="24"/>
          <w:lang w:val="en-US"/>
        </w:rPr>
        <w:t>: “</w:t>
      </w:r>
      <w:r w:rsidR="00BE3E1C" w:rsidRPr="00623DD2">
        <w:rPr>
          <w:rFonts w:ascii="Arial" w:hAnsi="Arial" w:cs="Arial"/>
          <w:i/>
          <w:sz w:val="24"/>
          <w:szCs w:val="24"/>
          <w:lang w:val="en-US"/>
        </w:rPr>
        <w:t>OEB staff notes that Centre Wellington wishes to dispose of its deferral and variance account over the period of one year. However, they are below the agreed threshold and do not provide justification or report what the rate riders would be. Please provide a justification and amend the application to in</w:t>
      </w:r>
      <w:r w:rsidRPr="00623DD2">
        <w:rPr>
          <w:rFonts w:ascii="Arial" w:hAnsi="Arial" w:cs="Arial"/>
          <w:i/>
          <w:sz w:val="24"/>
          <w:szCs w:val="24"/>
          <w:lang w:val="en-US"/>
        </w:rPr>
        <w:t>clude the proposed rate riders.”</w:t>
      </w:r>
    </w:p>
    <w:p w:rsidR="00BE3E1C" w:rsidRPr="00623DD2" w:rsidRDefault="00623DD2" w:rsidP="00623DD2">
      <w:pPr>
        <w:spacing w:before="120"/>
        <w:ind w:left="720"/>
        <w:rPr>
          <w:rFonts w:ascii="Arial" w:hAnsi="Arial" w:cs="Arial"/>
          <w:i/>
          <w:sz w:val="24"/>
          <w:szCs w:val="24"/>
          <w:lang w:val="en-US"/>
        </w:rPr>
      </w:pPr>
      <w:r w:rsidRPr="00623DD2">
        <w:rPr>
          <w:rFonts w:ascii="Arial" w:hAnsi="Arial" w:cs="Arial"/>
          <w:i/>
          <w:sz w:val="24"/>
          <w:szCs w:val="24"/>
          <w:u w:val="single"/>
          <w:lang w:val="en-US"/>
        </w:rPr>
        <w:t>CWH replied</w:t>
      </w:r>
      <w:r w:rsidRPr="00623DD2">
        <w:rPr>
          <w:rFonts w:ascii="Arial" w:hAnsi="Arial" w:cs="Arial"/>
          <w:i/>
          <w:sz w:val="24"/>
          <w:szCs w:val="24"/>
          <w:lang w:val="en-US"/>
        </w:rPr>
        <w:t>: “</w:t>
      </w:r>
      <w:r w:rsidR="00BE3E1C" w:rsidRPr="00623DD2">
        <w:rPr>
          <w:rFonts w:ascii="Arial" w:hAnsi="Arial" w:cs="Arial"/>
          <w:i/>
          <w:sz w:val="24"/>
          <w:szCs w:val="24"/>
          <w:lang w:val="en-US"/>
        </w:rPr>
        <w:t xml:space="preserve">CWH agrees that the deferral and variance of Group 1 accounts are under the agreed threshold and is willing to postpone the disposal of the balance of Group 1 until its 2018 Cost of Service application. </w:t>
      </w:r>
    </w:p>
    <w:p w:rsidR="00BE3E1C" w:rsidRPr="00623DD2" w:rsidRDefault="00BE3E1C" w:rsidP="00623DD2">
      <w:pPr>
        <w:spacing w:before="120"/>
        <w:ind w:left="720"/>
        <w:rPr>
          <w:rFonts w:ascii="Arial" w:hAnsi="Arial" w:cs="Arial"/>
          <w:i/>
          <w:sz w:val="24"/>
          <w:szCs w:val="24"/>
          <w:lang w:val="en-US"/>
        </w:rPr>
      </w:pPr>
      <w:r w:rsidRPr="00623DD2">
        <w:rPr>
          <w:rFonts w:ascii="Arial" w:hAnsi="Arial" w:cs="Arial"/>
          <w:i/>
          <w:sz w:val="24"/>
          <w:szCs w:val="24"/>
          <w:lang w:val="en-US"/>
        </w:rPr>
        <w:t xml:space="preserve">However, CWH would like to proceed with the disposal of the LRAMVA amount of $82,489.55.  This amount is for the CDM period of 2011 to 2014 and the amounts has been adjusted to agree with OEB process as established in the review.  </w:t>
      </w:r>
    </w:p>
    <w:p w:rsidR="00BE3E1C" w:rsidRPr="00623DD2" w:rsidRDefault="00BE3E1C" w:rsidP="00623DD2">
      <w:pPr>
        <w:ind w:left="720"/>
        <w:rPr>
          <w:rFonts w:ascii="Arial" w:hAnsi="Arial" w:cs="Arial"/>
          <w:i/>
          <w:sz w:val="24"/>
          <w:szCs w:val="24"/>
          <w:lang w:val="en-US"/>
        </w:rPr>
      </w:pPr>
      <w:r w:rsidRPr="00623DD2">
        <w:rPr>
          <w:rFonts w:ascii="Arial" w:hAnsi="Arial" w:cs="Arial"/>
          <w:i/>
          <w:sz w:val="24"/>
          <w:szCs w:val="24"/>
          <w:lang w:val="en-US"/>
        </w:rPr>
        <w:lastRenderedPageBreak/>
        <w:t>CWH originally applied for disposition of the LRAMVA amount in the 2016 IRM (EB-2015-0059), however, the OEB Board requested that the disposal be deferred until the OEB had the opportunity to review its LRAMVA policy</w:t>
      </w:r>
      <w:r w:rsidR="00623DD2" w:rsidRPr="00623DD2">
        <w:rPr>
          <w:rFonts w:ascii="Arial" w:hAnsi="Arial" w:cs="Arial"/>
          <w:i/>
          <w:sz w:val="24"/>
          <w:szCs w:val="24"/>
          <w:lang w:val="en-US"/>
        </w:rPr>
        <w:t>.”</w:t>
      </w:r>
    </w:p>
    <w:p w:rsidR="00746080" w:rsidRDefault="00746080">
      <w:pPr>
        <w:rPr>
          <w:rFonts w:ascii="Arial" w:hAnsi="Arial" w:cs="Arial"/>
          <w:sz w:val="24"/>
          <w:szCs w:val="24"/>
        </w:rPr>
      </w:pPr>
    </w:p>
    <w:p w:rsidR="00BE3E1C" w:rsidRDefault="00623DD2">
      <w:pPr>
        <w:rPr>
          <w:rFonts w:ascii="Arial" w:hAnsi="Arial" w:cs="Arial"/>
          <w:sz w:val="24"/>
          <w:szCs w:val="24"/>
        </w:rPr>
      </w:pPr>
      <w:r>
        <w:rPr>
          <w:rFonts w:ascii="Arial" w:hAnsi="Arial" w:cs="Arial"/>
          <w:sz w:val="24"/>
          <w:szCs w:val="24"/>
        </w:rPr>
        <w:t>If CWH would like to dispose, please provide a request and justification. Referring to filling requirements (</w:t>
      </w:r>
      <w:proofErr w:type="spellStart"/>
      <w:r>
        <w:rPr>
          <w:rFonts w:ascii="Arial" w:hAnsi="Arial" w:cs="Arial"/>
          <w:sz w:val="24"/>
          <w:szCs w:val="24"/>
        </w:rPr>
        <w:t>pg</w:t>
      </w:r>
      <w:proofErr w:type="spellEnd"/>
      <w:r>
        <w:rPr>
          <w:rFonts w:ascii="Arial" w:hAnsi="Arial" w:cs="Arial"/>
          <w:sz w:val="24"/>
          <w:szCs w:val="24"/>
        </w:rPr>
        <w:t xml:space="preserve"> 10-11 and Appendix B </w:t>
      </w:r>
      <w:proofErr w:type="spellStart"/>
      <w:r>
        <w:rPr>
          <w:rFonts w:ascii="Arial" w:hAnsi="Arial" w:cs="Arial"/>
          <w:sz w:val="24"/>
          <w:szCs w:val="24"/>
        </w:rPr>
        <w:t>pg</w:t>
      </w:r>
      <w:proofErr w:type="spellEnd"/>
      <w:r>
        <w:rPr>
          <w:rFonts w:ascii="Arial" w:hAnsi="Arial" w:cs="Arial"/>
          <w:sz w:val="24"/>
          <w:szCs w:val="24"/>
        </w:rPr>
        <w:t xml:space="preserve"> 26) could be helpful to this end. </w:t>
      </w:r>
    </w:p>
    <w:p w:rsidR="00792561" w:rsidRDefault="00792561" w:rsidP="00792561">
      <w:pPr>
        <w:rPr>
          <w:rFonts w:ascii="Arial" w:hAnsi="Arial" w:cs="Arial"/>
          <w:i/>
          <w:color w:val="FF0000"/>
          <w:sz w:val="24"/>
          <w:szCs w:val="24"/>
          <w:lang w:val="en-US"/>
        </w:rPr>
      </w:pPr>
    </w:p>
    <w:p w:rsidR="00792561" w:rsidRPr="005506A9" w:rsidRDefault="00792561" w:rsidP="00792561">
      <w:pPr>
        <w:rPr>
          <w:rFonts w:ascii="Arial" w:hAnsi="Arial" w:cs="Arial"/>
          <w:i/>
          <w:color w:val="FF0000"/>
          <w:sz w:val="24"/>
          <w:szCs w:val="24"/>
          <w:lang w:val="en-US"/>
        </w:rPr>
      </w:pPr>
      <w:r w:rsidRPr="005506A9">
        <w:rPr>
          <w:rFonts w:ascii="Arial" w:hAnsi="Arial" w:cs="Arial"/>
          <w:i/>
          <w:color w:val="FF0000"/>
          <w:sz w:val="24"/>
          <w:szCs w:val="24"/>
          <w:lang w:val="en-US"/>
        </w:rPr>
        <w:t>Response</w:t>
      </w:r>
      <w:r>
        <w:rPr>
          <w:rFonts w:ascii="Arial" w:hAnsi="Arial" w:cs="Arial"/>
          <w:i/>
          <w:color w:val="FF0000"/>
          <w:sz w:val="24"/>
          <w:szCs w:val="24"/>
          <w:lang w:val="en-US"/>
        </w:rPr>
        <w:t xml:space="preserve"> to the Disposition of Group 1 balances</w:t>
      </w:r>
      <w:r w:rsidRPr="005506A9">
        <w:rPr>
          <w:rFonts w:ascii="Arial" w:hAnsi="Arial" w:cs="Arial"/>
          <w:i/>
          <w:color w:val="FF0000"/>
          <w:sz w:val="24"/>
          <w:szCs w:val="24"/>
          <w:lang w:val="en-US"/>
        </w:rPr>
        <w:t>:</w:t>
      </w:r>
    </w:p>
    <w:p w:rsidR="00792561" w:rsidRPr="005506A9" w:rsidRDefault="00792561" w:rsidP="00792561">
      <w:pPr>
        <w:pStyle w:val="PlainText"/>
        <w:rPr>
          <w:rFonts w:ascii="Arial" w:hAnsi="Arial" w:cs="Arial"/>
          <w:i/>
          <w:color w:val="FF0000"/>
          <w:sz w:val="24"/>
          <w:szCs w:val="24"/>
        </w:rPr>
      </w:pPr>
      <w:r w:rsidRPr="005506A9">
        <w:rPr>
          <w:rFonts w:ascii="Arial" w:hAnsi="Arial" w:cs="Arial"/>
          <w:i/>
          <w:color w:val="FF0000"/>
          <w:sz w:val="24"/>
          <w:szCs w:val="24"/>
        </w:rPr>
        <w:t xml:space="preserve">Given CHW’s responses above, the utility </w:t>
      </w:r>
      <w:r>
        <w:rPr>
          <w:rFonts w:ascii="Arial" w:hAnsi="Arial" w:cs="Arial"/>
          <w:i/>
          <w:color w:val="FF0000"/>
          <w:sz w:val="24"/>
          <w:szCs w:val="24"/>
        </w:rPr>
        <w:t>is in full compliance with the </w:t>
      </w:r>
      <w:r w:rsidRPr="005506A9">
        <w:rPr>
          <w:rFonts w:ascii="Arial" w:hAnsi="Arial" w:cs="Arial"/>
          <w:i/>
          <w:color w:val="FF0000"/>
          <w:sz w:val="24"/>
          <w:szCs w:val="24"/>
        </w:rPr>
        <w:t>Chapter 3 of the MFR which state that “Group 1 audited account balances will be reviewed, and disposed if the pre-set disposition threshold of $0.001 per kWh (debit or credit) is exceeded”. The utility’s total balance for Group 1 accounts does not meet the threshold” therefore</w:t>
      </w:r>
      <w:r>
        <w:rPr>
          <w:rFonts w:ascii="Arial" w:hAnsi="Arial" w:cs="Arial"/>
          <w:i/>
          <w:color w:val="FF0000"/>
          <w:sz w:val="24"/>
          <w:szCs w:val="24"/>
        </w:rPr>
        <w:t>,</w:t>
      </w:r>
      <w:r w:rsidRPr="005506A9">
        <w:rPr>
          <w:rFonts w:ascii="Arial" w:hAnsi="Arial" w:cs="Arial"/>
          <w:i/>
          <w:color w:val="FF0000"/>
          <w:sz w:val="24"/>
          <w:szCs w:val="24"/>
        </w:rPr>
        <w:t xml:space="preserve"> as explained above, “CHW is willing to postpone the disposal of the balance of Group 1 until its 2018 Cost of Service application.” </w:t>
      </w:r>
    </w:p>
    <w:p w:rsidR="00792561" w:rsidRDefault="00792561" w:rsidP="00792561">
      <w:pPr>
        <w:rPr>
          <w:rFonts w:ascii="Arial" w:hAnsi="Arial" w:cs="Arial"/>
          <w:i/>
          <w:color w:val="FF0000"/>
          <w:sz w:val="24"/>
          <w:szCs w:val="24"/>
          <w:lang w:val="en-US"/>
        </w:rPr>
      </w:pPr>
    </w:p>
    <w:p w:rsidR="00792561" w:rsidRPr="005506A9" w:rsidRDefault="00792561" w:rsidP="00792561">
      <w:pPr>
        <w:rPr>
          <w:rFonts w:ascii="Arial" w:hAnsi="Arial" w:cs="Arial"/>
          <w:i/>
          <w:color w:val="FF0000"/>
          <w:sz w:val="24"/>
          <w:szCs w:val="24"/>
          <w:lang w:val="en-US"/>
        </w:rPr>
      </w:pPr>
      <w:r w:rsidRPr="005506A9">
        <w:rPr>
          <w:rFonts w:ascii="Arial" w:hAnsi="Arial" w:cs="Arial"/>
          <w:i/>
          <w:color w:val="FF0000"/>
          <w:sz w:val="24"/>
          <w:szCs w:val="24"/>
          <w:lang w:val="en-US"/>
        </w:rPr>
        <w:t>Response</w:t>
      </w:r>
      <w:r>
        <w:rPr>
          <w:rFonts w:ascii="Arial" w:hAnsi="Arial" w:cs="Arial"/>
          <w:i/>
          <w:color w:val="FF0000"/>
          <w:sz w:val="24"/>
          <w:szCs w:val="24"/>
          <w:lang w:val="en-US"/>
        </w:rPr>
        <w:t xml:space="preserve"> to the Disposition of LRAMVA balances</w:t>
      </w:r>
      <w:r w:rsidRPr="005506A9">
        <w:rPr>
          <w:rFonts w:ascii="Arial" w:hAnsi="Arial" w:cs="Arial"/>
          <w:i/>
          <w:color w:val="FF0000"/>
          <w:sz w:val="24"/>
          <w:szCs w:val="24"/>
          <w:lang w:val="en-US"/>
        </w:rPr>
        <w:t>:</w:t>
      </w:r>
    </w:p>
    <w:p w:rsidR="00792561" w:rsidRPr="005506A9" w:rsidRDefault="00792561" w:rsidP="00792561">
      <w:pPr>
        <w:pStyle w:val="PlainText"/>
        <w:rPr>
          <w:rFonts w:ascii="Arial" w:hAnsi="Arial" w:cs="Arial"/>
          <w:i/>
          <w:color w:val="FF0000"/>
          <w:sz w:val="24"/>
          <w:szCs w:val="24"/>
        </w:rPr>
      </w:pPr>
      <w:r w:rsidRPr="005506A9">
        <w:rPr>
          <w:rFonts w:ascii="Arial" w:hAnsi="Arial" w:cs="Arial"/>
          <w:i/>
          <w:color w:val="FF0000"/>
          <w:sz w:val="24"/>
          <w:szCs w:val="24"/>
        </w:rPr>
        <w:t>With respect to account 1568 LRAMVA, the utility has also complied with Section 3.2.6.1 of Chapter 3 of the MFR which state; A Distributors may apply for the disposition of the balance in the LRAMVA on an annual basis, as part of their IRM rate applications, if the balance is deemed significant by the applicant.”. CWH is of the view that a disposition of $</w:t>
      </w:r>
      <w:r w:rsidR="006333F6">
        <w:rPr>
          <w:rFonts w:ascii="Arial" w:hAnsi="Arial" w:cs="Arial"/>
          <w:i/>
          <w:color w:val="FF0000"/>
          <w:sz w:val="24"/>
          <w:szCs w:val="24"/>
        </w:rPr>
        <w:t>73</w:t>
      </w:r>
      <w:r>
        <w:rPr>
          <w:rFonts w:ascii="Arial" w:hAnsi="Arial" w:cs="Arial"/>
          <w:i/>
          <w:color w:val="FF0000"/>
          <w:sz w:val="24"/>
          <w:szCs w:val="24"/>
        </w:rPr>
        <w:t>K</w:t>
      </w:r>
      <w:r w:rsidRPr="005506A9">
        <w:rPr>
          <w:rFonts w:ascii="Arial" w:hAnsi="Arial" w:cs="Arial"/>
          <w:i/>
          <w:color w:val="FF0000"/>
          <w:sz w:val="24"/>
          <w:szCs w:val="24"/>
        </w:rPr>
        <w:t xml:space="preserve"> is significant en</w:t>
      </w:r>
      <w:r w:rsidR="006333F6">
        <w:rPr>
          <w:rFonts w:ascii="Arial" w:hAnsi="Arial" w:cs="Arial"/>
          <w:i/>
          <w:color w:val="FF0000"/>
          <w:sz w:val="24"/>
          <w:szCs w:val="24"/>
        </w:rPr>
        <w:t>ough for the utility to seek</w:t>
      </w:r>
      <w:bookmarkStart w:id="0" w:name="_GoBack"/>
      <w:bookmarkEnd w:id="0"/>
      <w:r w:rsidRPr="005506A9">
        <w:rPr>
          <w:rFonts w:ascii="Arial" w:hAnsi="Arial" w:cs="Arial"/>
          <w:i/>
          <w:color w:val="FF0000"/>
          <w:sz w:val="24"/>
          <w:szCs w:val="24"/>
        </w:rPr>
        <w:t xml:space="preserve"> disposal during this proceeding.</w:t>
      </w:r>
    </w:p>
    <w:p w:rsidR="005506A9" w:rsidRPr="00792561" w:rsidRDefault="005506A9">
      <w:pPr>
        <w:rPr>
          <w:rFonts w:ascii="Arial" w:hAnsi="Arial" w:cs="Arial"/>
          <w:sz w:val="24"/>
          <w:szCs w:val="24"/>
          <w:lang w:val="en-US"/>
        </w:rPr>
      </w:pPr>
    </w:p>
    <w:p w:rsidR="005506A9" w:rsidRPr="00792561" w:rsidRDefault="005506A9" w:rsidP="005506A9">
      <w:pPr>
        <w:rPr>
          <w:rFonts w:ascii="Arial" w:hAnsi="Arial" w:cs="Arial"/>
          <w:i/>
          <w:color w:val="FF0000"/>
          <w:sz w:val="24"/>
          <w:szCs w:val="24"/>
        </w:rPr>
      </w:pPr>
    </w:p>
    <w:p w:rsidR="005506A9" w:rsidRDefault="005506A9">
      <w:pPr>
        <w:rPr>
          <w:rFonts w:ascii="Arial" w:hAnsi="Arial" w:cs="Arial"/>
          <w:sz w:val="24"/>
          <w:szCs w:val="24"/>
        </w:rPr>
      </w:pPr>
    </w:p>
    <w:p w:rsidR="00623DD2" w:rsidRDefault="00623DD2">
      <w:pPr>
        <w:rPr>
          <w:rFonts w:ascii="Arial" w:hAnsi="Arial" w:cs="Arial"/>
          <w:sz w:val="24"/>
          <w:szCs w:val="24"/>
        </w:rPr>
      </w:pPr>
    </w:p>
    <w:p w:rsidR="00BE3E1C" w:rsidRPr="00623DD2" w:rsidRDefault="00BE3E1C" w:rsidP="00BE3E1C">
      <w:pPr>
        <w:rPr>
          <w:rFonts w:ascii="Arial" w:hAnsi="Arial" w:cs="Arial"/>
          <w:b/>
          <w:sz w:val="24"/>
          <w:szCs w:val="24"/>
        </w:rPr>
      </w:pPr>
      <w:r w:rsidRPr="00623DD2">
        <w:rPr>
          <w:rFonts w:ascii="Arial" w:hAnsi="Arial" w:cs="Arial"/>
          <w:b/>
          <w:sz w:val="24"/>
          <w:szCs w:val="24"/>
        </w:rPr>
        <w:t>LRAMVA</w:t>
      </w:r>
    </w:p>
    <w:p w:rsidR="00BE3E1C" w:rsidRDefault="00BE3E1C" w:rsidP="00BE3E1C">
      <w:pPr>
        <w:rPr>
          <w:rFonts w:ascii="Arial" w:hAnsi="Arial" w:cs="Arial"/>
          <w:sz w:val="24"/>
          <w:szCs w:val="24"/>
        </w:rPr>
      </w:pPr>
    </w:p>
    <w:p w:rsidR="00BE3E1C" w:rsidRDefault="00BE3E1C" w:rsidP="00BE3E1C">
      <w:pPr>
        <w:pStyle w:val="ListParagraph"/>
        <w:numPr>
          <w:ilvl w:val="0"/>
          <w:numId w:val="1"/>
        </w:numPr>
        <w:ind w:left="0" w:hanging="284"/>
        <w:rPr>
          <w:rFonts w:ascii="Arial" w:hAnsi="Arial" w:cs="Arial"/>
          <w:sz w:val="24"/>
          <w:szCs w:val="24"/>
          <w:lang w:val="en-US"/>
        </w:rPr>
      </w:pPr>
      <w:r>
        <w:rPr>
          <w:rFonts w:ascii="Arial" w:hAnsi="Arial" w:cs="Arial"/>
          <w:sz w:val="24"/>
          <w:szCs w:val="24"/>
          <w:lang w:val="en-US"/>
        </w:rPr>
        <w:t xml:space="preserve">In the LRAMVA </w:t>
      </w:r>
      <w:proofErr w:type="spellStart"/>
      <w:r>
        <w:rPr>
          <w:rFonts w:ascii="Arial" w:hAnsi="Arial" w:cs="Arial"/>
          <w:sz w:val="24"/>
          <w:szCs w:val="24"/>
          <w:lang w:val="en-US"/>
        </w:rPr>
        <w:t>workform</w:t>
      </w:r>
      <w:proofErr w:type="spellEnd"/>
      <w:r>
        <w:rPr>
          <w:rFonts w:ascii="Arial" w:hAnsi="Arial" w:cs="Arial"/>
          <w:sz w:val="24"/>
          <w:szCs w:val="24"/>
          <w:lang w:val="en-US"/>
        </w:rPr>
        <w:t xml:space="preserve"> (Tab 2), it appears that Centre Wellington is using the CDM adjustment (986,133 kWh) as the CDM savings forecast in the LRAMVA calculation.  However, in CWH’s IRRs to “3-Staff-51s” in the 2013 COS proceeding (EB-2012-0113</w:t>
      </w:r>
      <w:proofErr w:type="gramStart"/>
      <w:r>
        <w:rPr>
          <w:rFonts w:ascii="Arial" w:hAnsi="Arial" w:cs="Arial"/>
          <w:sz w:val="24"/>
          <w:szCs w:val="24"/>
          <w:lang w:val="en-US"/>
        </w:rPr>
        <w:t>),  2,288,799</w:t>
      </w:r>
      <w:proofErr w:type="gramEnd"/>
      <w:r>
        <w:rPr>
          <w:rFonts w:ascii="Arial" w:hAnsi="Arial" w:cs="Arial"/>
          <w:sz w:val="24"/>
          <w:szCs w:val="24"/>
          <w:lang w:val="en-US"/>
        </w:rPr>
        <w:t xml:space="preserve"> kWh was determined to be the annualized impact used for the LRAMVA calculation.  </w:t>
      </w:r>
    </w:p>
    <w:p w:rsidR="00BE3E1C" w:rsidRDefault="00BE3E1C" w:rsidP="00BE3E1C">
      <w:pPr>
        <w:pStyle w:val="ListParagraph"/>
        <w:ind w:left="284" w:hanging="284"/>
        <w:rPr>
          <w:rFonts w:ascii="Arial" w:hAnsi="Arial" w:cs="Arial"/>
          <w:sz w:val="24"/>
          <w:szCs w:val="24"/>
          <w:lang w:val="en-US"/>
        </w:rPr>
      </w:pPr>
    </w:p>
    <w:p w:rsidR="00BE3E1C" w:rsidRDefault="00BE3E1C" w:rsidP="00484797">
      <w:pPr>
        <w:pStyle w:val="ListParagraph"/>
        <w:keepNext/>
        <w:ind w:left="284" w:hanging="284"/>
        <w:rPr>
          <w:rFonts w:ascii="Arial" w:hAnsi="Arial" w:cs="Arial"/>
          <w:sz w:val="24"/>
          <w:szCs w:val="24"/>
          <w:lang w:val="en-US"/>
        </w:rPr>
      </w:pPr>
      <w:r>
        <w:rPr>
          <w:rFonts w:ascii="Arial" w:hAnsi="Arial" w:cs="Arial"/>
          <w:sz w:val="24"/>
          <w:szCs w:val="24"/>
          <w:lang w:val="en-US"/>
        </w:rPr>
        <w:t>Staff summarized findings, as follows:</w:t>
      </w:r>
    </w:p>
    <w:p w:rsidR="00BE3E1C" w:rsidRDefault="00BE3E1C" w:rsidP="00484797">
      <w:pPr>
        <w:pStyle w:val="ListParagraph"/>
        <w:keepNext/>
        <w:ind w:left="284" w:hanging="284"/>
        <w:rPr>
          <w:rFonts w:ascii="Arial" w:hAnsi="Arial" w:cs="Arial"/>
          <w:sz w:val="24"/>
          <w:szCs w:val="24"/>
          <w:lang w:val="en-US"/>
        </w:rPr>
      </w:pPr>
    </w:p>
    <w:p w:rsidR="00BE3E1C" w:rsidRDefault="00BE3E1C" w:rsidP="00484797">
      <w:pPr>
        <w:pStyle w:val="ListParagraph"/>
        <w:keepNext/>
        <w:ind w:left="284" w:hanging="284"/>
        <w:rPr>
          <w:rFonts w:ascii="Arial" w:hAnsi="Arial" w:cs="Arial"/>
          <w:sz w:val="24"/>
          <w:szCs w:val="24"/>
          <w:u w:val="single"/>
          <w:lang w:val="en-US"/>
        </w:rPr>
      </w:pPr>
      <w:r>
        <w:rPr>
          <w:rFonts w:ascii="Arial" w:hAnsi="Arial" w:cs="Arial"/>
          <w:sz w:val="24"/>
          <w:szCs w:val="24"/>
          <w:u w:val="single"/>
          <w:lang w:val="en-US"/>
        </w:rPr>
        <w:t xml:space="preserve">Tab 2 of the LRAMVA </w:t>
      </w:r>
      <w:proofErr w:type="spellStart"/>
      <w:r>
        <w:rPr>
          <w:rFonts w:ascii="Arial" w:hAnsi="Arial" w:cs="Arial"/>
          <w:sz w:val="24"/>
          <w:szCs w:val="24"/>
          <w:u w:val="single"/>
          <w:lang w:val="en-US"/>
        </w:rPr>
        <w:t>Workform</w:t>
      </w:r>
      <w:proofErr w:type="spellEnd"/>
    </w:p>
    <w:p w:rsidR="00BE3E1C" w:rsidRDefault="00BE3E1C" w:rsidP="00BE3E1C">
      <w:pPr>
        <w:pStyle w:val="ListParagraph"/>
        <w:ind w:left="284" w:hanging="284"/>
        <w:rPr>
          <w:rFonts w:ascii="Arial" w:hAnsi="Arial" w:cs="Arial"/>
          <w:sz w:val="24"/>
          <w:szCs w:val="24"/>
          <w:lang w:val="en-US"/>
        </w:rPr>
      </w:pPr>
    </w:p>
    <w:p w:rsidR="00BE3E1C" w:rsidRDefault="00BE3E1C" w:rsidP="00BE3E1C">
      <w:pPr>
        <w:pStyle w:val="ListParagraph"/>
        <w:ind w:left="0"/>
        <w:rPr>
          <w:rFonts w:ascii="Arial" w:hAnsi="Arial" w:cs="Arial"/>
          <w:sz w:val="24"/>
          <w:szCs w:val="24"/>
          <w:lang w:val="en-US"/>
        </w:rPr>
      </w:pPr>
      <w:r>
        <w:rPr>
          <w:noProof/>
          <w:lang w:val="en-US"/>
        </w:rPr>
        <w:drawing>
          <wp:inline distT="0" distB="0" distL="0" distR="0">
            <wp:extent cx="5943600" cy="1562100"/>
            <wp:effectExtent l="0" t="0" r="0" b="0"/>
            <wp:docPr id="3" name="Picture 3" descr="cid:image002.jpg@01D2731C.60365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2731C.60365E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562100"/>
                    </a:xfrm>
                    <a:prstGeom prst="rect">
                      <a:avLst/>
                    </a:prstGeom>
                    <a:noFill/>
                    <a:ln>
                      <a:noFill/>
                    </a:ln>
                  </pic:spPr>
                </pic:pic>
              </a:graphicData>
            </a:graphic>
          </wp:inline>
        </w:drawing>
      </w:r>
    </w:p>
    <w:p w:rsidR="00BE3E1C" w:rsidRDefault="00BE3E1C" w:rsidP="00BE3E1C">
      <w:pPr>
        <w:pStyle w:val="ListParagraph"/>
        <w:rPr>
          <w:rFonts w:ascii="Arial" w:hAnsi="Arial" w:cs="Arial"/>
          <w:sz w:val="24"/>
          <w:szCs w:val="24"/>
          <w:lang w:val="en-US"/>
        </w:rPr>
      </w:pPr>
    </w:p>
    <w:p w:rsidR="00BE3E1C" w:rsidRDefault="00BE3E1C" w:rsidP="00BE3E1C">
      <w:pPr>
        <w:pStyle w:val="ListParagraph"/>
        <w:ind w:left="0"/>
        <w:rPr>
          <w:rFonts w:ascii="Arial" w:hAnsi="Arial" w:cs="Arial"/>
          <w:sz w:val="24"/>
          <w:szCs w:val="24"/>
          <w:u w:val="single"/>
          <w:lang w:val="en-US"/>
        </w:rPr>
      </w:pPr>
      <w:r>
        <w:rPr>
          <w:rFonts w:ascii="Arial" w:hAnsi="Arial" w:cs="Arial"/>
          <w:sz w:val="24"/>
          <w:szCs w:val="24"/>
          <w:u w:val="single"/>
          <w:lang w:val="en-US"/>
        </w:rPr>
        <w:t>CWH Response to “3-Staff-51</w:t>
      </w:r>
      <w:proofErr w:type="gramStart"/>
      <w:r>
        <w:rPr>
          <w:rFonts w:ascii="Arial" w:hAnsi="Arial" w:cs="Arial"/>
          <w:sz w:val="24"/>
          <w:szCs w:val="24"/>
          <w:u w:val="single"/>
          <w:lang w:val="en-US"/>
        </w:rPr>
        <w:t>s,  c</w:t>
      </w:r>
      <w:proofErr w:type="gramEnd"/>
      <w:r>
        <w:rPr>
          <w:rFonts w:ascii="Arial" w:hAnsi="Arial" w:cs="Arial"/>
          <w:sz w:val="24"/>
          <w:szCs w:val="24"/>
          <w:u w:val="single"/>
          <w:lang w:val="en-US"/>
        </w:rPr>
        <w:t xml:space="preserve">) ” in 2013 COS – Reference: CWH_IR </w:t>
      </w:r>
      <w:proofErr w:type="spellStart"/>
      <w:r>
        <w:rPr>
          <w:rFonts w:ascii="Arial" w:hAnsi="Arial" w:cs="Arial"/>
          <w:sz w:val="24"/>
          <w:szCs w:val="24"/>
          <w:u w:val="single"/>
          <w:lang w:val="en-US"/>
        </w:rPr>
        <w:t>Response_Combined</w:t>
      </w:r>
      <w:proofErr w:type="spellEnd"/>
      <w:r>
        <w:rPr>
          <w:rFonts w:ascii="Arial" w:hAnsi="Arial" w:cs="Arial"/>
          <w:sz w:val="24"/>
          <w:szCs w:val="24"/>
          <w:u w:val="single"/>
          <w:lang w:val="en-US"/>
        </w:rPr>
        <w:t xml:space="preserve"> Suppl_20130308 (1).PDF</w:t>
      </w:r>
    </w:p>
    <w:p w:rsidR="00BE3E1C" w:rsidRDefault="00BE3E1C" w:rsidP="00BE3E1C">
      <w:pPr>
        <w:pStyle w:val="ListParagraph"/>
        <w:ind w:left="0"/>
        <w:rPr>
          <w:rFonts w:ascii="Arial" w:hAnsi="Arial" w:cs="Arial"/>
          <w:sz w:val="24"/>
          <w:szCs w:val="24"/>
          <w:lang w:val="en-US"/>
        </w:rPr>
      </w:pPr>
      <w:r>
        <w:rPr>
          <w:noProof/>
          <w:lang w:val="en-US"/>
        </w:rPr>
        <w:drawing>
          <wp:inline distT="0" distB="0" distL="0" distR="0">
            <wp:extent cx="5591175" cy="773056"/>
            <wp:effectExtent l="0" t="0" r="0" b="8255"/>
            <wp:docPr id="2" name="Picture 2" descr="cid:image003.png@01D2731C.60365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2731C.60365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91175" cy="773056"/>
                    </a:xfrm>
                    <a:prstGeom prst="rect">
                      <a:avLst/>
                    </a:prstGeom>
                    <a:noFill/>
                    <a:ln>
                      <a:noFill/>
                    </a:ln>
                  </pic:spPr>
                </pic:pic>
              </a:graphicData>
            </a:graphic>
          </wp:inline>
        </w:drawing>
      </w:r>
    </w:p>
    <w:p w:rsidR="00BE3E1C" w:rsidRDefault="00BE3E1C" w:rsidP="00BE3E1C">
      <w:pPr>
        <w:pStyle w:val="ListParagraph"/>
        <w:rPr>
          <w:rFonts w:ascii="Arial" w:hAnsi="Arial" w:cs="Arial"/>
          <w:sz w:val="24"/>
          <w:szCs w:val="24"/>
          <w:lang w:val="en-US"/>
        </w:rPr>
      </w:pPr>
    </w:p>
    <w:p w:rsidR="00BE3E1C" w:rsidRDefault="00BE3E1C" w:rsidP="00BE3E1C">
      <w:pPr>
        <w:pStyle w:val="ListParagraph"/>
        <w:ind w:left="284" w:hanging="284"/>
        <w:rPr>
          <w:rFonts w:ascii="Arial" w:hAnsi="Arial" w:cs="Arial"/>
          <w:sz w:val="24"/>
          <w:szCs w:val="24"/>
          <w:u w:val="single"/>
          <w:lang w:val="en-US"/>
        </w:rPr>
      </w:pPr>
      <w:r>
        <w:rPr>
          <w:rFonts w:ascii="Arial" w:hAnsi="Arial" w:cs="Arial"/>
          <w:sz w:val="24"/>
          <w:szCs w:val="24"/>
          <w:u w:val="single"/>
          <w:lang w:val="en-US"/>
        </w:rPr>
        <w:t xml:space="preserve">Tab 2 Rate Allocation in the LRAMVA </w:t>
      </w:r>
      <w:proofErr w:type="spellStart"/>
      <w:r>
        <w:rPr>
          <w:rFonts w:ascii="Arial" w:hAnsi="Arial" w:cs="Arial"/>
          <w:sz w:val="24"/>
          <w:szCs w:val="24"/>
          <w:u w:val="single"/>
          <w:lang w:val="en-US"/>
        </w:rPr>
        <w:t>Workform</w:t>
      </w:r>
      <w:proofErr w:type="spellEnd"/>
      <w:r>
        <w:rPr>
          <w:rFonts w:ascii="Arial" w:hAnsi="Arial" w:cs="Arial"/>
          <w:sz w:val="24"/>
          <w:szCs w:val="24"/>
          <w:u w:val="single"/>
          <w:lang w:val="en-US"/>
        </w:rPr>
        <w:t xml:space="preserve"> </w:t>
      </w:r>
    </w:p>
    <w:p w:rsidR="00BE3E1C" w:rsidRDefault="00BE3E1C" w:rsidP="00BE3E1C">
      <w:pPr>
        <w:pStyle w:val="ListParagraph"/>
        <w:rPr>
          <w:rFonts w:ascii="Arial" w:hAnsi="Arial" w:cs="Arial"/>
          <w:sz w:val="24"/>
          <w:szCs w:val="24"/>
          <w:lang w:val="en-US"/>
        </w:rPr>
      </w:pPr>
    </w:p>
    <w:p w:rsidR="00BE3E1C" w:rsidRDefault="00BE3E1C" w:rsidP="00BE3E1C">
      <w:pPr>
        <w:pStyle w:val="ListParagraph"/>
        <w:ind w:left="0"/>
        <w:rPr>
          <w:rFonts w:ascii="Arial" w:hAnsi="Arial" w:cs="Arial"/>
          <w:sz w:val="24"/>
          <w:szCs w:val="24"/>
          <w:lang w:val="en-US"/>
        </w:rPr>
      </w:pPr>
      <w:r>
        <w:rPr>
          <w:noProof/>
          <w:lang w:val="en-US"/>
        </w:rPr>
        <w:drawing>
          <wp:inline distT="0" distB="0" distL="0" distR="0">
            <wp:extent cx="5743575" cy="2123926"/>
            <wp:effectExtent l="0" t="0" r="0" b="0"/>
            <wp:docPr id="1" name="Picture 1" descr="cid:image004.jpg@01D2731C.60365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2731C.60365E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43575" cy="2123926"/>
                    </a:xfrm>
                    <a:prstGeom prst="rect">
                      <a:avLst/>
                    </a:prstGeom>
                    <a:noFill/>
                    <a:ln>
                      <a:noFill/>
                    </a:ln>
                  </pic:spPr>
                </pic:pic>
              </a:graphicData>
            </a:graphic>
          </wp:inline>
        </w:drawing>
      </w:r>
    </w:p>
    <w:p w:rsidR="00BE3E1C" w:rsidRDefault="00BE3E1C" w:rsidP="00BE3E1C">
      <w:pPr>
        <w:pStyle w:val="ListParagraph"/>
        <w:rPr>
          <w:rFonts w:ascii="Arial" w:hAnsi="Arial" w:cs="Arial"/>
          <w:sz w:val="24"/>
          <w:szCs w:val="24"/>
          <w:lang w:val="en-US"/>
        </w:rPr>
      </w:pPr>
    </w:p>
    <w:p w:rsidR="00BE3E1C" w:rsidRDefault="00BE3E1C" w:rsidP="00BE3E1C">
      <w:pPr>
        <w:pStyle w:val="ListParagraph"/>
        <w:ind w:left="0"/>
        <w:rPr>
          <w:rFonts w:ascii="Arial" w:hAnsi="Arial" w:cs="Arial"/>
          <w:sz w:val="24"/>
          <w:szCs w:val="24"/>
          <w:lang w:val="en-US"/>
        </w:rPr>
      </w:pPr>
      <w:r>
        <w:rPr>
          <w:rFonts w:ascii="Arial" w:hAnsi="Arial" w:cs="Arial"/>
          <w:sz w:val="24"/>
          <w:szCs w:val="24"/>
        </w:rPr>
        <w:t xml:space="preserve">Please confirm that Centre Wellington should be using the LRAMVA threshold value of 2,288,799 kWh as shown above.  In the event Centre Wellington continues to believe it is appropriate to use the CDM adjustment amount of </w:t>
      </w:r>
      <w:r>
        <w:rPr>
          <w:rFonts w:ascii="Arial" w:hAnsi="Arial" w:cs="Arial"/>
          <w:sz w:val="24"/>
          <w:szCs w:val="24"/>
          <w:lang w:val="en-US"/>
        </w:rPr>
        <w:t xml:space="preserve">986,133 kWh as the basis of the CDM forecast for the LRAMVA, please provide the supporting rationale for this approach as it differs from the OEB’s policy.  </w:t>
      </w:r>
    </w:p>
    <w:p w:rsidR="00BE3E1C" w:rsidRDefault="00BE3E1C" w:rsidP="00BE3E1C">
      <w:pPr>
        <w:rPr>
          <w:rFonts w:ascii="Arial" w:hAnsi="Arial" w:cs="Arial"/>
          <w:sz w:val="24"/>
          <w:szCs w:val="24"/>
          <w:lang w:val="en-US"/>
        </w:rPr>
      </w:pPr>
    </w:p>
    <w:p w:rsidR="00BE3E1C" w:rsidRDefault="00BE3E1C" w:rsidP="00BE3E1C">
      <w:pPr>
        <w:pStyle w:val="ListParagraph"/>
        <w:numPr>
          <w:ilvl w:val="0"/>
          <w:numId w:val="1"/>
        </w:numPr>
        <w:ind w:left="0" w:hanging="284"/>
        <w:rPr>
          <w:rFonts w:ascii="Arial" w:hAnsi="Arial" w:cs="Arial"/>
          <w:sz w:val="24"/>
          <w:szCs w:val="24"/>
          <w:lang w:val="en-US"/>
        </w:rPr>
      </w:pPr>
      <w:r>
        <w:rPr>
          <w:rFonts w:ascii="Arial" w:hAnsi="Arial" w:cs="Arial"/>
          <w:sz w:val="24"/>
          <w:szCs w:val="24"/>
          <w:lang w:val="en-US"/>
        </w:rPr>
        <w:t>Please confirm the rate class allocation using 2,288,799 kWh as the LRAMVA forecast.</w:t>
      </w:r>
    </w:p>
    <w:p w:rsidR="00CF1392" w:rsidRDefault="00CF1392" w:rsidP="00CF1392">
      <w:pPr>
        <w:ind w:left="-284"/>
        <w:rPr>
          <w:rFonts w:ascii="Arial" w:hAnsi="Arial" w:cs="Arial"/>
          <w:sz w:val="24"/>
          <w:szCs w:val="24"/>
          <w:lang w:val="en-US"/>
        </w:rPr>
      </w:pPr>
    </w:p>
    <w:p w:rsidR="00CF1392" w:rsidRPr="00926C6D" w:rsidRDefault="00CF1392" w:rsidP="00926C6D">
      <w:pPr>
        <w:rPr>
          <w:rFonts w:ascii="Arial" w:hAnsi="Arial" w:cs="Arial"/>
          <w:i/>
          <w:color w:val="FF0000"/>
          <w:sz w:val="24"/>
          <w:szCs w:val="24"/>
          <w:lang w:val="en-US"/>
        </w:rPr>
      </w:pPr>
      <w:r w:rsidRPr="00926C6D">
        <w:rPr>
          <w:rFonts w:ascii="Arial" w:hAnsi="Arial" w:cs="Arial"/>
          <w:i/>
          <w:color w:val="FF0000"/>
          <w:sz w:val="24"/>
          <w:szCs w:val="24"/>
          <w:lang w:val="en-US"/>
        </w:rPr>
        <w:t>Response:</w:t>
      </w:r>
    </w:p>
    <w:p w:rsidR="00CF1392" w:rsidRPr="00CF1392" w:rsidRDefault="00CF1392" w:rsidP="00926C6D">
      <w:pPr>
        <w:rPr>
          <w:rFonts w:ascii="Arial" w:hAnsi="Arial" w:cs="Arial"/>
          <w:i/>
          <w:color w:val="FF0000"/>
          <w:sz w:val="24"/>
          <w:szCs w:val="24"/>
          <w:lang w:val="en-US"/>
        </w:rPr>
      </w:pPr>
      <w:r>
        <w:rPr>
          <w:rFonts w:ascii="Arial" w:hAnsi="Arial" w:cs="Arial"/>
          <w:i/>
          <w:color w:val="FF0000"/>
          <w:sz w:val="24"/>
          <w:szCs w:val="24"/>
          <w:lang w:val="en-US"/>
        </w:rPr>
        <w:t>The per</w:t>
      </w:r>
      <w:r w:rsidRPr="00CF1392">
        <w:rPr>
          <w:rFonts w:ascii="Arial" w:hAnsi="Arial" w:cs="Arial"/>
          <w:i/>
          <w:color w:val="FF0000"/>
          <w:sz w:val="24"/>
          <w:szCs w:val="24"/>
          <w:lang w:val="en-US"/>
        </w:rPr>
        <w:t xml:space="preserve"> class allocation as approved in CWH’s last Cost of Service</w:t>
      </w:r>
      <w:r>
        <w:rPr>
          <w:rFonts w:ascii="Arial" w:hAnsi="Arial" w:cs="Arial"/>
          <w:i/>
          <w:color w:val="FF0000"/>
          <w:sz w:val="24"/>
          <w:szCs w:val="24"/>
          <w:lang w:val="en-US"/>
        </w:rPr>
        <w:t xml:space="preserve"> is shown in the question above and replicated below. </w:t>
      </w:r>
    </w:p>
    <w:p w:rsidR="00CF1392" w:rsidRPr="00CF1392" w:rsidRDefault="00CF1392" w:rsidP="00CF1392">
      <w:pPr>
        <w:ind w:left="-284"/>
        <w:rPr>
          <w:rFonts w:ascii="Arial" w:hAnsi="Arial" w:cs="Arial"/>
          <w:sz w:val="24"/>
          <w:szCs w:val="24"/>
          <w:lang w:val="en-US"/>
        </w:rPr>
      </w:pPr>
    </w:p>
    <w:p w:rsidR="00CF1392" w:rsidRPr="00CF1392" w:rsidRDefault="00CF1392" w:rsidP="00CF1392">
      <w:pPr>
        <w:ind w:left="-284"/>
        <w:rPr>
          <w:rFonts w:ascii="Arial" w:hAnsi="Arial" w:cs="Arial"/>
          <w:sz w:val="24"/>
          <w:szCs w:val="24"/>
          <w:lang w:val="en-US"/>
        </w:rPr>
      </w:pPr>
      <w:r>
        <w:rPr>
          <w:noProof/>
          <w:lang w:val="en-US"/>
        </w:rPr>
        <w:drawing>
          <wp:inline distT="0" distB="0" distL="0" distR="0" wp14:anchorId="63BDCAB8" wp14:editId="0316E457">
            <wp:extent cx="5943600" cy="821690"/>
            <wp:effectExtent l="0" t="0" r="0" b="0"/>
            <wp:docPr id="4" name="Picture 4" descr="cid:image003.png@01D2731C.60365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2731C.60365E20"/>
                    <pic:cNvPicPr>
                      <a:picLocks noChangeAspect="1" noChangeArrowheads="1"/>
                    </pic:cNvPicPr>
                  </pic:nvPicPr>
                  <pic:blipFill>
                    <a:blip r:embed="rId7" r:link="rId11">
                      <a:extLst>
                        <a:ext uri="{28A0092B-C50C-407E-A947-70E740481C1C}">
                          <a14:useLocalDpi xmlns:a14="http://schemas.microsoft.com/office/drawing/2010/main" val="0"/>
                        </a:ext>
                      </a:extLst>
                    </a:blip>
                    <a:srcRect/>
                    <a:stretch>
                      <a:fillRect/>
                    </a:stretch>
                  </pic:blipFill>
                  <pic:spPr bwMode="auto">
                    <a:xfrm>
                      <a:off x="0" y="0"/>
                      <a:ext cx="5943600" cy="821690"/>
                    </a:xfrm>
                    <a:prstGeom prst="rect">
                      <a:avLst/>
                    </a:prstGeom>
                    <a:noFill/>
                    <a:ln>
                      <a:noFill/>
                    </a:ln>
                  </pic:spPr>
                </pic:pic>
              </a:graphicData>
            </a:graphic>
          </wp:inline>
        </w:drawing>
      </w:r>
    </w:p>
    <w:p w:rsidR="00BE3E1C" w:rsidRDefault="00BE3E1C" w:rsidP="00BE3E1C">
      <w:pPr>
        <w:pStyle w:val="ListParagraph"/>
        <w:ind w:left="0"/>
        <w:rPr>
          <w:rFonts w:ascii="Arial" w:hAnsi="Arial" w:cs="Arial"/>
          <w:sz w:val="24"/>
          <w:szCs w:val="24"/>
          <w:lang w:val="en-US"/>
        </w:rPr>
      </w:pPr>
    </w:p>
    <w:p w:rsidR="005506A9" w:rsidRDefault="00BE3E1C" w:rsidP="005506A9">
      <w:pPr>
        <w:pStyle w:val="ListParagraph"/>
        <w:numPr>
          <w:ilvl w:val="0"/>
          <w:numId w:val="1"/>
        </w:numPr>
        <w:ind w:left="0" w:hanging="284"/>
        <w:rPr>
          <w:rFonts w:ascii="Arial" w:hAnsi="Arial" w:cs="Arial"/>
          <w:sz w:val="24"/>
          <w:szCs w:val="24"/>
          <w:lang w:val="en-US"/>
        </w:rPr>
      </w:pPr>
      <w:r>
        <w:rPr>
          <w:rFonts w:ascii="Arial" w:hAnsi="Arial" w:cs="Arial"/>
          <w:sz w:val="24"/>
          <w:szCs w:val="24"/>
          <w:lang w:val="en-US"/>
        </w:rPr>
        <w:t xml:space="preserve">Please re-file the LRAMVA </w:t>
      </w:r>
      <w:proofErr w:type="spellStart"/>
      <w:r>
        <w:rPr>
          <w:rFonts w:ascii="Arial" w:hAnsi="Arial" w:cs="Arial"/>
          <w:sz w:val="24"/>
          <w:szCs w:val="24"/>
          <w:lang w:val="en-US"/>
        </w:rPr>
        <w:t>workfor</w:t>
      </w:r>
      <w:r w:rsidR="005506A9">
        <w:rPr>
          <w:rFonts w:ascii="Arial" w:hAnsi="Arial" w:cs="Arial"/>
          <w:sz w:val="24"/>
          <w:szCs w:val="24"/>
          <w:lang w:val="en-US"/>
        </w:rPr>
        <w:t>m</w:t>
      </w:r>
      <w:proofErr w:type="spellEnd"/>
      <w:r w:rsidR="005506A9">
        <w:rPr>
          <w:rFonts w:ascii="Arial" w:hAnsi="Arial" w:cs="Arial"/>
          <w:sz w:val="24"/>
          <w:szCs w:val="24"/>
          <w:lang w:val="en-US"/>
        </w:rPr>
        <w:t>, with the changes noted above</w:t>
      </w:r>
    </w:p>
    <w:p w:rsidR="00CF1392" w:rsidRDefault="00CF1392" w:rsidP="00CF1392">
      <w:pPr>
        <w:rPr>
          <w:rFonts w:ascii="Arial" w:hAnsi="Arial" w:cs="Arial"/>
          <w:i/>
          <w:color w:val="FF0000"/>
          <w:sz w:val="24"/>
          <w:szCs w:val="24"/>
        </w:rPr>
      </w:pPr>
    </w:p>
    <w:p w:rsidR="00CF1392" w:rsidRPr="00CF1392" w:rsidRDefault="00CF1392" w:rsidP="00CF1392">
      <w:pPr>
        <w:rPr>
          <w:rFonts w:ascii="Arial" w:hAnsi="Arial" w:cs="Arial"/>
          <w:i/>
          <w:color w:val="FF0000"/>
          <w:sz w:val="24"/>
          <w:szCs w:val="24"/>
        </w:rPr>
      </w:pPr>
      <w:r w:rsidRPr="00CF1392">
        <w:rPr>
          <w:rFonts w:ascii="Arial" w:hAnsi="Arial" w:cs="Arial"/>
          <w:i/>
          <w:color w:val="FF0000"/>
          <w:sz w:val="24"/>
          <w:szCs w:val="24"/>
        </w:rPr>
        <w:t>Response:</w:t>
      </w:r>
    </w:p>
    <w:p w:rsidR="005506A9" w:rsidRPr="005506A9" w:rsidRDefault="00CF1392" w:rsidP="005506A9">
      <w:pPr>
        <w:rPr>
          <w:rFonts w:ascii="Arial" w:hAnsi="Arial" w:cs="Arial"/>
          <w:sz w:val="24"/>
          <w:szCs w:val="24"/>
          <w:lang w:val="en-US"/>
        </w:rPr>
      </w:pPr>
      <w:r w:rsidRPr="00CF1392">
        <w:rPr>
          <w:rFonts w:ascii="Arial" w:hAnsi="Arial" w:cs="Arial"/>
          <w:i/>
          <w:color w:val="FF0000"/>
          <w:sz w:val="24"/>
          <w:szCs w:val="24"/>
          <w:lang w:val="en-US"/>
        </w:rPr>
        <w:t xml:space="preserve">Please find </w:t>
      </w:r>
      <w:r>
        <w:rPr>
          <w:rFonts w:ascii="Arial" w:hAnsi="Arial" w:cs="Arial"/>
          <w:i/>
          <w:color w:val="FF0000"/>
          <w:sz w:val="24"/>
          <w:szCs w:val="24"/>
          <w:lang w:val="en-US"/>
        </w:rPr>
        <w:t xml:space="preserve">attached a revised LRAMVA </w:t>
      </w:r>
      <w:proofErr w:type="spellStart"/>
      <w:r>
        <w:rPr>
          <w:rFonts w:ascii="Arial" w:hAnsi="Arial" w:cs="Arial"/>
          <w:i/>
          <w:color w:val="FF0000"/>
          <w:sz w:val="24"/>
          <w:szCs w:val="24"/>
          <w:lang w:val="en-US"/>
        </w:rPr>
        <w:t>WorkForm</w:t>
      </w:r>
      <w:proofErr w:type="spellEnd"/>
      <w:r>
        <w:rPr>
          <w:rFonts w:ascii="Arial" w:hAnsi="Arial" w:cs="Arial"/>
          <w:i/>
          <w:color w:val="FF0000"/>
          <w:sz w:val="24"/>
          <w:szCs w:val="24"/>
          <w:lang w:val="en-US"/>
        </w:rPr>
        <w:t>.</w:t>
      </w:r>
    </w:p>
    <w:p w:rsidR="00BE3E1C" w:rsidRPr="005506A9" w:rsidRDefault="00BE3E1C">
      <w:pPr>
        <w:rPr>
          <w:rFonts w:ascii="Arial" w:hAnsi="Arial" w:cs="Arial"/>
          <w:sz w:val="24"/>
          <w:szCs w:val="24"/>
          <w:lang w:val="en-US"/>
        </w:rPr>
      </w:pPr>
    </w:p>
    <w:sectPr w:rsidR="00BE3E1C" w:rsidRPr="005506A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85CFC"/>
    <w:multiLevelType w:val="hybridMultilevel"/>
    <w:tmpl w:val="2EE220AA"/>
    <w:lvl w:ilvl="0" w:tplc="28F8152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91339A"/>
    <w:multiLevelType w:val="hybridMultilevel"/>
    <w:tmpl w:val="F4586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16A47"/>
    <w:multiLevelType w:val="hybridMultilevel"/>
    <w:tmpl w:val="8820C6D8"/>
    <w:lvl w:ilvl="0" w:tplc="5B7288CC">
      <w:start w:val="1"/>
      <w:numFmt w:val="decimal"/>
      <w:lvlText w:val="%1."/>
      <w:lvlJc w:val="left"/>
      <w:pPr>
        <w:ind w:left="720" w:hanging="360"/>
      </w:pPr>
      <w:rPr>
        <w:color w:val="1F497D"/>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742C1D83"/>
    <w:multiLevelType w:val="hybridMultilevel"/>
    <w:tmpl w:val="01D475C0"/>
    <w:lvl w:ilvl="0" w:tplc="1009000F">
      <w:start w:val="1"/>
      <w:numFmt w:val="decimal"/>
      <w:lvlText w:val="%1."/>
      <w:lvlJc w:val="left"/>
      <w:pPr>
        <w:ind w:left="6" w:hanging="360"/>
      </w:pPr>
      <w:rPr>
        <w:rFonts w:hint="default"/>
      </w:rPr>
    </w:lvl>
    <w:lvl w:ilvl="1" w:tplc="10090019" w:tentative="1">
      <w:start w:val="1"/>
      <w:numFmt w:val="lowerLetter"/>
      <w:lvlText w:val="%2."/>
      <w:lvlJc w:val="left"/>
      <w:pPr>
        <w:ind w:left="726" w:hanging="360"/>
      </w:pPr>
    </w:lvl>
    <w:lvl w:ilvl="2" w:tplc="1009001B" w:tentative="1">
      <w:start w:val="1"/>
      <w:numFmt w:val="lowerRoman"/>
      <w:lvlText w:val="%3."/>
      <w:lvlJc w:val="right"/>
      <w:pPr>
        <w:ind w:left="1446" w:hanging="180"/>
      </w:pPr>
    </w:lvl>
    <w:lvl w:ilvl="3" w:tplc="1009000F" w:tentative="1">
      <w:start w:val="1"/>
      <w:numFmt w:val="decimal"/>
      <w:lvlText w:val="%4."/>
      <w:lvlJc w:val="left"/>
      <w:pPr>
        <w:ind w:left="2166" w:hanging="360"/>
      </w:pPr>
    </w:lvl>
    <w:lvl w:ilvl="4" w:tplc="10090019" w:tentative="1">
      <w:start w:val="1"/>
      <w:numFmt w:val="lowerLetter"/>
      <w:lvlText w:val="%5."/>
      <w:lvlJc w:val="left"/>
      <w:pPr>
        <w:ind w:left="2886" w:hanging="360"/>
      </w:pPr>
    </w:lvl>
    <w:lvl w:ilvl="5" w:tplc="1009001B" w:tentative="1">
      <w:start w:val="1"/>
      <w:numFmt w:val="lowerRoman"/>
      <w:lvlText w:val="%6."/>
      <w:lvlJc w:val="right"/>
      <w:pPr>
        <w:ind w:left="3606" w:hanging="180"/>
      </w:pPr>
    </w:lvl>
    <w:lvl w:ilvl="6" w:tplc="1009000F" w:tentative="1">
      <w:start w:val="1"/>
      <w:numFmt w:val="decimal"/>
      <w:lvlText w:val="%7."/>
      <w:lvlJc w:val="left"/>
      <w:pPr>
        <w:ind w:left="4326" w:hanging="360"/>
      </w:pPr>
    </w:lvl>
    <w:lvl w:ilvl="7" w:tplc="10090019" w:tentative="1">
      <w:start w:val="1"/>
      <w:numFmt w:val="lowerLetter"/>
      <w:lvlText w:val="%8."/>
      <w:lvlJc w:val="left"/>
      <w:pPr>
        <w:ind w:left="5046" w:hanging="360"/>
      </w:pPr>
    </w:lvl>
    <w:lvl w:ilvl="8" w:tplc="1009001B" w:tentative="1">
      <w:start w:val="1"/>
      <w:numFmt w:val="lowerRoman"/>
      <w:lvlText w:val="%9."/>
      <w:lvlJc w:val="right"/>
      <w:pPr>
        <w:ind w:left="576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1C"/>
    <w:rsid w:val="00412DC6"/>
    <w:rsid w:val="00484797"/>
    <w:rsid w:val="004C21AC"/>
    <w:rsid w:val="005506A9"/>
    <w:rsid w:val="005F67E8"/>
    <w:rsid w:val="00623DD2"/>
    <w:rsid w:val="006333F6"/>
    <w:rsid w:val="00697CC2"/>
    <w:rsid w:val="00746080"/>
    <w:rsid w:val="00792561"/>
    <w:rsid w:val="008417E8"/>
    <w:rsid w:val="0089746F"/>
    <w:rsid w:val="00926C6D"/>
    <w:rsid w:val="00A96BDA"/>
    <w:rsid w:val="00AA06D9"/>
    <w:rsid w:val="00AC0E4C"/>
    <w:rsid w:val="00B25576"/>
    <w:rsid w:val="00BE3E1C"/>
    <w:rsid w:val="00C21EA6"/>
    <w:rsid w:val="00CA312F"/>
    <w:rsid w:val="00CC6E28"/>
    <w:rsid w:val="00CF1392"/>
    <w:rsid w:val="00E51F71"/>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628A"/>
  <w15:docId w15:val="{70AFD45E-0F86-44AC-BAAA-B325D76E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3E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E1C"/>
    <w:pPr>
      <w:ind w:left="720"/>
    </w:pPr>
  </w:style>
  <w:style w:type="paragraph" w:styleId="BalloonText">
    <w:name w:val="Balloon Text"/>
    <w:basedOn w:val="Normal"/>
    <w:link w:val="BalloonTextChar"/>
    <w:uiPriority w:val="99"/>
    <w:semiHidden/>
    <w:unhideWhenUsed/>
    <w:rsid w:val="00BE3E1C"/>
    <w:rPr>
      <w:rFonts w:ascii="Tahoma" w:hAnsi="Tahoma" w:cs="Tahoma"/>
      <w:sz w:val="16"/>
      <w:szCs w:val="16"/>
    </w:rPr>
  </w:style>
  <w:style w:type="character" w:customStyle="1" w:styleId="BalloonTextChar">
    <w:name w:val="Balloon Text Char"/>
    <w:basedOn w:val="DefaultParagraphFont"/>
    <w:link w:val="BalloonText"/>
    <w:uiPriority w:val="99"/>
    <w:semiHidden/>
    <w:rsid w:val="00BE3E1C"/>
    <w:rPr>
      <w:rFonts w:ascii="Tahoma" w:hAnsi="Tahoma" w:cs="Tahoma"/>
      <w:sz w:val="16"/>
      <w:szCs w:val="16"/>
    </w:rPr>
  </w:style>
  <w:style w:type="paragraph" w:styleId="PlainText">
    <w:name w:val="Plain Text"/>
    <w:basedOn w:val="Normal"/>
    <w:link w:val="PlainTextChar"/>
    <w:uiPriority w:val="99"/>
    <w:semiHidden/>
    <w:unhideWhenUsed/>
    <w:rsid w:val="005506A9"/>
    <w:rPr>
      <w:rFonts w:cs="Calibri"/>
      <w:lang w:val="en-US"/>
    </w:rPr>
  </w:style>
  <w:style w:type="character" w:customStyle="1" w:styleId="PlainTextChar">
    <w:name w:val="Plain Text Char"/>
    <w:basedOn w:val="DefaultParagraphFont"/>
    <w:link w:val="PlainText"/>
    <w:uiPriority w:val="99"/>
    <w:semiHidden/>
    <w:rsid w:val="005506A9"/>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356377">
      <w:bodyDiv w:val="1"/>
      <w:marLeft w:val="0"/>
      <w:marRight w:val="0"/>
      <w:marTop w:val="0"/>
      <w:marBottom w:val="0"/>
      <w:divBdr>
        <w:top w:val="none" w:sz="0" w:space="0" w:color="auto"/>
        <w:left w:val="none" w:sz="0" w:space="0" w:color="auto"/>
        <w:bottom w:val="none" w:sz="0" w:space="0" w:color="auto"/>
        <w:right w:val="none" w:sz="0" w:space="0" w:color="auto"/>
      </w:divBdr>
    </w:div>
    <w:div w:id="2037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2731C.60365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2731C.60365E20" TargetMode="External"/><Relationship Id="rId11" Type="http://schemas.openxmlformats.org/officeDocument/2006/relationships/image" Target="cid:image003.png@01D27596.EE8F0420" TargetMode="External"/><Relationship Id="rId5" Type="http://schemas.openxmlformats.org/officeDocument/2006/relationships/image" Target="media/image1.jpeg"/><Relationship Id="rId10" Type="http://schemas.openxmlformats.org/officeDocument/2006/relationships/image" Target="cid:image004.jpg@01D2731C.60365E2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King</dc:creator>
  <cp:lastModifiedBy>CWell MS Activations</cp:lastModifiedBy>
  <cp:revision>2</cp:revision>
  <dcterms:created xsi:type="dcterms:W3CDTF">2017-02-07T19:31:00Z</dcterms:created>
  <dcterms:modified xsi:type="dcterms:W3CDTF">2017-02-07T19:31:00Z</dcterms:modified>
</cp:coreProperties>
</file>