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9D" w:rsidRDefault="00024021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4021">
        <w:rPr>
          <w:rFonts w:ascii="Arial" w:hAnsi="Arial" w:cs="Arial"/>
          <w:b/>
          <w:sz w:val="24"/>
          <w:szCs w:val="24"/>
        </w:rPr>
        <w:t>Milton Hydro Distribution Inc.</w:t>
      </w:r>
    </w:p>
    <w:p w:rsidR="00D31675" w:rsidRPr="007E4839" w:rsidRDefault="00D31675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31675">
        <w:rPr>
          <w:rFonts w:ascii="Arial" w:hAnsi="Arial" w:cs="Arial"/>
          <w:b/>
          <w:sz w:val="24"/>
          <w:szCs w:val="24"/>
        </w:rPr>
        <w:t>Application Analysis (</w:t>
      </w:r>
      <w:r w:rsidR="00024021" w:rsidRPr="00024021">
        <w:rPr>
          <w:rFonts w:ascii="Arial" w:hAnsi="Arial" w:cs="Arial"/>
          <w:b/>
          <w:sz w:val="24"/>
          <w:szCs w:val="24"/>
        </w:rPr>
        <w:t>EB-2016-0093</w:t>
      </w:r>
      <w:r w:rsidRPr="00D31675">
        <w:rPr>
          <w:rFonts w:ascii="Arial" w:hAnsi="Arial" w:cs="Arial"/>
          <w:b/>
          <w:sz w:val="24"/>
          <w:szCs w:val="24"/>
        </w:rPr>
        <w:t>)</w:t>
      </w:r>
    </w:p>
    <w:p w:rsidR="00D50688" w:rsidRDefault="00D50688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D644D" w:rsidRDefault="00DD644D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Question:</w:t>
      </w:r>
    </w:p>
    <w:p w:rsidR="00CC0778" w:rsidRDefault="00CC0778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C0778">
        <w:rPr>
          <w:rFonts w:ascii="Arial" w:hAnsi="Arial" w:cs="Arial"/>
          <w:b/>
          <w:sz w:val="24"/>
          <w:szCs w:val="24"/>
        </w:rPr>
        <w:t xml:space="preserve">Tab </w:t>
      </w:r>
      <w:r w:rsidR="00843976">
        <w:rPr>
          <w:rFonts w:ascii="Arial" w:hAnsi="Arial" w:cs="Arial"/>
          <w:b/>
          <w:sz w:val="24"/>
          <w:szCs w:val="24"/>
        </w:rPr>
        <w:t>3</w:t>
      </w:r>
      <w:r w:rsidRPr="00CC0778">
        <w:rPr>
          <w:rFonts w:ascii="Arial" w:hAnsi="Arial" w:cs="Arial"/>
          <w:b/>
          <w:sz w:val="24"/>
          <w:szCs w:val="24"/>
        </w:rPr>
        <w:t xml:space="preserve"> </w:t>
      </w:r>
      <w:r w:rsidR="00024021">
        <w:rPr>
          <w:rFonts w:ascii="Arial" w:hAnsi="Arial" w:cs="Arial"/>
          <w:b/>
          <w:sz w:val="24"/>
          <w:szCs w:val="24"/>
        </w:rPr>
        <w:t>–</w:t>
      </w:r>
      <w:r w:rsidRPr="00CC0778">
        <w:rPr>
          <w:rFonts w:ascii="Arial" w:hAnsi="Arial" w:cs="Arial"/>
          <w:b/>
          <w:sz w:val="24"/>
          <w:szCs w:val="24"/>
        </w:rPr>
        <w:t xml:space="preserve"> </w:t>
      </w:r>
      <w:r w:rsidR="00843976">
        <w:rPr>
          <w:rFonts w:ascii="Arial" w:hAnsi="Arial" w:cs="Arial"/>
          <w:b/>
          <w:sz w:val="24"/>
          <w:szCs w:val="24"/>
        </w:rPr>
        <w:t>Continuity Schedule</w:t>
      </w:r>
    </w:p>
    <w:p w:rsidR="00B7706B" w:rsidRDefault="00B90D1F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OEB staff notes the small figure, $3,741, for Variance WMS – Sub – account CBR Class B. Please explain the magnitude of this figure, given it relates to Class B customers the OEB would expect it to be a larger value. </w:t>
      </w:r>
    </w:p>
    <w:p w:rsidR="00843976" w:rsidRDefault="00843976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231D" w:rsidRPr="00B56274" w:rsidRDefault="00EA231D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231D">
        <w:rPr>
          <w:rFonts w:ascii="Arial" w:hAnsi="Arial" w:cs="Arial"/>
          <w:b/>
          <w:sz w:val="24"/>
          <w:szCs w:val="24"/>
        </w:rPr>
        <w:t>Response:</w:t>
      </w:r>
    </w:p>
    <w:p w:rsidR="00EA231D" w:rsidRPr="00EA231D" w:rsidRDefault="00B56274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period May to December 2015 Milton Hydro separated the CBDR, now referred to as the CBR between the amount billed to Class B customers at $0.0004 per kWh and the amount billed by the IESO.  Milton Hydro billed $192,688.06 to its Class B customers and was billed $188,940.35 from the IESO</w:t>
      </w:r>
      <w:r w:rsidR="00194C69">
        <w:rPr>
          <w:rFonts w:ascii="Arial" w:hAnsi="Arial" w:cs="Arial"/>
          <w:sz w:val="24"/>
          <w:szCs w:val="24"/>
        </w:rPr>
        <w:t xml:space="preserve"> for the CBR,</w:t>
      </w:r>
      <w:r>
        <w:rPr>
          <w:rFonts w:ascii="Arial" w:hAnsi="Arial" w:cs="Arial"/>
          <w:sz w:val="24"/>
          <w:szCs w:val="24"/>
        </w:rPr>
        <w:t xml:space="preserve"> leaving a credit in the variance account of $3,747.71.</w:t>
      </w:r>
    </w:p>
    <w:p w:rsidR="00EA231D" w:rsidRDefault="00EA231D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A231D" w:rsidRDefault="00EA231D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A231D" w:rsidRDefault="00DD644D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</w:t>
      </w:r>
      <w:r w:rsidR="001A3DE4">
        <w:rPr>
          <w:rFonts w:ascii="Arial" w:hAnsi="Arial" w:cs="Arial"/>
          <w:b/>
          <w:sz w:val="24"/>
          <w:szCs w:val="24"/>
        </w:rPr>
        <w:t>:</w:t>
      </w:r>
    </w:p>
    <w:p w:rsidR="003421E9" w:rsidRPr="009144BC" w:rsidRDefault="003421E9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44BC">
        <w:rPr>
          <w:rFonts w:ascii="Arial" w:hAnsi="Arial" w:cs="Arial"/>
          <w:b/>
          <w:sz w:val="24"/>
          <w:szCs w:val="24"/>
        </w:rPr>
        <w:t xml:space="preserve">Tab </w:t>
      </w:r>
      <w:r>
        <w:rPr>
          <w:rFonts w:ascii="Arial" w:hAnsi="Arial" w:cs="Arial"/>
          <w:b/>
          <w:sz w:val="24"/>
          <w:szCs w:val="24"/>
        </w:rPr>
        <w:t>6</w:t>
      </w:r>
      <w:r w:rsidRPr="009144BC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GA calculation</w:t>
      </w:r>
    </w:p>
    <w:p w:rsidR="003421E9" w:rsidRDefault="003421E9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Given Milton Hydro has Class A customers, please click the tick box inside of the blue box in Tab 6 to generate Tab 6a. Please complete Tab 6a as appropriate and resubmit the updated model. </w:t>
      </w:r>
    </w:p>
    <w:p w:rsidR="00F255C2" w:rsidRDefault="00F255C2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55C2" w:rsidRDefault="00F255C2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55C2">
        <w:rPr>
          <w:rFonts w:ascii="Arial" w:hAnsi="Arial" w:cs="Arial"/>
          <w:b/>
          <w:sz w:val="24"/>
          <w:szCs w:val="24"/>
        </w:rPr>
        <w:t>Response:</w:t>
      </w:r>
    </w:p>
    <w:p w:rsidR="00F255C2" w:rsidRDefault="00F255C2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tick box inside the blue box on Tab 6 refers to “If a Class B customer switched into Class A during the 2015 rate year click this checkbox.</w:t>
      </w:r>
      <w:r w:rsidR="003F767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</w:p>
    <w:p w:rsidR="00F255C2" w:rsidRDefault="00F255C2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55C2" w:rsidRPr="00F255C2" w:rsidRDefault="00F255C2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Milton Hydro did not have any Class B customers switch into Class A during the 2015 rate year.</w:t>
      </w:r>
    </w:p>
    <w:p w:rsidR="003421E9" w:rsidRDefault="003421E9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0688" w:rsidRDefault="00D50688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7C02" w:rsidRPr="001A3DE4" w:rsidRDefault="00DD644D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A3DE4">
        <w:rPr>
          <w:rFonts w:ascii="Arial" w:hAnsi="Arial" w:cs="Arial"/>
          <w:b/>
          <w:sz w:val="24"/>
          <w:szCs w:val="24"/>
        </w:rPr>
        <w:lastRenderedPageBreak/>
        <w:t>Question</w:t>
      </w:r>
      <w:r w:rsidR="001A3DE4">
        <w:rPr>
          <w:rFonts w:ascii="Arial" w:hAnsi="Arial" w:cs="Arial"/>
          <w:b/>
          <w:sz w:val="24"/>
          <w:szCs w:val="24"/>
        </w:rPr>
        <w:t>:</w:t>
      </w:r>
    </w:p>
    <w:p w:rsidR="00AA7E26" w:rsidRPr="009144BC" w:rsidRDefault="00AA7E26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44BC">
        <w:rPr>
          <w:rFonts w:ascii="Arial" w:hAnsi="Arial" w:cs="Arial"/>
          <w:b/>
          <w:sz w:val="24"/>
          <w:szCs w:val="24"/>
        </w:rPr>
        <w:t xml:space="preserve">Tab </w:t>
      </w:r>
      <w:r w:rsidR="00DC732F">
        <w:rPr>
          <w:rFonts w:ascii="Arial" w:hAnsi="Arial" w:cs="Arial"/>
          <w:b/>
          <w:sz w:val="24"/>
          <w:szCs w:val="24"/>
        </w:rPr>
        <w:t>16</w:t>
      </w:r>
      <w:r w:rsidRPr="009144BC">
        <w:rPr>
          <w:rFonts w:ascii="Arial" w:hAnsi="Arial" w:cs="Arial"/>
          <w:b/>
          <w:sz w:val="24"/>
          <w:szCs w:val="24"/>
        </w:rPr>
        <w:t xml:space="preserve"> – </w:t>
      </w:r>
      <w:r w:rsidR="00DC732F">
        <w:rPr>
          <w:rFonts w:ascii="Arial" w:hAnsi="Arial" w:cs="Arial"/>
          <w:b/>
          <w:sz w:val="24"/>
          <w:szCs w:val="24"/>
        </w:rPr>
        <w:t>Rev2Cost_GDPIPI</w:t>
      </w:r>
    </w:p>
    <w:p w:rsidR="00AA7E26" w:rsidRDefault="00640E61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OEB staff notes that a stretch factor has not been chosen from the drop down menu. Please explain why this is. </w:t>
      </w:r>
    </w:p>
    <w:p w:rsidR="00C538E2" w:rsidRDefault="00C538E2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538E2" w:rsidRPr="00C538E2" w:rsidRDefault="00C538E2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38E2">
        <w:rPr>
          <w:rFonts w:ascii="Arial" w:hAnsi="Arial" w:cs="Arial"/>
          <w:b/>
          <w:sz w:val="24"/>
          <w:szCs w:val="24"/>
        </w:rPr>
        <w:t>Response:</w:t>
      </w:r>
    </w:p>
    <w:p w:rsidR="00C538E2" w:rsidRDefault="00C538E2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Milton Hydro has opened the model filed </w:t>
      </w:r>
      <w:r w:rsidR="00D5068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the OEB </w:t>
      </w:r>
      <w:proofErr w:type="spellStart"/>
      <w:r>
        <w:rPr>
          <w:rFonts w:ascii="Arial" w:hAnsi="Arial" w:cs="Arial"/>
          <w:sz w:val="24"/>
          <w:szCs w:val="24"/>
        </w:rPr>
        <w:t>webdrawer</w:t>
      </w:r>
      <w:proofErr w:type="spellEnd"/>
      <w:r>
        <w:rPr>
          <w:rFonts w:ascii="Arial" w:hAnsi="Arial" w:cs="Arial"/>
          <w:sz w:val="24"/>
          <w:szCs w:val="24"/>
        </w:rPr>
        <w:t xml:space="preserve"> and would note that </w:t>
      </w:r>
      <w:r w:rsidR="001A3DE4">
        <w:rPr>
          <w:rFonts w:ascii="Arial" w:hAnsi="Arial" w:cs="Arial"/>
          <w:sz w:val="24"/>
          <w:szCs w:val="24"/>
        </w:rPr>
        <w:t xml:space="preserve">on Tab 16 </w:t>
      </w:r>
      <w:r>
        <w:rPr>
          <w:rFonts w:ascii="Arial" w:hAnsi="Arial" w:cs="Arial"/>
          <w:sz w:val="24"/>
          <w:szCs w:val="24"/>
        </w:rPr>
        <w:t>the Stretch Factor Group was selected as “III” result</w:t>
      </w:r>
      <w:r w:rsidR="00331B1C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in an Associated Stretch Factor Value of 0.30% which reduced the Price Escalator from 2.10% to a Price Cap Index of 1.80%.</w:t>
      </w:r>
    </w:p>
    <w:p w:rsidR="00C538E2" w:rsidRDefault="00C538E2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0688" w:rsidRDefault="00D50688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38E2" w:rsidRPr="001A3DE4" w:rsidRDefault="001A3DE4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Question:</w:t>
      </w:r>
    </w:p>
    <w:p w:rsidR="00123F34" w:rsidRDefault="00843976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OEB staff is unable to validate the data submitted for the revenue to cost ratio. The filling requirements outline a supplemental model to be filled out. Please fill out and submit this model. </w:t>
      </w:r>
    </w:p>
    <w:p w:rsidR="00E031E6" w:rsidRDefault="00E031E6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31E6" w:rsidRPr="00E031E6" w:rsidRDefault="00E031E6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31E6">
        <w:rPr>
          <w:rFonts w:ascii="Arial" w:hAnsi="Arial" w:cs="Arial"/>
          <w:b/>
          <w:sz w:val="24"/>
          <w:szCs w:val="24"/>
        </w:rPr>
        <w:t>Response:</w:t>
      </w:r>
    </w:p>
    <w:p w:rsidR="00EE10AC" w:rsidRDefault="009E5111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Milton Hydro’s last rebasing year was 2016.  </w:t>
      </w:r>
      <w:proofErr w:type="gramStart"/>
      <w:r>
        <w:rPr>
          <w:rFonts w:ascii="Arial" w:hAnsi="Arial" w:cs="Arial"/>
          <w:sz w:val="24"/>
          <w:szCs w:val="24"/>
        </w:rPr>
        <w:t>The</w:t>
      </w:r>
      <w:r w:rsidR="001E6DC1">
        <w:rPr>
          <w:rFonts w:ascii="Arial" w:hAnsi="Arial" w:cs="Arial"/>
          <w:sz w:val="24"/>
          <w:szCs w:val="24"/>
        </w:rPr>
        <w:t xml:space="preserve"> drop down window in the </w:t>
      </w:r>
      <w:r>
        <w:rPr>
          <w:rFonts w:ascii="Arial" w:hAnsi="Arial" w:cs="Arial"/>
          <w:sz w:val="24"/>
          <w:szCs w:val="24"/>
        </w:rPr>
        <w:t>2017 Revenue to Cost Ratio Adjustment Model Tab 1.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0688">
        <w:rPr>
          <w:rFonts w:ascii="Arial" w:hAnsi="Arial" w:cs="Arial"/>
          <w:sz w:val="24"/>
          <w:szCs w:val="24"/>
        </w:rPr>
        <w:t>used</w:t>
      </w:r>
      <w:proofErr w:type="gramEnd"/>
      <w:r w:rsidR="00D50688">
        <w:rPr>
          <w:rFonts w:ascii="Arial" w:hAnsi="Arial" w:cs="Arial"/>
          <w:sz w:val="24"/>
          <w:szCs w:val="24"/>
        </w:rPr>
        <w:t xml:space="preserve"> </w:t>
      </w:r>
      <w:r w:rsidR="001E6DC1">
        <w:rPr>
          <w:rFonts w:ascii="Arial" w:hAnsi="Arial" w:cs="Arial"/>
          <w:sz w:val="24"/>
          <w:szCs w:val="24"/>
        </w:rPr>
        <w:t>to select the Last COS Re-based Year only allows the selection of a rebased year of up to 2014 and would not accept 2016.  On October 21, 2016 Milton Hydro sent its model to the OEB by way of email</w:t>
      </w:r>
      <w:r>
        <w:rPr>
          <w:rFonts w:ascii="Arial" w:hAnsi="Arial" w:cs="Arial"/>
          <w:sz w:val="24"/>
          <w:szCs w:val="24"/>
        </w:rPr>
        <w:t xml:space="preserve"> </w:t>
      </w:r>
      <w:r w:rsidR="00EE10AC">
        <w:rPr>
          <w:rFonts w:ascii="Arial" w:hAnsi="Arial" w:cs="Arial"/>
          <w:sz w:val="24"/>
          <w:szCs w:val="24"/>
        </w:rPr>
        <w:t>explaining the problem.  No response was received.</w:t>
      </w:r>
    </w:p>
    <w:p w:rsidR="00EE10AC" w:rsidRDefault="00EE10AC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10AC" w:rsidRDefault="00B53563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the OEB model did not work Milton Hydro used the same approach as filed in its Addendum to its Settlement Proposal dated 20160407</w:t>
      </w:r>
      <w:r w:rsidR="00961C2F">
        <w:rPr>
          <w:rFonts w:ascii="Arial" w:hAnsi="Arial" w:cs="Arial"/>
          <w:sz w:val="24"/>
          <w:szCs w:val="24"/>
        </w:rPr>
        <w:t xml:space="preserve"> (EB-2015-0089)</w:t>
      </w:r>
      <w:r>
        <w:rPr>
          <w:rFonts w:ascii="Arial" w:hAnsi="Arial" w:cs="Arial"/>
          <w:sz w:val="24"/>
          <w:szCs w:val="24"/>
        </w:rPr>
        <w:t>.  A copy</w:t>
      </w:r>
      <w:r w:rsidR="00D01065">
        <w:rPr>
          <w:rFonts w:ascii="Arial" w:hAnsi="Arial" w:cs="Arial"/>
          <w:sz w:val="24"/>
          <w:szCs w:val="24"/>
        </w:rPr>
        <w:t xml:space="preserve"> of the Addendum</w:t>
      </w:r>
      <w:r>
        <w:rPr>
          <w:rFonts w:ascii="Arial" w:hAnsi="Arial" w:cs="Arial"/>
          <w:sz w:val="24"/>
          <w:szCs w:val="24"/>
        </w:rPr>
        <w:t xml:space="preserve"> has been </w:t>
      </w:r>
      <w:proofErr w:type="gramStart"/>
      <w:r w:rsidR="00961C2F">
        <w:rPr>
          <w:rFonts w:ascii="Arial" w:hAnsi="Arial" w:cs="Arial"/>
          <w:sz w:val="24"/>
          <w:szCs w:val="24"/>
        </w:rPr>
        <w:t>attached,</w:t>
      </w:r>
      <w:proofErr w:type="gramEnd"/>
      <w:r w:rsidR="00446041">
        <w:rPr>
          <w:rFonts w:ascii="Arial" w:hAnsi="Arial" w:cs="Arial"/>
          <w:sz w:val="24"/>
          <w:szCs w:val="24"/>
        </w:rPr>
        <w:t xml:space="preserve"> please refer to pages 6 and 7.</w:t>
      </w:r>
      <w:r w:rsidR="00D01065">
        <w:rPr>
          <w:rFonts w:ascii="Arial" w:hAnsi="Arial" w:cs="Arial"/>
          <w:sz w:val="24"/>
          <w:szCs w:val="24"/>
        </w:rPr>
        <w:t xml:space="preserve">  </w:t>
      </w:r>
      <w:r w:rsidR="00446041">
        <w:rPr>
          <w:rFonts w:ascii="Arial" w:hAnsi="Arial" w:cs="Arial"/>
          <w:sz w:val="24"/>
          <w:szCs w:val="24"/>
        </w:rPr>
        <w:t>T</w:t>
      </w:r>
      <w:r w:rsidR="00D01065">
        <w:rPr>
          <w:rFonts w:ascii="Arial" w:hAnsi="Arial" w:cs="Arial"/>
          <w:sz w:val="24"/>
          <w:szCs w:val="24"/>
        </w:rPr>
        <w:t xml:space="preserve">he impact </w:t>
      </w:r>
      <w:r w:rsidR="00446041">
        <w:rPr>
          <w:rFonts w:ascii="Arial" w:hAnsi="Arial" w:cs="Arial"/>
          <w:sz w:val="24"/>
          <w:szCs w:val="24"/>
        </w:rPr>
        <w:t xml:space="preserve">on the three classes by </w:t>
      </w:r>
      <w:r w:rsidR="00D01065">
        <w:rPr>
          <w:rFonts w:ascii="Arial" w:hAnsi="Arial" w:cs="Arial"/>
          <w:sz w:val="24"/>
          <w:szCs w:val="24"/>
        </w:rPr>
        <w:t>moving the Sentinel Light class up to the 80% revenue to cost ratio over 2017 and 2018 is very minimal, being pennies on the three classes.</w:t>
      </w:r>
    </w:p>
    <w:p w:rsidR="00E031E6" w:rsidRDefault="00E031E6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0688" w:rsidRDefault="00D50688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A7C02" w:rsidRPr="001A3DE4" w:rsidRDefault="001A3DE4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Question:</w:t>
      </w:r>
    </w:p>
    <w:p w:rsidR="00123F34" w:rsidRPr="00CB5BAF" w:rsidRDefault="00123F34" w:rsidP="00EE10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5BAF">
        <w:rPr>
          <w:rFonts w:ascii="Arial" w:hAnsi="Arial" w:cs="Arial"/>
          <w:b/>
          <w:sz w:val="24"/>
          <w:szCs w:val="24"/>
        </w:rPr>
        <w:t>Customer Classification</w:t>
      </w:r>
    </w:p>
    <w:p w:rsidR="00123F34" w:rsidRDefault="00123F34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if there has been any movement of customers from Class A to Class B or from Class B to Class A. </w:t>
      </w:r>
    </w:p>
    <w:p w:rsidR="00D01065" w:rsidRDefault="00D01065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1065" w:rsidRDefault="00D01065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1065">
        <w:rPr>
          <w:rFonts w:ascii="Arial" w:hAnsi="Arial" w:cs="Arial"/>
          <w:b/>
          <w:sz w:val="24"/>
          <w:szCs w:val="24"/>
        </w:rPr>
        <w:t>Response:</w:t>
      </w:r>
    </w:p>
    <w:p w:rsidR="00F457E1" w:rsidRPr="00F457E1" w:rsidRDefault="00F457E1" w:rsidP="00EE10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Milton Hydro did not have any movement of customers from Class A to Class B or from Class B to Class A during the 2015 rate year.</w:t>
      </w:r>
    </w:p>
    <w:sectPr w:rsidR="00F457E1" w:rsidRPr="00F457E1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B39FF"/>
    <w:multiLevelType w:val="hybridMultilevel"/>
    <w:tmpl w:val="97ECBDA6"/>
    <w:lvl w:ilvl="0" w:tplc="3B0E0A2E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C3E72"/>
    <w:multiLevelType w:val="hybridMultilevel"/>
    <w:tmpl w:val="701E8F10"/>
    <w:lvl w:ilvl="0" w:tplc="2828088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974F5"/>
    <w:multiLevelType w:val="hybridMultilevel"/>
    <w:tmpl w:val="E6BA1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75"/>
    <w:rsid w:val="00024021"/>
    <w:rsid w:val="00036D5C"/>
    <w:rsid w:val="000444DC"/>
    <w:rsid w:val="00092149"/>
    <w:rsid w:val="000A2855"/>
    <w:rsid w:val="0010474B"/>
    <w:rsid w:val="00123F34"/>
    <w:rsid w:val="001859A9"/>
    <w:rsid w:val="00194C69"/>
    <w:rsid w:val="001A3DE4"/>
    <w:rsid w:val="001E6866"/>
    <w:rsid w:val="001E6DC1"/>
    <w:rsid w:val="00204AD0"/>
    <w:rsid w:val="00254794"/>
    <w:rsid w:val="002624F4"/>
    <w:rsid w:val="00292DA9"/>
    <w:rsid w:val="00321B23"/>
    <w:rsid w:val="00331B1C"/>
    <w:rsid w:val="003421E9"/>
    <w:rsid w:val="003A7C02"/>
    <w:rsid w:val="003F7672"/>
    <w:rsid w:val="004009E9"/>
    <w:rsid w:val="00412DC6"/>
    <w:rsid w:val="0042059B"/>
    <w:rsid w:val="00446041"/>
    <w:rsid w:val="0048591E"/>
    <w:rsid w:val="00485C9E"/>
    <w:rsid w:val="004A17AE"/>
    <w:rsid w:val="004C1899"/>
    <w:rsid w:val="004F117E"/>
    <w:rsid w:val="004F755E"/>
    <w:rsid w:val="00610C27"/>
    <w:rsid w:val="00640E61"/>
    <w:rsid w:val="00660B21"/>
    <w:rsid w:val="00685FFE"/>
    <w:rsid w:val="00686963"/>
    <w:rsid w:val="006B1CBB"/>
    <w:rsid w:val="006B22E2"/>
    <w:rsid w:val="006D1C78"/>
    <w:rsid w:val="006E1F35"/>
    <w:rsid w:val="00735205"/>
    <w:rsid w:val="00746080"/>
    <w:rsid w:val="00752B9D"/>
    <w:rsid w:val="007E1AD5"/>
    <w:rsid w:val="007E4839"/>
    <w:rsid w:val="00843976"/>
    <w:rsid w:val="00846005"/>
    <w:rsid w:val="0088451B"/>
    <w:rsid w:val="008A075E"/>
    <w:rsid w:val="008A457D"/>
    <w:rsid w:val="008A6614"/>
    <w:rsid w:val="008C1B53"/>
    <w:rsid w:val="008C75A5"/>
    <w:rsid w:val="008F71D7"/>
    <w:rsid w:val="00911CAE"/>
    <w:rsid w:val="009144BC"/>
    <w:rsid w:val="009449D5"/>
    <w:rsid w:val="00961C2F"/>
    <w:rsid w:val="0097332B"/>
    <w:rsid w:val="009C05DA"/>
    <w:rsid w:val="009C3D2C"/>
    <w:rsid w:val="009E5111"/>
    <w:rsid w:val="00A00C85"/>
    <w:rsid w:val="00A91CF0"/>
    <w:rsid w:val="00AA06D9"/>
    <w:rsid w:val="00AA7E26"/>
    <w:rsid w:val="00AF2D21"/>
    <w:rsid w:val="00AF3615"/>
    <w:rsid w:val="00B22699"/>
    <w:rsid w:val="00B25576"/>
    <w:rsid w:val="00B53563"/>
    <w:rsid w:val="00B56274"/>
    <w:rsid w:val="00B65E79"/>
    <w:rsid w:val="00B7706B"/>
    <w:rsid w:val="00B90D1F"/>
    <w:rsid w:val="00BE5BFB"/>
    <w:rsid w:val="00C538E2"/>
    <w:rsid w:val="00CC0778"/>
    <w:rsid w:val="00D01065"/>
    <w:rsid w:val="00D04645"/>
    <w:rsid w:val="00D31675"/>
    <w:rsid w:val="00D50688"/>
    <w:rsid w:val="00D548A1"/>
    <w:rsid w:val="00D82D41"/>
    <w:rsid w:val="00DC732F"/>
    <w:rsid w:val="00DD644D"/>
    <w:rsid w:val="00DF6264"/>
    <w:rsid w:val="00DF7D4D"/>
    <w:rsid w:val="00E00D6C"/>
    <w:rsid w:val="00E031E6"/>
    <w:rsid w:val="00E06BCD"/>
    <w:rsid w:val="00E24B06"/>
    <w:rsid w:val="00E6663F"/>
    <w:rsid w:val="00EA0919"/>
    <w:rsid w:val="00EA231D"/>
    <w:rsid w:val="00EE10AC"/>
    <w:rsid w:val="00F255C2"/>
    <w:rsid w:val="00F457E1"/>
    <w:rsid w:val="00F72BD0"/>
    <w:rsid w:val="00F74C80"/>
    <w:rsid w:val="00F8422B"/>
    <w:rsid w:val="00F9004A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8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0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8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0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C7D06-546D-4128-8B40-50441811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Georgette Vlahos</dc:creator>
  <cp:lastModifiedBy>Cameron McKenzie</cp:lastModifiedBy>
  <cp:revision>11</cp:revision>
  <dcterms:created xsi:type="dcterms:W3CDTF">2016-12-21T16:50:00Z</dcterms:created>
  <dcterms:modified xsi:type="dcterms:W3CDTF">2016-12-22T17:13:00Z</dcterms:modified>
</cp:coreProperties>
</file>