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B9D" w:rsidRDefault="00903BC7" w:rsidP="00D31675">
      <w:pPr>
        <w:jc w:val="center"/>
        <w:rPr>
          <w:rFonts w:ascii="Arial" w:hAnsi="Arial" w:cs="Arial"/>
          <w:b/>
          <w:sz w:val="24"/>
          <w:szCs w:val="24"/>
        </w:rPr>
      </w:pPr>
      <w:r w:rsidRPr="00903BC7">
        <w:rPr>
          <w:rFonts w:ascii="Arial" w:hAnsi="Arial" w:cs="Arial"/>
          <w:b/>
          <w:sz w:val="24"/>
          <w:szCs w:val="24"/>
        </w:rPr>
        <w:t>Tillsonburg Hydro Inc.</w:t>
      </w:r>
    </w:p>
    <w:p w:rsidR="00D31675" w:rsidRDefault="00D31675" w:rsidP="008C1B53">
      <w:pPr>
        <w:jc w:val="center"/>
        <w:rPr>
          <w:rFonts w:ascii="Arial" w:hAnsi="Arial" w:cs="Arial"/>
          <w:b/>
          <w:sz w:val="24"/>
          <w:szCs w:val="24"/>
        </w:rPr>
      </w:pPr>
      <w:r w:rsidRPr="00D31675">
        <w:rPr>
          <w:rFonts w:ascii="Arial" w:hAnsi="Arial" w:cs="Arial"/>
          <w:b/>
          <w:sz w:val="24"/>
          <w:szCs w:val="24"/>
        </w:rPr>
        <w:t>Application Analysis (</w:t>
      </w:r>
      <w:r w:rsidR="00903BC7" w:rsidRPr="00903BC7">
        <w:rPr>
          <w:rFonts w:ascii="Arial" w:hAnsi="Arial" w:cs="Arial"/>
          <w:b/>
          <w:sz w:val="24"/>
          <w:szCs w:val="24"/>
        </w:rPr>
        <w:t>EB-2016-0106</w:t>
      </w:r>
      <w:r w:rsidRPr="00D31675">
        <w:rPr>
          <w:rFonts w:ascii="Arial" w:hAnsi="Arial" w:cs="Arial"/>
          <w:b/>
          <w:sz w:val="24"/>
          <w:szCs w:val="24"/>
        </w:rPr>
        <w:t>)</w:t>
      </w:r>
    </w:p>
    <w:p w:rsidR="005A1427" w:rsidRDefault="005A1427" w:rsidP="005A1427">
      <w:pPr>
        <w:spacing w:after="0" w:line="240" w:lineRule="auto"/>
        <w:rPr>
          <w:rFonts w:ascii="Arial" w:hAnsi="Arial" w:cs="Arial"/>
          <w:b/>
          <w:sz w:val="24"/>
          <w:szCs w:val="24"/>
        </w:rPr>
      </w:pPr>
      <w:r w:rsidRPr="00CC0778">
        <w:rPr>
          <w:rFonts w:ascii="Arial" w:hAnsi="Arial" w:cs="Arial"/>
          <w:b/>
          <w:sz w:val="24"/>
          <w:szCs w:val="24"/>
        </w:rPr>
        <w:t xml:space="preserve">Tab </w:t>
      </w:r>
      <w:r>
        <w:rPr>
          <w:rFonts w:ascii="Arial" w:hAnsi="Arial" w:cs="Arial"/>
          <w:b/>
          <w:sz w:val="24"/>
          <w:szCs w:val="24"/>
        </w:rPr>
        <w:t>3</w:t>
      </w:r>
      <w:r w:rsidRPr="00CC0778">
        <w:rPr>
          <w:rFonts w:ascii="Arial" w:hAnsi="Arial" w:cs="Arial"/>
          <w:b/>
          <w:sz w:val="24"/>
          <w:szCs w:val="24"/>
        </w:rPr>
        <w:t xml:space="preserve"> </w:t>
      </w:r>
      <w:r>
        <w:rPr>
          <w:rFonts w:ascii="Arial" w:hAnsi="Arial" w:cs="Arial"/>
          <w:b/>
          <w:sz w:val="24"/>
          <w:szCs w:val="24"/>
        </w:rPr>
        <w:t>–</w:t>
      </w:r>
      <w:r w:rsidRPr="00CC0778">
        <w:rPr>
          <w:rFonts w:ascii="Arial" w:hAnsi="Arial" w:cs="Arial"/>
          <w:b/>
          <w:sz w:val="24"/>
          <w:szCs w:val="24"/>
        </w:rPr>
        <w:t xml:space="preserve"> </w:t>
      </w:r>
      <w:r>
        <w:rPr>
          <w:rFonts w:ascii="Arial" w:hAnsi="Arial" w:cs="Arial"/>
          <w:b/>
          <w:sz w:val="24"/>
          <w:szCs w:val="24"/>
        </w:rPr>
        <w:t>Continuity Schedule</w:t>
      </w:r>
    </w:p>
    <w:p w:rsidR="005A1427" w:rsidRDefault="005A1427" w:rsidP="005A1427">
      <w:pPr>
        <w:rPr>
          <w:rFonts w:ascii="Arial" w:hAnsi="Arial" w:cs="Arial"/>
          <w:sz w:val="24"/>
          <w:szCs w:val="24"/>
        </w:rPr>
      </w:pPr>
      <w:r w:rsidRPr="005A1427">
        <w:rPr>
          <w:rFonts w:ascii="Arial" w:hAnsi="Arial" w:cs="Arial"/>
          <w:sz w:val="24"/>
          <w:szCs w:val="24"/>
        </w:rPr>
        <w:t>OEB staff notes no figures have been entered following 2013; the year of the last COS. Please explain why there are missing values in 2010-2012</w:t>
      </w:r>
      <w:r w:rsidR="00024357">
        <w:rPr>
          <w:rFonts w:ascii="Arial" w:hAnsi="Arial" w:cs="Arial"/>
          <w:sz w:val="24"/>
          <w:szCs w:val="24"/>
        </w:rPr>
        <w:t>.</w:t>
      </w:r>
    </w:p>
    <w:p w:rsidR="00024357" w:rsidRDefault="00024357" w:rsidP="005A1427">
      <w:pPr>
        <w:rPr>
          <w:rFonts w:ascii="Arial" w:hAnsi="Arial" w:cs="Arial"/>
          <w:sz w:val="24"/>
          <w:szCs w:val="24"/>
        </w:rPr>
      </w:pPr>
      <w:r>
        <w:rPr>
          <w:rFonts w:ascii="Arial" w:hAnsi="Arial" w:cs="Arial"/>
          <w:sz w:val="24"/>
          <w:szCs w:val="24"/>
        </w:rPr>
        <w:t xml:space="preserve">Please revisit the submissions made for Account 1580, referring to the </w:t>
      </w:r>
      <w:hyperlink r:id="rId7" w:history="1">
        <w:r w:rsidRPr="00024357">
          <w:rPr>
            <w:rStyle w:val="Hyperlink"/>
            <w:rFonts w:ascii="Arial" w:hAnsi="Arial" w:cs="Arial"/>
            <w:sz w:val="24"/>
            <w:szCs w:val="24"/>
          </w:rPr>
          <w:t>OEB Accounting Guidance</w:t>
        </w:r>
      </w:hyperlink>
      <w:r>
        <w:rPr>
          <w:rFonts w:ascii="Arial" w:hAnsi="Arial" w:cs="Arial"/>
          <w:sz w:val="24"/>
          <w:szCs w:val="24"/>
        </w:rPr>
        <w:t xml:space="preserve">.  </w:t>
      </w:r>
    </w:p>
    <w:p w:rsidR="004B0EB2" w:rsidRPr="004B0EB2" w:rsidRDefault="004B0EB2" w:rsidP="005A1427">
      <w:pPr>
        <w:rPr>
          <w:rFonts w:ascii="Arial" w:hAnsi="Arial" w:cs="Arial"/>
          <w:b/>
          <w:sz w:val="24"/>
          <w:szCs w:val="24"/>
        </w:rPr>
      </w:pPr>
      <w:r>
        <w:rPr>
          <w:rFonts w:ascii="Arial" w:hAnsi="Arial" w:cs="Arial"/>
          <w:b/>
          <w:sz w:val="24"/>
          <w:szCs w:val="24"/>
        </w:rPr>
        <w:t xml:space="preserve">THI </w:t>
      </w:r>
      <w:r w:rsidRPr="004B0EB2">
        <w:rPr>
          <w:rFonts w:ascii="Arial" w:hAnsi="Arial" w:cs="Arial"/>
          <w:b/>
          <w:sz w:val="24"/>
          <w:szCs w:val="24"/>
        </w:rPr>
        <w:t>Response:</w:t>
      </w:r>
    </w:p>
    <w:p w:rsidR="004B0EB2" w:rsidRDefault="004B0EB2" w:rsidP="005A1427">
      <w:pPr>
        <w:rPr>
          <w:rFonts w:ascii="Arial" w:hAnsi="Arial" w:cs="Arial"/>
          <w:sz w:val="24"/>
          <w:szCs w:val="24"/>
        </w:rPr>
      </w:pPr>
      <w:r>
        <w:rPr>
          <w:rFonts w:ascii="Arial" w:hAnsi="Arial" w:cs="Arial"/>
          <w:sz w:val="24"/>
          <w:szCs w:val="24"/>
        </w:rPr>
        <w:t>THI followed the direction contained within Tab 3 of the rate model, quote provided below:</w:t>
      </w:r>
    </w:p>
    <w:p w:rsidR="004B0EB2" w:rsidRDefault="004B0EB2" w:rsidP="004B0EB2">
      <w:pPr>
        <w:ind w:left="720"/>
        <w:rPr>
          <w:rFonts w:ascii="Arial" w:hAnsi="Arial" w:cs="Arial"/>
          <w:i/>
          <w:sz w:val="24"/>
          <w:szCs w:val="24"/>
        </w:rPr>
      </w:pPr>
      <w:r w:rsidRPr="004B0EB2">
        <w:rPr>
          <w:rFonts w:ascii="Arial" w:hAnsi="Arial" w:cs="Arial"/>
          <w:i/>
          <w:sz w:val="24"/>
          <w:szCs w:val="24"/>
        </w:rPr>
        <w:t>“</w:t>
      </w:r>
      <w:proofErr w:type="gramStart"/>
      <w:r w:rsidRPr="004B0EB2">
        <w:rPr>
          <w:rFonts w:ascii="Arial" w:hAnsi="Arial" w:cs="Arial"/>
          <w:i/>
          <w:sz w:val="24"/>
          <w:szCs w:val="24"/>
        </w:rPr>
        <w:t>if</w:t>
      </w:r>
      <w:proofErr w:type="gramEnd"/>
      <w:r w:rsidRPr="004B0EB2">
        <w:rPr>
          <w:rFonts w:ascii="Arial" w:hAnsi="Arial" w:cs="Arial"/>
          <w:i/>
          <w:sz w:val="24"/>
          <w:szCs w:val="24"/>
        </w:rPr>
        <w:t xml:space="preserve"> you have received approval to dispose of balances from prior years, the starting point for entries in the schedule below will be the balance sheet date as per your general ledger for which you received approval.  For example, if in the 2016 EDR process (</w:t>
      </w:r>
      <w:proofErr w:type="spellStart"/>
      <w:r w:rsidRPr="004B0EB2">
        <w:rPr>
          <w:rFonts w:ascii="Arial" w:hAnsi="Arial" w:cs="Arial"/>
          <w:i/>
          <w:sz w:val="24"/>
          <w:szCs w:val="24"/>
        </w:rPr>
        <w:t>CoS</w:t>
      </w:r>
      <w:proofErr w:type="spellEnd"/>
      <w:r w:rsidRPr="004B0EB2">
        <w:rPr>
          <w:rFonts w:ascii="Arial" w:hAnsi="Arial" w:cs="Arial"/>
          <w:i/>
          <w:sz w:val="24"/>
          <w:szCs w:val="24"/>
        </w:rPr>
        <w:t xml:space="preserve"> or IRM) you received approval for the December 31, 2014 balances, the starting point for your entries below should be the 2013 year. This will allow for the correct starting point for the 2014 opening balance columns for both principal and interest.”</w:t>
      </w:r>
    </w:p>
    <w:p w:rsidR="004B0EB2" w:rsidRPr="004B0EB2" w:rsidRDefault="004B0EB2" w:rsidP="004B0EB2">
      <w:pPr>
        <w:rPr>
          <w:rFonts w:ascii="Arial" w:hAnsi="Arial" w:cs="Arial"/>
          <w:sz w:val="24"/>
          <w:szCs w:val="24"/>
        </w:rPr>
      </w:pPr>
      <w:r>
        <w:rPr>
          <w:rFonts w:ascii="Arial" w:hAnsi="Arial" w:cs="Arial"/>
          <w:sz w:val="24"/>
          <w:szCs w:val="24"/>
        </w:rPr>
        <w:t>In THI’s 2016 IRM application (EB-2015-0104) disposed of balances up to December 31, 2014. As a result, following the direction above (as THI understood), we populated Tab 3 from 2013 onward. If the OEB required more history on these accounts, please let us know and we will populate.</w:t>
      </w:r>
    </w:p>
    <w:p w:rsidR="004B0EB2" w:rsidRDefault="004B0EB2" w:rsidP="005A1427">
      <w:pPr>
        <w:rPr>
          <w:rFonts w:ascii="Arial" w:hAnsi="Arial" w:cs="Arial"/>
          <w:sz w:val="24"/>
          <w:szCs w:val="24"/>
        </w:rPr>
      </w:pPr>
    </w:p>
    <w:p w:rsidR="008A457D" w:rsidRPr="00965077" w:rsidRDefault="008A457D" w:rsidP="00BE5BFB">
      <w:pPr>
        <w:spacing w:after="0" w:line="240" w:lineRule="auto"/>
        <w:rPr>
          <w:rFonts w:ascii="Arial" w:hAnsi="Arial" w:cs="Arial"/>
          <w:b/>
          <w:sz w:val="24"/>
          <w:szCs w:val="24"/>
        </w:rPr>
      </w:pPr>
      <w:r w:rsidRPr="00965077">
        <w:rPr>
          <w:rFonts w:ascii="Arial" w:hAnsi="Arial" w:cs="Arial"/>
          <w:b/>
          <w:sz w:val="24"/>
          <w:szCs w:val="24"/>
        </w:rPr>
        <w:t xml:space="preserve">Tab 8 </w:t>
      </w:r>
      <w:r w:rsidR="00965077" w:rsidRPr="00965077">
        <w:rPr>
          <w:rFonts w:ascii="Arial" w:hAnsi="Arial" w:cs="Arial"/>
          <w:b/>
          <w:sz w:val="24"/>
          <w:szCs w:val="24"/>
        </w:rPr>
        <w:t>–</w:t>
      </w:r>
      <w:r w:rsidRPr="00965077">
        <w:rPr>
          <w:rFonts w:ascii="Arial" w:hAnsi="Arial" w:cs="Arial"/>
          <w:b/>
          <w:sz w:val="24"/>
          <w:szCs w:val="24"/>
        </w:rPr>
        <w:t xml:space="preserve"> </w:t>
      </w:r>
      <w:r w:rsidR="00965077" w:rsidRPr="00965077">
        <w:rPr>
          <w:rFonts w:ascii="Arial" w:hAnsi="Arial" w:cs="Arial"/>
          <w:b/>
          <w:sz w:val="24"/>
          <w:szCs w:val="24"/>
        </w:rPr>
        <w:t>STS – Tax Change</w:t>
      </w:r>
    </w:p>
    <w:p w:rsidR="008A457D" w:rsidRDefault="00024357" w:rsidP="00BE5BFB">
      <w:pPr>
        <w:spacing w:after="0" w:line="240" w:lineRule="auto"/>
        <w:rPr>
          <w:rFonts w:ascii="Arial" w:hAnsi="Arial" w:cs="Arial"/>
          <w:sz w:val="24"/>
          <w:szCs w:val="24"/>
        </w:rPr>
      </w:pPr>
      <w:r>
        <w:rPr>
          <w:rFonts w:ascii="Arial" w:hAnsi="Arial" w:cs="Arial"/>
          <w:sz w:val="24"/>
          <w:szCs w:val="24"/>
        </w:rPr>
        <w:t>Please explain why the value</w:t>
      </w:r>
      <w:r w:rsidR="00903BC7">
        <w:rPr>
          <w:rFonts w:ascii="Arial" w:hAnsi="Arial" w:cs="Arial"/>
          <w:sz w:val="24"/>
          <w:szCs w:val="24"/>
        </w:rPr>
        <w:t xml:space="preserve"> for </w:t>
      </w:r>
      <w:r w:rsidRPr="00024357">
        <w:rPr>
          <w:rFonts w:ascii="Arial" w:hAnsi="Arial" w:cs="Arial"/>
          <w:sz w:val="24"/>
          <w:szCs w:val="24"/>
        </w:rPr>
        <w:t>Regulatory Taxable Income</w:t>
      </w:r>
      <w:r>
        <w:rPr>
          <w:rFonts w:ascii="Arial" w:hAnsi="Arial" w:cs="Arial"/>
          <w:sz w:val="24"/>
          <w:szCs w:val="24"/>
        </w:rPr>
        <w:t xml:space="preserve"> is positive.</w:t>
      </w:r>
      <w:r w:rsidR="00965077">
        <w:rPr>
          <w:rFonts w:ascii="Arial" w:hAnsi="Arial" w:cs="Arial"/>
          <w:sz w:val="24"/>
          <w:szCs w:val="24"/>
        </w:rPr>
        <w:t xml:space="preserve"> </w:t>
      </w:r>
    </w:p>
    <w:p w:rsidR="004B0EB2" w:rsidRDefault="004B0EB2" w:rsidP="00BE5BFB">
      <w:pPr>
        <w:spacing w:after="0" w:line="240" w:lineRule="auto"/>
        <w:rPr>
          <w:rFonts w:ascii="Arial" w:hAnsi="Arial" w:cs="Arial"/>
          <w:sz w:val="24"/>
          <w:szCs w:val="24"/>
        </w:rPr>
      </w:pPr>
    </w:p>
    <w:p w:rsidR="004B0EB2" w:rsidRPr="004B0EB2" w:rsidRDefault="004B0EB2" w:rsidP="004B0EB2">
      <w:pPr>
        <w:rPr>
          <w:rFonts w:ascii="Arial" w:hAnsi="Arial" w:cs="Arial"/>
          <w:b/>
          <w:sz w:val="24"/>
          <w:szCs w:val="24"/>
        </w:rPr>
      </w:pPr>
      <w:r w:rsidRPr="004B0EB2">
        <w:rPr>
          <w:rFonts w:ascii="Arial" w:hAnsi="Arial" w:cs="Arial"/>
          <w:b/>
          <w:sz w:val="24"/>
          <w:szCs w:val="24"/>
        </w:rPr>
        <w:t>THI Response:</w:t>
      </w:r>
    </w:p>
    <w:p w:rsidR="004B0EB2" w:rsidRDefault="004B0EB2" w:rsidP="00BE5BFB">
      <w:pPr>
        <w:spacing w:after="0" w:line="240" w:lineRule="auto"/>
        <w:rPr>
          <w:rFonts w:ascii="Arial" w:hAnsi="Arial" w:cs="Arial"/>
          <w:sz w:val="24"/>
          <w:szCs w:val="24"/>
        </w:rPr>
      </w:pPr>
      <w:r>
        <w:rPr>
          <w:rFonts w:ascii="Arial" w:hAnsi="Arial" w:cs="Arial"/>
          <w:sz w:val="24"/>
          <w:szCs w:val="24"/>
        </w:rPr>
        <w:t xml:space="preserve">THI attempted to provide some explanation for Tab 8 within our Managers Summary. In THI’s most recent </w:t>
      </w:r>
      <w:proofErr w:type="spellStart"/>
      <w:proofErr w:type="gramStart"/>
      <w:r>
        <w:rPr>
          <w:rFonts w:ascii="Arial" w:hAnsi="Arial" w:cs="Arial"/>
          <w:sz w:val="24"/>
          <w:szCs w:val="24"/>
        </w:rPr>
        <w:t>CoS</w:t>
      </w:r>
      <w:proofErr w:type="spellEnd"/>
      <w:proofErr w:type="gramEnd"/>
      <w:r>
        <w:rPr>
          <w:rFonts w:ascii="Arial" w:hAnsi="Arial" w:cs="Arial"/>
          <w:sz w:val="24"/>
          <w:szCs w:val="24"/>
        </w:rPr>
        <w:t xml:space="preserve"> application, for 2013 rates (EB-2012-0168), THI did not have any corporate taxes approved within the rates. Tab 8 reflects this for </w:t>
      </w:r>
      <w:proofErr w:type="gramStart"/>
      <w:r>
        <w:rPr>
          <w:rFonts w:ascii="Arial" w:hAnsi="Arial" w:cs="Arial"/>
          <w:sz w:val="24"/>
          <w:szCs w:val="24"/>
        </w:rPr>
        <w:t>2013,</w:t>
      </w:r>
      <w:proofErr w:type="gramEnd"/>
      <w:r>
        <w:rPr>
          <w:rFonts w:ascii="Arial" w:hAnsi="Arial" w:cs="Arial"/>
          <w:sz w:val="24"/>
          <w:szCs w:val="24"/>
        </w:rPr>
        <w:t xml:space="preserve"> however, the cells were locked for editing in the 2017 column. As with the 2016 IRM (EB-2015-0104), THI is requesting that the 2017 tax rate be changed to 0%, thus eliminating the Tax Variance Account liability.</w:t>
      </w:r>
    </w:p>
    <w:p w:rsidR="00911CAE" w:rsidRDefault="00911CAE" w:rsidP="00BE5BFB">
      <w:pPr>
        <w:spacing w:after="0" w:line="240" w:lineRule="auto"/>
        <w:rPr>
          <w:rFonts w:ascii="Arial" w:hAnsi="Arial" w:cs="Arial"/>
          <w:sz w:val="24"/>
          <w:szCs w:val="24"/>
        </w:rPr>
      </w:pPr>
    </w:p>
    <w:p w:rsidR="00F86F76" w:rsidRDefault="00F86F76" w:rsidP="00CF12E2">
      <w:pPr>
        <w:spacing w:after="0" w:line="240" w:lineRule="auto"/>
        <w:rPr>
          <w:rFonts w:ascii="Arial" w:hAnsi="Arial" w:cs="Arial"/>
          <w:b/>
          <w:sz w:val="24"/>
          <w:szCs w:val="24"/>
        </w:rPr>
      </w:pPr>
    </w:p>
    <w:p w:rsidR="00F86F76" w:rsidRDefault="00F86F76" w:rsidP="00CF12E2">
      <w:pPr>
        <w:spacing w:after="0" w:line="240" w:lineRule="auto"/>
        <w:rPr>
          <w:rFonts w:ascii="Arial" w:hAnsi="Arial" w:cs="Arial"/>
          <w:b/>
          <w:sz w:val="24"/>
          <w:szCs w:val="24"/>
        </w:rPr>
      </w:pPr>
    </w:p>
    <w:p w:rsidR="00F86F76" w:rsidRDefault="00F86F76" w:rsidP="00CF12E2">
      <w:pPr>
        <w:spacing w:after="0" w:line="240" w:lineRule="auto"/>
        <w:rPr>
          <w:rFonts w:ascii="Arial" w:hAnsi="Arial" w:cs="Arial"/>
          <w:b/>
          <w:sz w:val="24"/>
          <w:szCs w:val="24"/>
        </w:rPr>
      </w:pPr>
    </w:p>
    <w:p w:rsidR="00CF12E2" w:rsidRPr="00CB5BAF" w:rsidRDefault="00CF12E2" w:rsidP="00CF12E2">
      <w:pPr>
        <w:spacing w:after="0" w:line="240" w:lineRule="auto"/>
        <w:rPr>
          <w:rFonts w:ascii="Arial" w:hAnsi="Arial" w:cs="Arial"/>
          <w:b/>
          <w:sz w:val="24"/>
          <w:szCs w:val="24"/>
        </w:rPr>
      </w:pPr>
      <w:bookmarkStart w:id="0" w:name="_GoBack"/>
      <w:bookmarkEnd w:id="0"/>
      <w:r w:rsidRPr="00CB5BAF">
        <w:rPr>
          <w:rFonts w:ascii="Arial" w:hAnsi="Arial" w:cs="Arial"/>
          <w:b/>
          <w:sz w:val="24"/>
          <w:szCs w:val="24"/>
        </w:rPr>
        <w:t>Customer Classification</w:t>
      </w:r>
    </w:p>
    <w:p w:rsidR="00CF12E2" w:rsidRDefault="00CF12E2" w:rsidP="00CF12E2">
      <w:pPr>
        <w:rPr>
          <w:rFonts w:ascii="Arial" w:hAnsi="Arial" w:cs="Arial"/>
          <w:sz w:val="24"/>
          <w:szCs w:val="24"/>
        </w:rPr>
      </w:pPr>
      <w:r>
        <w:rPr>
          <w:rFonts w:ascii="Arial" w:hAnsi="Arial" w:cs="Arial"/>
          <w:sz w:val="24"/>
          <w:szCs w:val="24"/>
        </w:rPr>
        <w:t>Please confirm if there has been any movement of customers from Class A to Class B or from Class B to Class A</w:t>
      </w:r>
      <w:r w:rsidR="00CE0B9D">
        <w:rPr>
          <w:rFonts w:ascii="Arial" w:hAnsi="Arial" w:cs="Arial"/>
          <w:sz w:val="24"/>
          <w:szCs w:val="24"/>
        </w:rPr>
        <w:t xml:space="preserve"> during 2015</w:t>
      </w:r>
      <w:r>
        <w:rPr>
          <w:rFonts w:ascii="Arial" w:hAnsi="Arial" w:cs="Arial"/>
          <w:sz w:val="24"/>
          <w:szCs w:val="24"/>
        </w:rPr>
        <w:t xml:space="preserve">. </w:t>
      </w:r>
    </w:p>
    <w:p w:rsidR="004B0EB2" w:rsidRPr="004B0EB2" w:rsidRDefault="004B0EB2" w:rsidP="00CF12E2">
      <w:pPr>
        <w:rPr>
          <w:rFonts w:ascii="Arial" w:hAnsi="Arial" w:cs="Arial"/>
          <w:b/>
          <w:sz w:val="24"/>
          <w:szCs w:val="24"/>
        </w:rPr>
      </w:pPr>
      <w:r w:rsidRPr="004B0EB2">
        <w:rPr>
          <w:rFonts w:ascii="Arial" w:hAnsi="Arial" w:cs="Arial"/>
          <w:b/>
          <w:sz w:val="24"/>
          <w:szCs w:val="24"/>
        </w:rPr>
        <w:t>THI Response:</w:t>
      </w:r>
    </w:p>
    <w:p w:rsidR="004B0EB2" w:rsidRPr="00CB5BAF" w:rsidRDefault="004B0EB2" w:rsidP="00CF12E2">
      <w:pPr>
        <w:rPr>
          <w:rFonts w:ascii="Arial" w:hAnsi="Arial" w:cs="Arial"/>
          <w:sz w:val="24"/>
          <w:szCs w:val="24"/>
        </w:rPr>
      </w:pPr>
      <w:r>
        <w:rPr>
          <w:rFonts w:ascii="Arial" w:hAnsi="Arial" w:cs="Arial"/>
          <w:sz w:val="24"/>
          <w:szCs w:val="24"/>
        </w:rPr>
        <w:t xml:space="preserve">THI confirms no movement between Class A and Class B </w:t>
      </w:r>
      <w:r w:rsidR="00F86F76">
        <w:rPr>
          <w:rFonts w:ascii="Arial" w:hAnsi="Arial" w:cs="Arial"/>
          <w:sz w:val="24"/>
          <w:szCs w:val="24"/>
        </w:rPr>
        <w:t xml:space="preserve">for 2015 rate year. THI’s first Class </w:t>
      </w:r>
      <w:proofErr w:type="gramStart"/>
      <w:r w:rsidR="00F86F76">
        <w:rPr>
          <w:rFonts w:ascii="Arial" w:hAnsi="Arial" w:cs="Arial"/>
          <w:sz w:val="24"/>
          <w:szCs w:val="24"/>
        </w:rPr>
        <w:t>A</w:t>
      </w:r>
      <w:proofErr w:type="gramEnd"/>
      <w:r w:rsidR="00F86F76">
        <w:rPr>
          <w:rFonts w:ascii="Arial" w:hAnsi="Arial" w:cs="Arial"/>
          <w:sz w:val="24"/>
          <w:szCs w:val="24"/>
        </w:rPr>
        <w:t xml:space="preserve"> customer commenced in July 2016.</w:t>
      </w:r>
    </w:p>
    <w:p w:rsidR="00CF12E2" w:rsidRDefault="00CF12E2" w:rsidP="00BE5BFB">
      <w:pPr>
        <w:spacing w:after="0" w:line="240" w:lineRule="auto"/>
        <w:rPr>
          <w:rFonts w:ascii="Arial" w:hAnsi="Arial" w:cs="Arial"/>
          <w:sz w:val="24"/>
          <w:szCs w:val="24"/>
        </w:rPr>
      </w:pPr>
    </w:p>
    <w:sectPr w:rsidR="00CF12E2" w:rsidSect="00EA0919">
      <w:pgSz w:w="12240" w:h="15840"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EB39FF"/>
    <w:multiLevelType w:val="hybridMultilevel"/>
    <w:tmpl w:val="97ECBDA6"/>
    <w:lvl w:ilvl="0" w:tplc="3B0E0A2E">
      <w:start w:val="1"/>
      <w:numFmt w:val="lowerLetter"/>
      <w:lvlText w:val="(%1)"/>
      <w:lvlJc w:val="left"/>
      <w:pPr>
        <w:ind w:left="720" w:hanging="360"/>
      </w:pPr>
      <w:rPr>
        <w:rFonts w:ascii="Arial" w:eastAsiaTheme="minorHAnsi" w:hAnsi="Arial" w:cs="Arial"/>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7BAC3E72"/>
    <w:multiLevelType w:val="hybridMultilevel"/>
    <w:tmpl w:val="701E8F10"/>
    <w:lvl w:ilvl="0" w:tplc="28280880">
      <w:start w:val="4"/>
      <w:numFmt w:val="bullet"/>
      <w:lvlText w:val=""/>
      <w:lvlJc w:val="left"/>
      <w:pPr>
        <w:ind w:left="720" w:hanging="360"/>
      </w:pPr>
      <w:rPr>
        <w:rFonts w:ascii="Wingdings" w:eastAsiaTheme="minorHAnsi" w:hAnsi="Wingdings"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7D1974F5"/>
    <w:multiLevelType w:val="hybridMultilevel"/>
    <w:tmpl w:val="E6BA13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675"/>
    <w:rsid w:val="00024021"/>
    <w:rsid w:val="00024357"/>
    <w:rsid w:val="00036D5C"/>
    <w:rsid w:val="000444DC"/>
    <w:rsid w:val="00092149"/>
    <w:rsid w:val="000A2855"/>
    <w:rsid w:val="0010474B"/>
    <w:rsid w:val="001859A9"/>
    <w:rsid w:val="001E6866"/>
    <w:rsid w:val="00204AD0"/>
    <w:rsid w:val="00254794"/>
    <w:rsid w:val="002624F4"/>
    <w:rsid w:val="00292DA9"/>
    <w:rsid w:val="00321B23"/>
    <w:rsid w:val="004009E9"/>
    <w:rsid w:val="00412DC6"/>
    <w:rsid w:val="0042059B"/>
    <w:rsid w:val="0048591E"/>
    <w:rsid w:val="00485C9E"/>
    <w:rsid w:val="004A17AE"/>
    <w:rsid w:val="004B0EB2"/>
    <w:rsid w:val="004C1899"/>
    <w:rsid w:val="004C306A"/>
    <w:rsid w:val="004F117E"/>
    <w:rsid w:val="004F755E"/>
    <w:rsid w:val="005A1427"/>
    <w:rsid w:val="00610C27"/>
    <w:rsid w:val="00660B21"/>
    <w:rsid w:val="00685FFE"/>
    <w:rsid w:val="00686963"/>
    <w:rsid w:val="006B1CBB"/>
    <w:rsid w:val="006B22E2"/>
    <w:rsid w:val="006D1C78"/>
    <w:rsid w:val="006E1F35"/>
    <w:rsid w:val="00735205"/>
    <w:rsid w:val="00746080"/>
    <w:rsid w:val="00752B9D"/>
    <w:rsid w:val="007E4839"/>
    <w:rsid w:val="00846005"/>
    <w:rsid w:val="0088451B"/>
    <w:rsid w:val="008A075E"/>
    <w:rsid w:val="008A457D"/>
    <w:rsid w:val="008A6614"/>
    <w:rsid w:val="008C1B53"/>
    <w:rsid w:val="008C75A5"/>
    <w:rsid w:val="008F71D7"/>
    <w:rsid w:val="00903BC7"/>
    <w:rsid w:val="00911CAE"/>
    <w:rsid w:val="009144BC"/>
    <w:rsid w:val="009449D5"/>
    <w:rsid w:val="00965077"/>
    <w:rsid w:val="0097332B"/>
    <w:rsid w:val="009C05DA"/>
    <w:rsid w:val="009C3D2C"/>
    <w:rsid w:val="00A91CF0"/>
    <w:rsid w:val="00A93FEA"/>
    <w:rsid w:val="00AA06D9"/>
    <w:rsid w:val="00AA7E26"/>
    <w:rsid w:val="00AF2D21"/>
    <w:rsid w:val="00AF3615"/>
    <w:rsid w:val="00B22699"/>
    <w:rsid w:val="00B25576"/>
    <w:rsid w:val="00B65E79"/>
    <w:rsid w:val="00B7706B"/>
    <w:rsid w:val="00BE5BFB"/>
    <w:rsid w:val="00CC0778"/>
    <w:rsid w:val="00CE0B9D"/>
    <w:rsid w:val="00CF12E2"/>
    <w:rsid w:val="00D04645"/>
    <w:rsid w:val="00D31675"/>
    <w:rsid w:val="00D548A1"/>
    <w:rsid w:val="00D82D41"/>
    <w:rsid w:val="00DC732F"/>
    <w:rsid w:val="00DF7D4D"/>
    <w:rsid w:val="00E00D6C"/>
    <w:rsid w:val="00E06BCD"/>
    <w:rsid w:val="00E24B06"/>
    <w:rsid w:val="00E6663F"/>
    <w:rsid w:val="00EA0919"/>
    <w:rsid w:val="00EF254E"/>
    <w:rsid w:val="00F74C80"/>
    <w:rsid w:val="00F8422B"/>
    <w:rsid w:val="00F86F76"/>
    <w:rsid w:val="00F9004A"/>
    <w:rsid w:val="00FF33E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16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1675"/>
    <w:rPr>
      <w:rFonts w:ascii="Tahoma" w:hAnsi="Tahoma" w:cs="Tahoma"/>
      <w:sz w:val="16"/>
      <w:szCs w:val="16"/>
    </w:rPr>
  </w:style>
  <w:style w:type="paragraph" w:styleId="ListParagraph">
    <w:name w:val="List Paragraph"/>
    <w:basedOn w:val="Normal"/>
    <w:uiPriority w:val="34"/>
    <w:qFormat/>
    <w:rsid w:val="00D548A1"/>
    <w:pPr>
      <w:ind w:left="720"/>
      <w:contextualSpacing/>
    </w:pPr>
  </w:style>
  <w:style w:type="character" w:styleId="CommentReference">
    <w:name w:val="annotation reference"/>
    <w:basedOn w:val="DefaultParagraphFont"/>
    <w:uiPriority w:val="99"/>
    <w:semiHidden/>
    <w:unhideWhenUsed/>
    <w:rsid w:val="00E00D6C"/>
    <w:rPr>
      <w:sz w:val="16"/>
      <w:szCs w:val="16"/>
    </w:rPr>
  </w:style>
  <w:style w:type="paragraph" w:styleId="CommentText">
    <w:name w:val="annotation text"/>
    <w:basedOn w:val="Normal"/>
    <w:link w:val="CommentTextChar"/>
    <w:uiPriority w:val="99"/>
    <w:semiHidden/>
    <w:unhideWhenUsed/>
    <w:rsid w:val="00E00D6C"/>
    <w:pPr>
      <w:spacing w:line="240" w:lineRule="auto"/>
    </w:pPr>
    <w:rPr>
      <w:sz w:val="20"/>
      <w:szCs w:val="20"/>
    </w:rPr>
  </w:style>
  <w:style w:type="character" w:customStyle="1" w:styleId="CommentTextChar">
    <w:name w:val="Comment Text Char"/>
    <w:basedOn w:val="DefaultParagraphFont"/>
    <w:link w:val="CommentText"/>
    <w:uiPriority w:val="99"/>
    <w:semiHidden/>
    <w:rsid w:val="00E00D6C"/>
    <w:rPr>
      <w:sz w:val="20"/>
      <w:szCs w:val="20"/>
    </w:rPr>
  </w:style>
  <w:style w:type="paragraph" w:styleId="CommentSubject">
    <w:name w:val="annotation subject"/>
    <w:basedOn w:val="CommentText"/>
    <w:next w:val="CommentText"/>
    <w:link w:val="CommentSubjectChar"/>
    <w:uiPriority w:val="99"/>
    <w:semiHidden/>
    <w:unhideWhenUsed/>
    <w:rsid w:val="00E00D6C"/>
    <w:rPr>
      <w:b/>
      <w:bCs/>
    </w:rPr>
  </w:style>
  <w:style w:type="character" w:customStyle="1" w:styleId="CommentSubjectChar">
    <w:name w:val="Comment Subject Char"/>
    <w:basedOn w:val="CommentTextChar"/>
    <w:link w:val="CommentSubject"/>
    <w:uiPriority w:val="99"/>
    <w:semiHidden/>
    <w:rsid w:val="00E00D6C"/>
    <w:rPr>
      <w:b/>
      <w:bCs/>
      <w:sz w:val="20"/>
      <w:szCs w:val="20"/>
    </w:rPr>
  </w:style>
  <w:style w:type="character" w:styleId="Hyperlink">
    <w:name w:val="Hyperlink"/>
    <w:basedOn w:val="DefaultParagraphFont"/>
    <w:uiPriority w:val="99"/>
    <w:unhideWhenUsed/>
    <w:rsid w:val="0002435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16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1675"/>
    <w:rPr>
      <w:rFonts w:ascii="Tahoma" w:hAnsi="Tahoma" w:cs="Tahoma"/>
      <w:sz w:val="16"/>
      <w:szCs w:val="16"/>
    </w:rPr>
  </w:style>
  <w:style w:type="paragraph" w:styleId="ListParagraph">
    <w:name w:val="List Paragraph"/>
    <w:basedOn w:val="Normal"/>
    <w:uiPriority w:val="34"/>
    <w:qFormat/>
    <w:rsid w:val="00D548A1"/>
    <w:pPr>
      <w:ind w:left="720"/>
      <w:contextualSpacing/>
    </w:pPr>
  </w:style>
  <w:style w:type="character" w:styleId="CommentReference">
    <w:name w:val="annotation reference"/>
    <w:basedOn w:val="DefaultParagraphFont"/>
    <w:uiPriority w:val="99"/>
    <w:semiHidden/>
    <w:unhideWhenUsed/>
    <w:rsid w:val="00E00D6C"/>
    <w:rPr>
      <w:sz w:val="16"/>
      <w:szCs w:val="16"/>
    </w:rPr>
  </w:style>
  <w:style w:type="paragraph" w:styleId="CommentText">
    <w:name w:val="annotation text"/>
    <w:basedOn w:val="Normal"/>
    <w:link w:val="CommentTextChar"/>
    <w:uiPriority w:val="99"/>
    <w:semiHidden/>
    <w:unhideWhenUsed/>
    <w:rsid w:val="00E00D6C"/>
    <w:pPr>
      <w:spacing w:line="240" w:lineRule="auto"/>
    </w:pPr>
    <w:rPr>
      <w:sz w:val="20"/>
      <w:szCs w:val="20"/>
    </w:rPr>
  </w:style>
  <w:style w:type="character" w:customStyle="1" w:styleId="CommentTextChar">
    <w:name w:val="Comment Text Char"/>
    <w:basedOn w:val="DefaultParagraphFont"/>
    <w:link w:val="CommentText"/>
    <w:uiPriority w:val="99"/>
    <w:semiHidden/>
    <w:rsid w:val="00E00D6C"/>
    <w:rPr>
      <w:sz w:val="20"/>
      <w:szCs w:val="20"/>
    </w:rPr>
  </w:style>
  <w:style w:type="paragraph" w:styleId="CommentSubject">
    <w:name w:val="annotation subject"/>
    <w:basedOn w:val="CommentText"/>
    <w:next w:val="CommentText"/>
    <w:link w:val="CommentSubjectChar"/>
    <w:uiPriority w:val="99"/>
    <w:semiHidden/>
    <w:unhideWhenUsed/>
    <w:rsid w:val="00E00D6C"/>
    <w:rPr>
      <w:b/>
      <w:bCs/>
    </w:rPr>
  </w:style>
  <w:style w:type="character" w:customStyle="1" w:styleId="CommentSubjectChar">
    <w:name w:val="Comment Subject Char"/>
    <w:basedOn w:val="CommentTextChar"/>
    <w:link w:val="CommentSubject"/>
    <w:uiPriority w:val="99"/>
    <w:semiHidden/>
    <w:rsid w:val="00E00D6C"/>
    <w:rPr>
      <w:b/>
      <w:bCs/>
      <w:sz w:val="20"/>
      <w:szCs w:val="20"/>
    </w:rPr>
  </w:style>
  <w:style w:type="character" w:styleId="Hyperlink">
    <w:name w:val="Hyperlink"/>
    <w:basedOn w:val="DefaultParagraphFont"/>
    <w:uiPriority w:val="99"/>
    <w:unhideWhenUsed/>
    <w:rsid w:val="0002435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906911">
      <w:bodyDiv w:val="1"/>
      <w:marLeft w:val="0"/>
      <w:marRight w:val="0"/>
      <w:marTop w:val="0"/>
      <w:marBottom w:val="0"/>
      <w:divBdr>
        <w:top w:val="none" w:sz="0" w:space="0" w:color="auto"/>
        <w:left w:val="none" w:sz="0" w:space="0" w:color="auto"/>
        <w:bottom w:val="none" w:sz="0" w:space="0" w:color="auto"/>
        <w:right w:val="none" w:sz="0" w:space="0" w:color="auto"/>
      </w:divBdr>
    </w:div>
    <w:div w:id="525677957">
      <w:bodyDiv w:val="1"/>
      <w:marLeft w:val="0"/>
      <w:marRight w:val="0"/>
      <w:marTop w:val="0"/>
      <w:marBottom w:val="0"/>
      <w:divBdr>
        <w:top w:val="none" w:sz="0" w:space="0" w:color="auto"/>
        <w:left w:val="none" w:sz="0" w:space="0" w:color="auto"/>
        <w:bottom w:val="none" w:sz="0" w:space="0" w:color="auto"/>
        <w:right w:val="none" w:sz="0" w:space="0" w:color="auto"/>
      </w:divBdr>
    </w:div>
    <w:div w:id="1547526304">
      <w:bodyDiv w:val="1"/>
      <w:marLeft w:val="0"/>
      <w:marRight w:val="0"/>
      <w:marTop w:val="0"/>
      <w:marBottom w:val="0"/>
      <w:divBdr>
        <w:top w:val="none" w:sz="0" w:space="0" w:color="auto"/>
        <w:left w:val="none" w:sz="0" w:space="0" w:color="auto"/>
        <w:bottom w:val="none" w:sz="0" w:space="0" w:color="auto"/>
        <w:right w:val="none" w:sz="0" w:space="0" w:color="auto"/>
      </w:divBdr>
    </w:div>
    <w:div w:id="204945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ontarioenergyboard.ca/oeb/_Documents/Regulatory/CBR_Accounting_Guidance_20160725.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6B454-00B9-4F7A-996A-8CA98220F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329</Words>
  <Characters>1879</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OEB</Company>
  <LinksUpToDate>false</LinksUpToDate>
  <CharactersWithSpaces>2204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Georgette Vlahos</dc:creator>
  <cp:lastModifiedBy>Ian McKenize</cp:lastModifiedBy>
  <cp:revision>2</cp:revision>
  <dcterms:created xsi:type="dcterms:W3CDTF">2016-12-19T13:48:00Z</dcterms:created>
  <dcterms:modified xsi:type="dcterms:W3CDTF">2016-12-19T13:48:00Z</dcterms:modified>
</cp:coreProperties>
</file>