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A0" w:rsidRPr="009E70B0" w:rsidRDefault="009E70B0" w:rsidP="0053355D">
      <w:pPr>
        <w:jc w:val="both"/>
        <w:rPr>
          <w:b/>
        </w:rPr>
      </w:pPr>
      <w:r w:rsidRPr="009E70B0">
        <w:rPr>
          <w:b/>
        </w:rPr>
        <w:t>Sentinel Light Revenue to Cost Ratio Adjustment</w:t>
      </w:r>
    </w:p>
    <w:p w:rsidR="009E70B0" w:rsidRDefault="009E70B0" w:rsidP="0053355D">
      <w:pPr>
        <w:jc w:val="both"/>
        <w:rPr>
          <w:b/>
        </w:rPr>
      </w:pPr>
      <w:r w:rsidRPr="009E70B0">
        <w:rPr>
          <w:b/>
        </w:rPr>
        <w:t>Explanation of Methodology</w:t>
      </w:r>
    </w:p>
    <w:p w:rsidR="00BA1905" w:rsidRPr="009E70B0" w:rsidRDefault="00BA1905" w:rsidP="0053355D">
      <w:pPr>
        <w:jc w:val="both"/>
        <w:rPr>
          <w:b/>
        </w:rPr>
      </w:pPr>
      <w:r>
        <w:rPr>
          <w:b/>
        </w:rPr>
        <w:t>A – Revenue to Cost Ratio Calculation</w:t>
      </w:r>
    </w:p>
    <w:p w:rsidR="009E70B0" w:rsidRDefault="008C3D18" w:rsidP="0053355D">
      <w:pPr>
        <w:jc w:val="both"/>
      </w:pPr>
      <w:r>
        <w:t xml:space="preserve">The model named </w:t>
      </w:r>
      <w:r>
        <w:rPr>
          <w:i/>
        </w:rPr>
        <w:t>“Sentinel-Light_Revenue_to_Cost_Ratio_Adjustment_to_70%”</w:t>
      </w:r>
      <w:r>
        <w:t xml:space="preserve"> was used to increase the Sentinel Light percent from 60% to the 70%.</w:t>
      </w:r>
    </w:p>
    <w:p w:rsidR="008C3D18" w:rsidRDefault="008C3D18" w:rsidP="0053355D">
      <w:pPr>
        <w:jc w:val="both"/>
      </w:pPr>
      <w:r>
        <w:t>During the Settlement Conference it was agreed that the Residential, General Service &gt;50 to 999 kW and Street Lighting customer classes would each be maintained at the same revenue to cost ratio</w:t>
      </w:r>
      <w:r w:rsidR="0053355D">
        <w:t xml:space="preserve"> and the future adjustments would not impact the remaining customer classes</w:t>
      </w:r>
      <w:r w:rsidR="00C87D3D">
        <w:t>.  The adjustment up was done though a “Goal Seek” using the following steps:</w:t>
      </w:r>
    </w:p>
    <w:p w:rsidR="00C87D3D" w:rsidRDefault="00C87D3D" w:rsidP="0053355D">
      <w:pPr>
        <w:pStyle w:val="ListParagraph"/>
        <w:numPr>
          <w:ilvl w:val="0"/>
          <w:numId w:val="1"/>
        </w:numPr>
        <w:jc w:val="both"/>
      </w:pPr>
      <w:r>
        <w:t>Column H – Change the Sentinel Light percent from 60% to 70%;</w:t>
      </w:r>
    </w:p>
    <w:p w:rsidR="00C87D3D" w:rsidRDefault="00C87D3D" w:rsidP="0053355D">
      <w:pPr>
        <w:pStyle w:val="ListParagraph"/>
        <w:numPr>
          <w:ilvl w:val="0"/>
          <w:numId w:val="1"/>
        </w:numPr>
        <w:jc w:val="both"/>
      </w:pPr>
      <w:r>
        <w:t xml:space="preserve">Column K – the Total Proposed Base Revenue increased by to </w:t>
      </w:r>
      <w:r w:rsidR="00113ABD">
        <w:t>$16,310,927, the difference in Cell K19 becomes $4,851;</w:t>
      </w:r>
    </w:p>
    <w:p w:rsidR="0053355D" w:rsidRDefault="0053355D" w:rsidP="0053355D">
      <w:pPr>
        <w:pStyle w:val="ListParagraph"/>
        <w:numPr>
          <w:ilvl w:val="0"/>
          <w:numId w:val="1"/>
        </w:numPr>
        <w:jc w:val="both"/>
      </w:pPr>
      <w:r>
        <w:t xml:space="preserve">Because the Proposed Base Revenue of $16,306,076 must be maintained we used the “Goal Seek” to determine what revenue to cost ratio would be required to the </w:t>
      </w:r>
      <w:r>
        <w:t>Residential, General Service &gt;50 to 999 kW and Street Lighting customer classes</w:t>
      </w:r>
      <w:r>
        <w:t xml:space="preserve"> in order to maintain the Base Revenue</w:t>
      </w:r>
      <w:r w:rsidR="00113ABD">
        <w:t>.</w:t>
      </w:r>
    </w:p>
    <w:p w:rsidR="00113ABD" w:rsidRDefault="00113ABD" w:rsidP="00113ABD">
      <w:pPr>
        <w:pStyle w:val="ListParagraph"/>
        <w:ind w:left="1440"/>
        <w:jc w:val="both"/>
      </w:pPr>
      <w:r>
        <w:t>Goal Seek</w:t>
      </w:r>
    </w:p>
    <w:p w:rsidR="00113ABD" w:rsidRDefault="00113ABD" w:rsidP="00113ABD">
      <w:pPr>
        <w:pStyle w:val="ListParagraph"/>
        <w:numPr>
          <w:ilvl w:val="0"/>
          <w:numId w:val="3"/>
        </w:numPr>
        <w:jc w:val="both"/>
      </w:pPr>
      <w:r>
        <w:t>Set Cell K19 to zero by changing Cell H7 (Residential with the other two classes linked to this cell)</w:t>
      </w:r>
    </w:p>
    <w:p w:rsidR="00113ABD" w:rsidRDefault="00113ABD" w:rsidP="00113ABD">
      <w:pPr>
        <w:pStyle w:val="ListParagraph"/>
        <w:numPr>
          <w:ilvl w:val="0"/>
          <w:numId w:val="3"/>
        </w:numPr>
        <w:jc w:val="both"/>
      </w:pPr>
      <w:r>
        <w:t xml:space="preserve">The Cells H7, H9 and H13 </w:t>
      </w:r>
      <w:r w:rsidR="00071C3B">
        <w:t xml:space="preserve">changed </w:t>
      </w:r>
      <w:r>
        <w:t>accordingly.</w:t>
      </w:r>
    </w:p>
    <w:p w:rsidR="00A91EBB" w:rsidRDefault="00A91EBB" w:rsidP="00C61F0B">
      <w:pPr>
        <w:jc w:val="both"/>
      </w:pPr>
      <w:r>
        <w:t xml:space="preserve">The </w:t>
      </w:r>
      <w:r w:rsidR="00071C3B">
        <w:t xml:space="preserve">model also includes a </w:t>
      </w:r>
      <w:r>
        <w:t xml:space="preserve">table beginning at Cell23 </w:t>
      </w:r>
      <w:r w:rsidR="00071C3B">
        <w:t xml:space="preserve">that </w:t>
      </w:r>
      <w:r>
        <w:t>provides the 2016 Revenue to Cost Ratio and the 2017 Proposed Revenue to Cost Ratio.</w:t>
      </w:r>
      <w:r w:rsidR="00C61F0B">
        <w:t xml:space="preserve">  The </w:t>
      </w:r>
      <w:r>
        <w:t xml:space="preserve">Base Revenue </w:t>
      </w:r>
      <w:proofErr w:type="gramStart"/>
      <w:r>
        <w:t>Before</w:t>
      </w:r>
      <w:proofErr w:type="gramEnd"/>
      <w:r>
        <w:t xml:space="preserve"> 2017 IRM Application remains the same.</w:t>
      </w:r>
    </w:p>
    <w:p w:rsidR="00BA1905" w:rsidRPr="00BA1905" w:rsidRDefault="00BA1905" w:rsidP="00A91EBB">
      <w:pPr>
        <w:jc w:val="both"/>
        <w:rPr>
          <w:b/>
        </w:rPr>
      </w:pPr>
      <w:r>
        <w:rPr>
          <w:b/>
        </w:rPr>
        <w:t>B – Fixed / Variable Rates</w:t>
      </w:r>
    </w:p>
    <w:p w:rsidR="00A91EBB" w:rsidRDefault="00A91EBB" w:rsidP="00A91EBB">
      <w:pPr>
        <w:jc w:val="both"/>
      </w:pPr>
      <w:r>
        <w:t xml:space="preserve">The model named </w:t>
      </w:r>
      <w:r>
        <w:rPr>
          <w:i/>
        </w:rPr>
        <w:t>“Sentinel_Light_Rev_to_Cost_Ratio_Adj_to_70%_Fixed_Variable_Rates”</w:t>
      </w:r>
      <w:r>
        <w:t xml:space="preserve"> uses the class revenues from column </w:t>
      </w:r>
      <w:r w:rsidR="00BA1905">
        <w:t xml:space="preserve">B (which is taken from column </w:t>
      </w:r>
      <w:r>
        <w:t>K</w:t>
      </w:r>
      <w:r w:rsidR="00BA1905">
        <w:t xml:space="preserve"> in part “A” above) and splits the individual class revenue using the </w:t>
      </w:r>
      <w:r w:rsidR="00FC2365">
        <w:t xml:space="preserve">existing </w:t>
      </w:r>
      <w:proofErr w:type="gramStart"/>
      <w:r w:rsidR="00FC2365">
        <w:t>Fixed</w:t>
      </w:r>
      <w:proofErr w:type="gramEnd"/>
      <w:r w:rsidR="00FC2365">
        <w:t xml:space="preserve"> / Variable split.</w:t>
      </w:r>
    </w:p>
    <w:p w:rsidR="00FC2365" w:rsidRDefault="00FC2365" w:rsidP="00A91EBB">
      <w:pPr>
        <w:jc w:val="both"/>
      </w:pPr>
      <w:r>
        <w:t>The fixed rate is determined by taking the class revenue from column B, multiplied by the percent of Current Fixed Charge Split (beginning from Cell C23), divid</w:t>
      </w:r>
      <w:r w:rsidR="00071C3B">
        <w:t>es</w:t>
      </w:r>
      <w:r>
        <w:t xml:space="preserve"> by 12 months and then divid</w:t>
      </w:r>
      <w:r w:rsidR="00071C3B">
        <w:t>es</w:t>
      </w:r>
      <w:r>
        <w:t xml:space="preserve"> by the Approved-Forecast customer counts to get the monthly fixed charge.</w:t>
      </w:r>
    </w:p>
    <w:p w:rsidR="00FC2365" w:rsidRDefault="00FC2365" w:rsidP="00A91EBB">
      <w:pPr>
        <w:jc w:val="both"/>
      </w:pPr>
      <w:r>
        <w:t xml:space="preserve">The variable rate is the </w:t>
      </w:r>
      <w:r w:rsidR="006D3C6B">
        <w:t>total class revenue less the revenue from the fixed charge divided by the Approved-Forecast kWh or kW.</w:t>
      </w:r>
    </w:p>
    <w:p w:rsidR="006D3C6B" w:rsidRDefault="006D3C6B" w:rsidP="00A91EBB">
      <w:pPr>
        <w:jc w:val="both"/>
      </w:pPr>
      <w:r>
        <w:t>The Residential class fixed charge is then adjusted for the second year adjustment towards the 100% fixed rate.</w:t>
      </w:r>
    </w:p>
    <w:p w:rsidR="009E70B0" w:rsidRDefault="0078772C" w:rsidP="0053355D">
      <w:pPr>
        <w:jc w:val="both"/>
      </w:pPr>
      <w:r>
        <w:t>The adjustment required to the current Approved-Rates is included in the 2017 Rate Generator Model in columns C and E before the Price Cap Index is applied.</w:t>
      </w:r>
    </w:p>
    <w:p w:rsidR="00C61F0B" w:rsidRDefault="00C61F0B" w:rsidP="0053355D">
      <w:pPr>
        <w:jc w:val="both"/>
      </w:pPr>
      <w:r>
        <w:t>In 2018 Milton Hydro will use this same methodology to adjust the Sentinel Light revenue to cost ratio to 80%.</w:t>
      </w:r>
      <w:bookmarkStart w:id="0" w:name="_GoBack"/>
      <w:bookmarkEnd w:id="0"/>
    </w:p>
    <w:sectPr w:rsidR="00C61F0B" w:rsidSect="00C61F0B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5AA"/>
    <w:multiLevelType w:val="hybridMultilevel"/>
    <w:tmpl w:val="AF68B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02F1"/>
    <w:multiLevelType w:val="hybridMultilevel"/>
    <w:tmpl w:val="28584442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F17EB2"/>
    <w:multiLevelType w:val="hybridMultilevel"/>
    <w:tmpl w:val="7318CCE6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B0"/>
    <w:rsid w:val="00071C3B"/>
    <w:rsid w:val="00113ABD"/>
    <w:rsid w:val="0053355D"/>
    <w:rsid w:val="006D3C6B"/>
    <w:rsid w:val="0078772C"/>
    <w:rsid w:val="008C3D18"/>
    <w:rsid w:val="009E70B0"/>
    <w:rsid w:val="00A91EBB"/>
    <w:rsid w:val="00BA1905"/>
    <w:rsid w:val="00BA7CD6"/>
    <w:rsid w:val="00C61F0B"/>
    <w:rsid w:val="00C87D3D"/>
    <w:rsid w:val="00CD06A0"/>
    <w:rsid w:val="00F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McKenzie</dc:creator>
  <cp:lastModifiedBy>Cameron McKenzie</cp:lastModifiedBy>
  <cp:revision>5</cp:revision>
  <dcterms:created xsi:type="dcterms:W3CDTF">2017-01-27T20:07:00Z</dcterms:created>
  <dcterms:modified xsi:type="dcterms:W3CDTF">2017-01-27T21:22:00Z</dcterms:modified>
</cp:coreProperties>
</file>