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4C3" w:rsidRDefault="00D614C3">
      <w:pPr>
        <w:rPr>
          <w:rFonts w:ascii="Arial" w:hAnsi="Arial" w:cs="Arial"/>
          <w:b/>
          <w:sz w:val="28"/>
          <w:szCs w:val="28"/>
        </w:rPr>
      </w:pPr>
    </w:p>
    <w:p w:rsidR="00746080" w:rsidRPr="00394351" w:rsidRDefault="00B31E98" w:rsidP="00D0773D">
      <w:pPr>
        <w:jc w:val="center"/>
        <w:rPr>
          <w:rFonts w:ascii="Arial" w:hAnsi="Arial" w:cs="Arial"/>
          <w:b/>
          <w:sz w:val="28"/>
          <w:szCs w:val="28"/>
        </w:rPr>
      </w:pPr>
      <w:r>
        <w:rPr>
          <w:rFonts w:ascii="Arial" w:hAnsi="Arial" w:cs="Arial"/>
          <w:b/>
          <w:sz w:val="28"/>
          <w:szCs w:val="28"/>
        </w:rPr>
        <w:t>Hydro 2000 Inc.</w:t>
      </w:r>
    </w:p>
    <w:p w:rsidR="00394351" w:rsidRDefault="00394351" w:rsidP="00394351">
      <w:pPr>
        <w:jc w:val="center"/>
        <w:rPr>
          <w:rFonts w:ascii="Arial" w:hAnsi="Arial" w:cs="Arial"/>
          <w:b/>
          <w:sz w:val="28"/>
          <w:szCs w:val="28"/>
        </w:rPr>
      </w:pPr>
      <w:r>
        <w:rPr>
          <w:rFonts w:ascii="Arial" w:hAnsi="Arial" w:cs="Arial"/>
          <w:b/>
          <w:sz w:val="28"/>
          <w:szCs w:val="28"/>
        </w:rPr>
        <w:t xml:space="preserve"> </w:t>
      </w:r>
      <w:r w:rsidR="00D0773D">
        <w:rPr>
          <w:rFonts w:ascii="Arial" w:hAnsi="Arial" w:cs="Arial"/>
          <w:b/>
          <w:sz w:val="28"/>
          <w:szCs w:val="28"/>
        </w:rPr>
        <w:t>EB-201</w:t>
      </w:r>
      <w:r w:rsidR="006125B7">
        <w:rPr>
          <w:rFonts w:ascii="Arial" w:hAnsi="Arial" w:cs="Arial"/>
          <w:b/>
          <w:sz w:val="28"/>
          <w:szCs w:val="28"/>
        </w:rPr>
        <w:t>6-00</w:t>
      </w:r>
      <w:r w:rsidR="00B31E98">
        <w:rPr>
          <w:rFonts w:ascii="Arial" w:hAnsi="Arial" w:cs="Arial"/>
          <w:b/>
          <w:sz w:val="28"/>
          <w:szCs w:val="28"/>
        </w:rPr>
        <w:t>78</w:t>
      </w:r>
      <w:r w:rsidR="00B20109">
        <w:rPr>
          <w:rFonts w:ascii="Arial" w:hAnsi="Arial" w:cs="Arial"/>
          <w:b/>
          <w:sz w:val="28"/>
          <w:szCs w:val="28"/>
        </w:rPr>
        <w:t xml:space="preserve">                                                                                                                                                                                                                                                                                                                                                    </w:t>
      </w:r>
      <w:r w:rsidR="006125B7">
        <w:rPr>
          <w:rFonts w:ascii="Arial" w:hAnsi="Arial" w:cs="Arial"/>
          <w:b/>
          <w:sz w:val="28"/>
          <w:szCs w:val="28"/>
        </w:rPr>
        <w:t xml:space="preserve">                             </w:t>
      </w:r>
    </w:p>
    <w:p w:rsidR="00394351" w:rsidRPr="00CC447E" w:rsidRDefault="00B31E98" w:rsidP="00CC447E">
      <w:pPr>
        <w:jc w:val="center"/>
        <w:rPr>
          <w:rFonts w:ascii="Arial" w:hAnsi="Arial" w:cs="Arial"/>
          <w:b/>
          <w:sz w:val="24"/>
          <w:szCs w:val="28"/>
        </w:rPr>
      </w:pPr>
      <w:r>
        <w:rPr>
          <w:rFonts w:ascii="Arial" w:hAnsi="Arial" w:cs="Arial"/>
          <w:b/>
          <w:sz w:val="24"/>
          <w:szCs w:val="28"/>
        </w:rPr>
        <w:t xml:space="preserve">January </w:t>
      </w:r>
      <w:r w:rsidR="00796C0A">
        <w:rPr>
          <w:rFonts w:ascii="Arial" w:hAnsi="Arial" w:cs="Arial"/>
          <w:b/>
          <w:sz w:val="24"/>
          <w:szCs w:val="28"/>
        </w:rPr>
        <w:t>3</w:t>
      </w:r>
      <w:r w:rsidR="00BE1A92">
        <w:rPr>
          <w:rFonts w:ascii="Arial" w:hAnsi="Arial" w:cs="Arial"/>
          <w:b/>
          <w:sz w:val="24"/>
          <w:szCs w:val="28"/>
        </w:rPr>
        <w:t>, 201</w:t>
      </w:r>
      <w:r>
        <w:rPr>
          <w:rFonts w:ascii="Arial" w:hAnsi="Arial" w:cs="Arial"/>
          <w:b/>
          <w:sz w:val="24"/>
          <w:szCs w:val="28"/>
        </w:rPr>
        <w:t>7</w:t>
      </w:r>
    </w:p>
    <w:p w:rsidR="00247371" w:rsidRPr="002B321A" w:rsidRDefault="00247371" w:rsidP="00247371">
      <w:pPr>
        <w:rPr>
          <w:rFonts w:ascii="Arial" w:hAnsi="Arial" w:cs="Arial"/>
          <w:b/>
          <w:sz w:val="24"/>
          <w:szCs w:val="24"/>
        </w:rPr>
      </w:pPr>
      <w:r w:rsidRPr="002B321A">
        <w:rPr>
          <w:rFonts w:ascii="Arial" w:hAnsi="Arial" w:cs="Arial"/>
          <w:b/>
          <w:sz w:val="24"/>
          <w:szCs w:val="24"/>
        </w:rPr>
        <w:t xml:space="preserve">Question #1 </w:t>
      </w:r>
    </w:p>
    <w:p w:rsidR="00247371" w:rsidRDefault="00247371" w:rsidP="00247371">
      <w:pPr>
        <w:rPr>
          <w:rFonts w:ascii="Arial" w:hAnsi="Arial" w:cs="Arial"/>
          <w:b/>
          <w:sz w:val="24"/>
          <w:szCs w:val="24"/>
        </w:rPr>
      </w:pPr>
      <w:r>
        <w:rPr>
          <w:rFonts w:ascii="Arial" w:hAnsi="Arial" w:cs="Arial"/>
          <w:b/>
          <w:sz w:val="24"/>
          <w:szCs w:val="24"/>
        </w:rPr>
        <w:t>Ref: IRM Model – tab 1</w:t>
      </w:r>
      <w:r w:rsidR="00834687">
        <w:rPr>
          <w:rFonts w:ascii="Arial" w:hAnsi="Arial" w:cs="Arial"/>
          <w:b/>
          <w:sz w:val="24"/>
          <w:szCs w:val="24"/>
        </w:rPr>
        <w:t xml:space="preserve"> </w:t>
      </w:r>
      <w:r>
        <w:rPr>
          <w:rFonts w:ascii="Arial" w:hAnsi="Arial" w:cs="Arial"/>
          <w:b/>
          <w:sz w:val="24"/>
          <w:szCs w:val="24"/>
        </w:rPr>
        <w:t>Information Sheet</w:t>
      </w:r>
    </w:p>
    <w:p w:rsidR="00247371" w:rsidRDefault="00834687" w:rsidP="00247371">
      <w:pPr>
        <w:rPr>
          <w:rFonts w:ascii="Arial" w:hAnsi="Arial" w:cs="Arial"/>
          <w:sz w:val="24"/>
          <w:szCs w:val="24"/>
        </w:rPr>
      </w:pPr>
      <w:r>
        <w:rPr>
          <w:rFonts w:ascii="Arial" w:hAnsi="Arial" w:cs="Arial"/>
          <w:sz w:val="24"/>
          <w:szCs w:val="24"/>
        </w:rPr>
        <w:t>As per the Decision and Rate Order issued for Hydro 2000’s 2016 rates application, the balances of Group 1 accounts were disposed in the 2016 rate year. The year entered in row 30 of tab 1 (when Group 1 accounts were last cleared) should be 2016, not 2015.</w:t>
      </w:r>
    </w:p>
    <w:p w:rsidR="00247371" w:rsidRDefault="00247371" w:rsidP="00247371">
      <w:pPr>
        <w:pStyle w:val="ListParagraph"/>
        <w:numPr>
          <w:ilvl w:val="0"/>
          <w:numId w:val="33"/>
        </w:numPr>
        <w:rPr>
          <w:rFonts w:ascii="Arial" w:hAnsi="Arial" w:cs="Arial"/>
          <w:sz w:val="24"/>
          <w:szCs w:val="24"/>
        </w:rPr>
      </w:pPr>
      <w:r w:rsidRPr="003421C4">
        <w:rPr>
          <w:rFonts w:ascii="Arial" w:hAnsi="Arial" w:cs="Arial"/>
          <w:sz w:val="24"/>
          <w:szCs w:val="24"/>
        </w:rPr>
        <w:t xml:space="preserve">Please </w:t>
      </w:r>
      <w:r>
        <w:rPr>
          <w:rFonts w:ascii="Arial" w:hAnsi="Arial" w:cs="Arial"/>
          <w:sz w:val="24"/>
          <w:szCs w:val="24"/>
        </w:rPr>
        <w:t xml:space="preserve">confirm </w:t>
      </w:r>
      <w:r w:rsidR="00834687">
        <w:rPr>
          <w:rFonts w:ascii="Arial" w:hAnsi="Arial" w:cs="Arial"/>
          <w:sz w:val="24"/>
          <w:szCs w:val="24"/>
        </w:rPr>
        <w:t>the above and OEB staff will update the model.</w:t>
      </w:r>
    </w:p>
    <w:p w:rsidR="00247371" w:rsidRDefault="00247371" w:rsidP="00247371">
      <w:pPr>
        <w:pStyle w:val="ListParagraph"/>
        <w:rPr>
          <w:rFonts w:ascii="Arial" w:hAnsi="Arial" w:cs="Arial"/>
          <w:sz w:val="24"/>
          <w:szCs w:val="24"/>
        </w:rPr>
      </w:pPr>
      <w:r>
        <w:rPr>
          <w:noProof/>
          <w:lang w:eastAsia="en-CA"/>
        </w:rPr>
        <w:drawing>
          <wp:inline distT="0" distB="0" distL="0" distR="0" wp14:anchorId="1B1A3F96" wp14:editId="5A8077D9">
            <wp:extent cx="4495238" cy="212381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495238" cy="2123810"/>
                    </a:xfrm>
                    <a:prstGeom prst="rect">
                      <a:avLst/>
                    </a:prstGeom>
                  </pic:spPr>
                </pic:pic>
              </a:graphicData>
            </a:graphic>
          </wp:inline>
        </w:drawing>
      </w:r>
    </w:p>
    <w:p w:rsidR="00247371" w:rsidRPr="00557A3D" w:rsidRDefault="00557A3D" w:rsidP="002B321A">
      <w:pPr>
        <w:rPr>
          <w:rFonts w:ascii="Arial" w:hAnsi="Arial" w:cs="Arial"/>
          <w:b/>
          <w:color w:val="0070C0"/>
          <w:sz w:val="24"/>
          <w:szCs w:val="24"/>
        </w:rPr>
      </w:pPr>
      <w:r w:rsidRPr="00557A3D">
        <w:rPr>
          <w:rFonts w:ascii="Arial" w:hAnsi="Arial" w:cs="Arial"/>
          <w:b/>
          <w:color w:val="0070C0"/>
          <w:sz w:val="24"/>
          <w:szCs w:val="24"/>
        </w:rPr>
        <w:t>Hydro 2000 Response:</w:t>
      </w:r>
      <w:r w:rsidR="00AB760F">
        <w:rPr>
          <w:rFonts w:ascii="Arial" w:hAnsi="Arial" w:cs="Arial"/>
          <w:b/>
          <w:color w:val="0070C0"/>
          <w:sz w:val="24"/>
          <w:szCs w:val="24"/>
        </w:rPr>
        <w:t xml:space="preserve"> Board Staff is correct in that the last Rate Year Group 1 was disposed of was in 2016.</w:t>
      </w:r>
    </w:p>
    <w:p w:rsidR="002B321A" w:rsidRPr="002B321A" w:rsidRDefault="009920CC" w:rsidP="002B321A">
      <w:pPr>
        <w:rPr>
          <w:rFonts w:ascii="Arial" w:hAnsi="Arial" w:cs="Arial"/>
          <w:b/>
          <w:sz w:val="24"/>
          <w:szCs w:val="24"/>
        </w:rPr>
      </w:pPr>
      <w:r>
        <w:rPr>
          <w:rFonts w:ascii="Arial" w:hAnsi="Arial" w:cs="Arial"/>
          <w:b/>
          <w:sz w:val="24"/>
          <w:szCs w:val="24"/>
        </w:rPr>
        <w:t>Question #2</w:t>
      </w:r>
    </w:p>
    <w:p w:rsidR="00BE208F" w:rsidRDefault="002B321A" w:rsidP="002B321A">
      <w:pPr>
        <w:rPr>
          <w:rFonts w:ascii="Arial" w:hAnsi="Arial" w:cs="Arial"/>
          <w:b/>
          <w:sz w:val="24"/>
          <w:szCs w:val="24"/>
        </w:rPr>
      </w:pPr>
      <w:r>
        <w:rPr>
          <w:rFonts w:ascii="Arial" w:hAnsi="Arial" w:cs="Arial"/>
          <w:b/>
          <w:sz w:val="24"/>
          <w:szCs w:val="24"/>
        </w:rPr>
        <w:t xml:space="preserve">Ref: IRM Model – tab 3 Continuity Schedule: </w:t>
      </w:r>
    </w:p>
    <w:p w:rsidR="0022610E" w:rsidRPr="0022610E" w:rsidRDefault="0022610E" w:rsidP="002C548C">
      <w:pPr>
        <w:pStyle w:val="ListParagraph"/>
        <w:numPr>
          <w:ilvl w:val="0"/>
          <w:numId w:val="37"/>
        </w:numPr>
        <w:rPr>
          <w:rFonts w:ascii="Arial" w:hAnsi="Arial" w:cs="Arial"/>
          <w:sz w:val="24"/>
          <w:szCs w:val="24"/>
        </w:rPr>
      </w:pPr>
      <w:r>
        <w:rPr>
          <w:rFonts w:ascii="Arial" w:hAnsi="Arial" w:cs="Arial"/>
          <w:b/>
          <w:sz w:val="24"/>
          <w:szCs w:val="24"/>
        </w:rPr>
        <w:t xml:space="preserve">Account 1595 (2009) </w:t>
      </w:r>
    </w:p>
    <w:p w:rsidR="0022610E" w:rsidRDefault="0022610E" w:rsidP="0022610E">
      <w:pPr>
        <w:pStyle w:val="ListParagraph"/>
        <w:rPr>
          <w:rFonts w:ascii="Arial" w:hAnsi="Arial" w:cs="Arial"/>
          <w:sz w:val="24"/>
          <w:szCs w:val="24"/>
        </w:rPr>
      </w:pPr>
      <w:r>
        <w:rPr>
          <w:rFonts w:ascii="Arial" w:hAnsi="Arial" w:cs="Arial"/>
          <w:sz w:val="24"/>
          <w:szCs w:val="24"/>
        </w:rPr>
        <w:t>It’s noted that on tab 3 of the IRM model, the account balanc</w:t>
      </w:r>
      <w:r w:rsidR="008E4C91">
        <w:rPr>
          <w:rFonts w:ascii="Arial" w:hAnsi="Arial" w:cs="Arial"/>
          <w:sz w:val="24"/>
          <w:szCs w:val="24"/>
        </w:rPr>
        <w:t xml:space="preserve">es of Account 1595 (2008) might have </w:t>
      </w:r>
      <w:r>
        <w:rPr>
          <w:rFonts w:ascii="Arial" w:hAnsi="Arial" w:cs="Arial"/>
          <w:sz w:val="24"/>
          <w:szCs w:val="24"/>
        </w:rPr>
        <w:t>be</w:t>
      </w:r>
      <w:r w:rsidR="008E4C91">
        <w:rPr>
          <w:rFonts w:ascii="Arial" w:hAnsi="Arial" w:cs="Arial"/>
          <w:sz w:val="24"/>
          <w:szCs w:val="24"/>
        </w:rPr>
        <w:t>en</w:t>
      </w:r>
      <w:r>
        <w:rPr>
          <w:rFonts w:ascii="Arial" w:hAnsi="Arial" w:cs="Arial"/>
          <w:sz w:val="24"/>
          <w:szCs w:val="24"/>
        </w:rPr>
        <w:t xml:space="preserve"> erroneously entered in row 30 for Account 1595 (2009). </w:t>
      </w:r>
    </w:p>
    <w:p w:rsidR="0022610E" w:rsidRDefault="0022610E" w:rsidP="0022610E">
      <w:pPr>
        <w:pStyle w:val="ListParagraph"/>
        <w:rPr>
          <w:rFonts w:ascii="Arial" w:hAnsi="Arial" w:cs="Arial"/>
          <w:sz w:val="24"/>
          <w:szCs w:val="24"/>
        </w:rPr>
      </w:pPr>
    </w:p>
    <w:p w:rsidR="002C548C" w:rsidRDefault="002C548C" w:rsidP="0022610E">
      <w:pPr>
        <w:pStyle w:val="ListParagraph"/>
        <w:rPr>
          <w:rFonts w:ascii="Arial" w:hAnsi="Arial" w:cs="Arial"/>
          <w:sz w:val="24"/>
          <w:szCs w:val="24"/>
        </w:rPr>
      </w:pPr>
      <w:r>
        <w:rPr>
          <w:rFonts w:ascii="Arial" w:hAnsi="Arial" w:cs="Arial"/>
          <w:sz w:val="24"/>
          <w:szCs w:val="24"/>
        </w:rPr>
        <w:t>Please review and confirm the balances for Account 1595 (2009). OEB staff will update the model accordingly.</w:t>
      </w:r>
    </w:p>
    <w:p w:rsidR="0022610E" w:rsidRDefault="0022610E" w:rsidP="0022610E">
      <w:pPr>
        <w:pStyle w:val="ListParagraph"/>
        <w:rPr>
          <w:rFonts w:ascii="Arial" w:hAnsi="Arial" w:cs="Arial"/>
          <w:sz w:val="24"/>
          <w:szCs w:val="24"/>
        </w:rPr>
      </w:pPr>
    </w:p>
    <w:p w:rsidR="007D2CE7" w:rsidRDefault="00557A3D" w:rsidP="00557A3D">
      <w:pPr>
        <w:rPr>
          <w:rFonts w:ascii="Arial" w:hAnsi="Arial" w:cs="Arial"/>
          <w:b/>
          <w:color w:val="0070C0"/>
          <w:sz w:val="24"/>
          <w:szCs w:val="24"/>
        </w:rPr>
      </w:pPr>
      <w:r w:rsidRPr="00557A3D">
        <w:rPr>
          <w:rFonts w:ascii="Arial" w:hAnsi="Arial" w:cs="Arial"/>
          <w:b/>
          <w:color w:val="0070C0"/>
          <w:sz w:val="24"/>
          <w:szCs w:val="24"/>
        </w:rPr>
        <w:t>Hydro 2000 Response:</w:t>
      </w:r>
      <w:r w:rsidR="007D2CE7" w:rsidRPr="007D2CE7">
        <w:t xml:space="preserve"> </w:t>
      </w:r>
      <w:r w:rsidR="007D2CE7">
        <w:rPr>
          <w:rFonts w:ascii="Arial" w:hAnsi="Arial" w:cs="Arial"/>
          <w:b/>
          <w:color w:val="0070C0"/>
          <w:sz w:val="24"/>
          <w:szCs w:val="24"/>
        </w:rPr>
        <w:t>(Response provided by Deloitte auditor)</w:t>
      </w:r>
    </w:p>
    <w:p w:rsidR="00557A3D" w:rsidRPr="00557A3D" w:rsidRDefault="007D2CE7" w:rsidP="00557A3D">
      <w:pPr>
        <w:rPr>
          <w:rFonts w:ascii="Arial" w:hAnsi="Arial" w:cs="Arial"/>
          <w:b/>
          <w:color w:val="0070C0"/>
          <w:sz w:val="24"/>
          <w:szCs w:val="24"/>
        </w:rPr>
      </w:pPr>
      <w:r w:rsidRPr="007D2CE7">
        <w:rPr>
          <w:rFonts w:ascii="Arial" w:hAnsi="Arial" w:cs="Arial"/>
          <w:b/>
          <w:color w:val="0070C0"/>
          <w:sz w:val="24"/>
          <w:szCs w:val="24"/>
        </w:rPr>
        <w:lastRenderedPageBreak/>
        <w:t>All the amounts on row 30 1595 (2009) are for 2008. There is no row in the template for 2008. All those amounts should be on a row for 2008 and the row for 2009 would be blank. There were no amounts approved for that year.</w:t>
      </w:r>
    </w:p>
    <w:p w:rsidR="0022610E" w:rsidRDefault="0022610E" w:rsidP="0022610E">
      <w:pPr>
        <w:pStyle w:val="ListParagraph"/>
        <w:rPr>
          <w:rFonts w:ascii="Arial" w:hAnsi="Arial" w:cs="Arial"/>
          <w:sz w:val="24"/>
          <w:szCs w:val="24"/>
        </w:rPr>
      </w:pPr>
    </w:p>
    <w:p w:rsidR="0022610E" w:rsidRDefault="0022610E" w:rsidP="0022610E">
      <w:pPr>
        <w:pStyle w:val="ListParagraph"/>
        <w:rPr>
          <w:rFonts w:ascii="Arial" w:hAnsi="Arial" w:cs="Arial"/>
          <w:sz w:val="24"/>
          <w:szCs w:val="24"/>
        </w:rPr>
      </w:pPr>
    </w:p>
    <w:p w:rsidR="0022610E" w:rsidRPr="0022610E" w:rsidRDefault="0022610E" w:rsidP="0022610E">
      <w:pPr>
        <w:pStyle w:val="ListParagraph"/>
        <w:numPr>
          <w:ilvl w:val="0"/>
          <w:numId w:val="37"/>
        </w:numPr>
        <w:rPr>
          <w:rFonts w:ascii="Arial" w:hAnsi="Arial" w:cs="Arial"/>
          <w:sz w:val="24"/>
          <w:szCs w:val="24"/>
        </w:rPr>
      </w:pPr>
      <w:r>
        <w:rPr>
          <w:rFonts w:ascii="Arial" w:hAnsi="Arial" w:cs="Arial"/>
          <w:b/>
          <w:sz w:val="24"/>
          <w:szCs w:val="24"/>
        </w:rPr>
        <w:t>Account 1595 (2012) Adjustments</w:t>
      </w:r>
    </w:p>
    <w:p w:rsidR="0022610E" w:rsidRDefault="0022610E" w:rsidP="0022610E">
      <w:pPr>
        <w:pStyle w:val="ListParagraph"/>
        <w:rPr>
          <w:rFonts w:ascii="Arial" w:hAnsi="Arial" w:cs="Arial"/>
          <w:sz w:val="24"/>
          <w:szCs w:val="24"/>
        </w:rPr>
      </w:pPr>
      <w:r w:rsidRPr="0022610E">
        <w:rPr>
          <w:rFonts w:ascii="Arial" w:hAnsi="Arial" w:cs="Arial"/>
          <w:sz w:val="24"/>
          <w:szCs w:val="24"/>
        </w:rPr>
        <w:t>Please provide explanations to the Adjustment amounts of $33,308 and $639 entered in Account 1595 (2012) in 2015.</w:t>
      </w:r>
    </w:p>
    <w:p w:rsidR="007D2CE7" w:rsidRDefault="00557A3D" w:rsidP="00557A3D">
      <w:pPr>
        <w:rPr>
          <w:rFonts w:ascii="Arial" w:hAnsi="Arial" w:cs="Arial"/>
          <w:b/>
          <w:color w:val="0070C0"/>
          <w:sz w:val="24"/>
          <w:szCs w:val="24"/>
        </w:rPr>
      </w:pPr>
      <w:r w:rsidRPr="00557A3D">
        <w:rPr>
          <w:rFonts w:ascii="Arial" w:hAnsi="Arial" w:cs="Arial"/>
          <w:b/>
          <w:color w:val="0070C0"/>
          <w:sz w:val="24"/>
          <w:szCs w:val="24"/>
        </w:rPr>
        <w:t>Hydro 2000 Response:</w:t>
      </w:r>
      <w:r w:rsidR="007D2CE7" w:rsidRPr="007D2CE7">
        <w:t xml:space="preserve"> </w:t>
      </w:r>
      <w:r w:rsidR="007D2CE7">
        <w:rPr>
          <w:rFonts w:ascii="Arial" w:hAnsi="Arial" w:cs="Arial"/>
          <w:b/>
          <w:color w:val="0070C0"/>
          <w:sz w:val="24"/>
          <w:szCs w:val="24"/>
        </w:rPr>
        <w:t>(Response provided by Deloitte auditor)</w:t>
      </w:r>
    </w:p>
    <w:p w:rsidR="00557A3D" w:rsidRPr="00557A3D" w:rsidRDefault="007D2CE7" w:rsidP="00557A3D">
      <w:pPr>
        <w:rPr>
          <w:rFonts w:ascii="Arial" w:hAnsi="Arial" w:cs="Arial"/>
          <w:b/>
          <w:color w:val="0070C0"/>
          <w:sz w:val="24"/>
          <w:szCs w:val="24"/>
        </w:rPr>
      </w:pPr>
      <w:r w:rsidRPr="007D2CE7">
        <w:rPr>
          <w:rFonts w:ascii="Arial" w:hAnsi="Arial" w:cs="Arial"/>
          <w:b/>
          <w:color w:val="0070C0"/>
          <w:sz w:val="24"/>
          <w:szCs w:val="24"/>
        </w:rPr>
        <w:t>The adjustments were amounts for stranded meters and smart meters which had to be transferred to revenues.</w:t>
      </w:r>
    </w:p>
    <w:p w:rsidR="0022610E" w:rsidRDefault="0022610E" w:rsidP="0022610E">
      <w:pPr>
        <w:pStyle w:val="ListParagraph"/>
        <w:rPr>
          <w:rFonts w:ascii="Arial" w:hAnsi="Arial" w:cs="Arial"/>
          <w:sz w:val="24"/>
          <w:szCs w:val="24"/>
        </w:rPr>
      </w:pPr>
    </w:p>
    <w:p w:rsidR="0022610E" w:rsidRPr="0022610E" w:rsidRDefault="0022610E" w:rsidP="0022610E">
      <w:pPr>
        <w:pStyle w:val="ListParagraph"/>
        <w:numPr>
          <w:ilvl w:val="0"/>
          <w:numId w:val="37"/>
        </w:numPr>
        <w:rPr>
          <w:rFonts w:ascii="Arial" w:hAnsi="Arial" w:cs="Arial"/>
          <w:sz w:val="24"/>
          <w:szCs w:val="24"/>
        </w:rPr>
      </w:pPr>
      <w:r>
        <w:rPr>
          <w:rFonts w:ascii="Arial" w:hAnsi="Arial" w:cs="Arial"/>
          <w:b/>
          <w:sz w:val="24"/>
          <w:szCs w:val="24"/>
        </w:rPr>
        <w:t>Account 1595 (2012) Adjustments</w:t>
      </w:r>
    </w:p>
    <w:p w:rsidR="0022610E" w:rsidRDefault="0022610E" w:rsidP="0022610E">
      <w:pPr>
        <w:pStyle w:val="ListParagraph"/>
        <w:rPr>
          <w:rFonts w:ascii="Arial" w:hAnsi="Arial" w:cs="Arial"/>
          <w:sz w:val="24"/>
          <w:szCs w:val="24"/>
        </w:rPr>
      </w:pPr>
      <w:r w:rsidRPr="0022610E">
        <w:rPr>
          <w:rFonts w:ascii="Arial" w:hAnsi="Arial" w:cs="Arial"/>
          <w:sz w:val="24"/>
          <w:szCs w:val="24"/>
        </w:rPr>
        <w:t>Please provide explanations to the Adjustment amounts of $33,308 and $639 entered in Account 1595 (2012) in 2015.</w:t>
      </w:r>
    </w:p>
    <w:p w:rsidR="007D2CE7" w:rsidRDefault="00557A3D" w:rsidP="00557A3D">
      <w:pPr>
        <w:rPr>
          <w:rFonts w:ascii="Arial" w:hAnsi="Arial" w:cs="Arial"/>
          <w:b/>
          <w:color w:val="0070C0"/>
          <w:sz w:val="24"/>
          <w:szCs w:val="24"/>
        </w:rPr>
      </w:pPr>
      <w:r w:rsidRPr="00557A3D">
        <w:rPr>
          <w:rFonts w:ascii="Arial" w:hAnsi="Arial" w:cs="Arial"/>
          <w:b/>
          <w:color w:val="0070C0"/>
          <w:sz w:val="24"/>
          <w:szCs w:val="24"/>
        </w:rPr>
        <w:t>Hydro 2000 Response:</w:t>
      </w:r>
      <w:r w:rsidR="007D2CE7">
        <w:rPr>
          <w:rFonts w:ascii="Arial" w:hAnsi="Arial" w:cs="Arial"/>
          <w:b/>
          <w:color w:val="0070C0"/>
          <w:sz w:val="24"/>
          <w:szCs w:val="24"/>
        </w:rPr>
        <w:t xml:space="preserve"> (Response provided by Deloitte auditor)</w:t>
      </w:r>
    </w:p>
    <w:p w:rsidR="00557A3D" w:rsidRPr="00557A3D" w:rsidRDefault="007D2CE7" w:rsidP="00557A3D">
      <w:pPr>
        <w:rPr>
          <w:rFonts w:ascii="Arial" w:hAnsi="Arial" w:cs="Arial"/>
          <w:b/>
          <w:color w:val="0070C0"/>
          <w:sz w:val="24"/>
          <w:szCs w:val="24"/>
        </w:rPr>
      </w:pPr>
      <w:r>
        <w:rPr>
          <w:rFonts w:ascii="Arial" w:hAnsi="Arial" w:cs="Arial"/>
          <w:b/>
          <w:color w:val="0070C0"/>
          <w:sz w:val="24"/>
          <w:szCs w:val="24"/>
        </w:rPr>
        <w:t>see Hydro 2000’s response to #2c</w:t>
      </w:r>
    </w:p>
    <w:p w:rsidR="0022610E" w:rsidRPr="0022610E" w:rsidRDefault="0022610E" w:rsidP="0022610E">
      <w:pPr>
        <w:pStyle w:val="ListParagraph"/>
        <w:rPr>
          <w:rFonts w:ascii="Arial" w:hAnsi="Arial" w:cs="Arial"/>
          <w:sz w:val="24"/>
          <w:szCs w:val="24"/>
        </w:rPr>
      </w:pPr>
    </w:p>
    <w:p w:rsidR="0022610E" w:rsidRPr="0022610E" w:rsidRDefault="0022610E" w:rsidP="0022610E">
      <w:pPr>
        <w:pStyle w:val="ListParagraph"/>
        <w:numPr>
          <w:ilvl w:val="0"/>
          <w:numId w:val="37"/>
        </w:numPr>
        <w:rPr>
          <w:rFonts w:ascii="Arial" w:hAnsi="Arial" w:cs="Arial"/>
          <w:sz w:val="24"/>
          <w:szCs w:val="24"/>
        </w:rPr>
      </w:pPr>
      <w:r>
        <w:rPr>
          <w:rFonts w:ascii="Arial" w:hAnsi="Arial" w:cs="Arial"/>
          <w:b/>
          <w:sz w:val="24"/>
          <w:szCs w:val="24"/>
        </w:rPr>
        <w:t>Interest Disposition in 2016 – Account 1595</w:t>
      </w:r>
    </w:p>
    <w:p w:rsidR="0022610E" w:rsidRDefault="0022610E" w:rsidP="0022610E">
      <w:pPr>
        <w:pStyle w:val="ListParagraph"/>
        <w:rPr>
          <w:rFonts w:ascii="Arial" w:hAnsi="Arial" w:cs="Arial"/>
          <w:sz w:val="24"/>
          <w:szCs w:val="24"/>
        </w:rPr>
      </w:pPr>
      <w:r>
        <w:rPr>
          <w:rFonts w:ascii="Arial" w:hAnsi="Arial" w:cs="Arial"/>
          <w:sz w:val="24"/>
          <w:szCs w:val="24"/>
        </w:rPr>
        <w:t xml:space="preserve">The OEB staff cannot reconcile the 2016 interest disposition amounts entered in Account 1595 (2010), 1595 (2011) and 1595 (2012) with Hydro 2000’s 2016 Decision and the final 2016 IRM model. </w:t>
      </w:r>
    </w:p>
    <w:p w:rsidR="0022610E" w:rsidRDefault="0022610E" w:rsidP="0022610E">
      <w:pPr>
        <w:pStyle w:val="ListParagraph"/>
        <w:rPr>
          <w:rFonts w:ascii="Arial" w:hAnsi="Arial" w:cs="Arial"/>
          <w:sz w:val="24"/>
          <w:szCs w:val="24"/>
        </w:rPr>
      </w:pPr>
    </w:p>
    <w:p w:rsidR="0022610E" w:rsidRDefault="0022610E" w:rsidP="0022610E">
      <w:pPr>
        <w:pStyle w:val="ListParagraph"/>
        <w:rPr>
          <w:rFonts w:ascii="Arial" w:hAnsi="Arial" w:cs="Arial"/>
          <w:sz w:val="24"/>
          <w:szCs w:val="24"/>
        </w:rPr>
      </w:pPr>
      <w:r>
        <w:rPr>
          <w:rFonts w:ascii="Arial" w:hAnsi="Arial" w:cs="Arial"/>
          <w:sz w:val="24"/>
          <w:szCs w:val="24"/>
        </w:rPr>
        <w:t>Please provide explanations to the three numbers (as highlighted below).</w:t>
      </w:r>
    </w:p>
    <w:p w:rsidR="007D2CE7" w:rsidRDefault="00557A3D" w:rsidP="00557A3D">
      <w:pPr>
        <w:rPr>
          <w:rFonts w:ascii="Arial" w:hAnsi="Arial" w:cs="Arial"/>
          <w:b/>
          <w:color w:val="0070C0"/>
          <w:sz w:val="24"/>
          <w:szCs w:val="24"/>
        </w:rPr>
      </w:pPr>
      <w:r w:rsidRPr="00557A3D">
        <w:rPr>
          <w:rFonts w:ascii="Arial" w:hAnsi="Arial" w:cs="Arial"/>
          <w:b/>
          <w:color w:val="0070C0"/>
          <w:sz w:val="24"/>
          <w:szCs w:val="24"/>
        </w:rPr>
        <w:t>Hydro 2000 Response:</w:t>
      </w:r>
      <w:r w:rsidR="007D2CE7" w:rsidRPr="007D2CE7">
        <w:t xml:space="preserve"> </w:t>
      </w:r>
      <w:r w:rsidR="007D2CE7">
        <w:rPr>
          <w:rFonts w:ascii="Arial" w:hAnsi="Arial" w:cs="Arial"/>
          <w:b/>
          <w:color w:val="0070C0"/>
          <w:sz w:val="24"/>
          <w:szCs w:val="24"/>
        </w:rPr>
        <w:t>(Response provided by Deloitte auditor)</w:t>
      </w:r>
    </w:p>
    <w:p w:rsidR="00557A3D" w:rsidRPr="007D2CE7" w:rsidRDefault="007D2CE7" w:rsidP="00557A3D">
      <w:pPr>
        <w:rPr>
          <w:rFonts w:ascii="Arial" w:hAnsi="Arial" w:cs="Arial"/>
          <w:b/>
          <w:color w:val="0070C0"/>
          <w:sz w:val="24"/>
          <w:szCs w:val="24"/>
          <w:lang w:val="en-US"/>
        </w:rPr>
      </w:pPr>
      <w:r w:rsidRPr="007D2CE7">
        <w:rPr>
          <w:rFonts w:ascii="Arial" w:hAnsi="Arial" w:cs="Arial"/>
          <w:b/>
          <w:color w:val="0070C0"/>
          <w:sz w:val="24"/>
          <w:szCs w:val="24"/>
        </w:rPr>
        <w:t>The 5 amounts of interest for account 1595 equals $88,735 which is the total which was approved for 1595.</w:t>
      </w:r>
    </w:p>
    <w:p w:rsidR="00557A3D" w:rsidRPr="0022610E" w:rsidRDefault="00557A3D" w:rsidP="0022610E">
      <w:pPr>
        <w:pStyle w:val="ListParagraph"/>
        <w:rPr>
          <w:rFonts w:ascii="Arial" w:hAnsi="Arial" w:cs="Arial"/>
          <w:sz w:val="24"/>
          <w:szCs w:val="24"/>
        </w:rPr>
      </w:pPr>
    </w:p>
    <w:p w:rsidR="0022610E" w:rsidRDefault="0022610E" w:rsidP="0022610E">
      <w:pPr>
        <w:pStyle w:val="ListParagraph"/>
        <w:rPr>
          <w:rFonts w:ascii="Arial" w:hAnsi="Arial" w:cs="Arial"/>
          <w:sz w:val="24"/>
          <w:szCs w:val="24"/>
        </w:rPr>
      </w:pPr>
      <w:r>
        <w:rPr>
          <w:noProof/>
          <w:lang w:eastAsia="en-CA"/>
        </w:rPr>
        <w:lastRenderedPageBreak/>
        <w:drawing>
          <wp:inline distT="0" distB="0" distL="0" distR="0" wp14:anchorId="43588DE4" wp14:editId="67A3CF9D">
            <wp:extent cx="3771900" cy="451217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71429" cy="4511616"/>
                    </a:xfrm>
                    <a:prstGeom prst="rect">
                      <a:avLst/>
                    </a:prstGeom>
                  </pic:spPr>
                </pic:pic>
              </a:graphicData>
            </a:graphic>
          </wp:inline>
        </w:drawing>
      </w:r>
    </w:p>
    <w:p w:rsidR="0022610E" w:rsidRPr="0022610E" w:rsidRDefault="0022610E" w:rsidP="0022610E">
      <w:pPr>
        <w:pStyle w:val="ListParagraph"/>
        <w:rPr>
          <w:rFonts w:ascii="Arial" w:hAnsi="Arial" w:cs="Arial"/>
          <w:sz w:val="24"/>
          <w:szCs w:val="24"/>
        </w:rPr>
      </w:pPr>
    </w:p>
    <w:p w:rsidR="0022610E" w:rsidRPr="0022610E" w:rsidRDefault="0022610E" w:rsidP="0022610E">
      <w:pPr>
        <w:pStyle w:val="ListParagraph"/>
        <w:numPr>
          <w:ilvl w:val="0"/>
          <w:numId w:val="37"/>
        </w:numPr>
        <w:rPr>
          <w:rFonts w:ascii="Arial" w:hAnsi="Arial" w:cs="Arial"/>
          <w:sz w:val="24"/>
          <w:szCs w:val="24"/>
        </w:rPr>
      </w:pPr>
      <w:r>
        <w:rPr>
          <w:rFonts w:ascii="Arial" w:hAnsi="Arial" w:cs="Arial"/>
          <w:b/>
          <w:sz w:val="24"/>
          <w:szCs w:val="24"/>
        </w:rPr>
        <w:t>Projected Interest</w:t>
      </w:r>
    </w:p>
    <w:p w:rsidR="0022610E" w:rsidRDefault="00977510" w:rsidP="0022610E">
      <w:pPr>
        <w:pStyle w:val="ListParagraph"/>
        <w:rPr>
          <w:rFonts w:ascii="Arial" w:hAnsi="Arial" w:cs="Arial"/>
          <w:sz w:val="24"/>
          <w:szCs w:val="24"/>
        </w:rPr>
      </w:pPr>
      <w:r>
        <w:rPr>
          <w:rFonts w:ascii="Arial" w:hAnsi="Arial" w:cs="Arial"/>
          <w:sz w:val="24"/>
          <w:szCs w:val="24"/>
        </w:rPr>
        <w:t>Please note that the projected interest amounts in column BQ and</w:t>
      </w:r>
      <w:r w:rsidR="003871CF">
        <w:rPr>
          <w:rFonts w:ascii="Arial" w:hAnsi="Arial" w:cs="Arial"/>
          <w:sz w:val="24"/>
          <w:szCs w:val="24"/>
        </w:rPr>
        <w:t xml:space="preserve"> BR should be both based on December 31, </w:t>
      </w:r>
      <w:r>
        <w:rPr>
          <w:rFonts w:ascii="Arial" w:hAnsi="Arial" w:cs="Arial"/>
          <w:sz w:val="24"/>
          <w:szCs w:val="24"/>
        </w:rPr>
        <w:t xml:space="preserve">2015 Principal balances </w:t>
      </w:r>
      <w:r w:rsidR="003871CF">
        <w:rPr>
          <w:rFonts w:ascii="Arial" w:hAnsi="Arial" w:cs="Arial"/>
          <w:sz w:val="24"/>
          <w:szCs w:val="24"/>
        </w:rPr>
        <w:t xml:space="preserve">adjusted for 2016 disposition </w:t>
      </w:r>
      <w:r>
        <w:rPr>
          <w:rFonts w:ascii="Arial" w:hAnsi="Arial" w:cs="Arial"/>
          <w:sz w:val="24"/>
          <w:szCs w:val="24"/>
        </w:rPr>
        <w:t>– column B</w:t>
      </w:r>
      <w:r w:rsidR="003871CF">
        <w:rPr>
          <w:rFonts w:ascii="Arial" w:hAnsi="Arial" w:cs="Arial"/>
          <w:sz w:val="24"/>
          <w:szCs w:val="24"/>
        </w:rPr>
        <w:t>O</w:t>
      </w:r>
      <w:r>
        <w:rPr>
          <w:rFonts w:ascii="Arial" w:hAnsi="Arial" w:cs="Arial"/>
          <w:sz w:val="24"/>
          <w:szCs w:val="24"/>
        </w:rPr>
        <w:t>; column BQ is the interest projected for one year</w:t>
      </w:r>
      <w:r w:rsidR="003871CF">
        <w:rPr>
          <w:rFonts w:ascii="Arial" w:hAnsi="Arial" w:cs="Arial"/>
          <w:sz w:val="24"/>
          <w:szCs w:val="24"/>
        </w:rPr>
        <w:t xml:space="preserve"> (</w:t>
      </w:r>
      <w:r w:rsidR="00366B12">
        <w:rPr>
          <w:rFonts w:ascii="Arial" w:hAnsi="Arial" w:cs="Arial"/>
          <w:sz w:val="24"/>
          <w:szCs w:val="24"/>
        </w:rPr>
        <w:t>BO</w:t>
      </w:r>
      <w:r w:rsidR="003871CF">
        <w:rPr>
          <w:rFonts w:ascii="Arial" w:hAnsi="Arial" w:cs="Arial"/>
          <w:sz w:val="24"/>
          <w:szCs w:val="24"/>
        </w:rPr>
        <w:t>*1.1%)</w:t>
      </w:r>
      <w:r>
        <w:rPr>
          <w:rFonts w:ascii="Arial" w:hAnsi="Arial" w:cs="Arial"/>
          <w:sz w:val="24"/>
          <w:szCs w:val="24"/>
        </w:rPr>
        <w:t>, and column BR is the interest projected for four months</w:t>
      </w:r>
      <w:r w:rsidR="003871CF">
        <w:rPr>
          <w:rFonts w:ascii="Arial" w:hAnsi="Arial" w:cs="Arial"/>
          <w:sz w:val="24"/>
          <w:szCs w:val="24"/>
        </w:rPr>
        <w:t xml:space="preserve"> (</w:t>
      </w:r>
      <w:r w:rsidR="00366B12">
        <w:rPr>
          <w:rFonts w:ascii="Arial" w:hAnsi="Arial" w:cs="Arial"/>
          <w:sz w:val="24"/>
          <w:szCs w:val="24"/>
        </w:rPr>
        <w:t>BO</w:t>
      </w:r>
      <w:r w:rsidR="003871CF">
        <w:rPr>
          <w:rFonts w:ascii="Arial" w:hAnsi="Arial" w:cs="Arial"/>
          <w:sz w:val="24"/>
          <w:szCs w:val="24"/>
        </w:rPr>
        <w:t>*1.1%*4/12)</w:t>
      </w:r>
      <w:r>
        <w:rPr>
          <w:rFonts w:ascii="Arial" w:hAnsi="Arial" w:cs="Arial"/>
          <w:sz w:val="24"/>
          <w:szCs w:val="24"/>
        </w:rPr>
        <w:t xml:space="preserve">. In each column, the same calculation of interest should be applied to all the Group 1 accounts consistently. </w:t>
      </w:r>
    </w:p>
    <w:p w:rsidR="00977510" w:rsidRDefault="00977510" w:rsidP="0022610E">
      <w:pPr>
        <w:pStyle w:val="ListParagraph"/>
        <w:rPr>
          <w:rFonts w:ascii="Arial" w:hAnsi="Arial" w:cs="Arial"/>
          <w:sz w:val="24"/>
          <w:szCs w:val="24"/>
        </w:rPr>
      </w:pPr>
    </w:p>
    <w:p w:rsidR="00977510" w:rsidRDefault="00977510" w:rsidP="0022610E">
      <w:pPr>
        <w:pStyle w:val="ListParagraph"/>
        <w:rPr>
          <w:rFonts w:ascii="Arial" w:hAnsi="Arial" w:cs="Arial"/>
          <w:sz w:val="24"/>
          <w:szCs w:val="24"/>
        </w:rPr>
      </w:pPr>
      <w:r>
        <w:rPr>
          <w:rFonts w:ascii="Arial" w:hAnsi="Arial" w:cs="Arial"/>
          <w:sz w:val="24"/>
          <w:szCs w:val="24"/>
        </w:rPr>
        <w:t xml:space="preserve">Please review and </w:t>
      </w:r>
      <w:r w:rsidR="00D70715">
        <w:rPr>
          <w:rFonts w:ascii="Arial" w:hAnsi="Arial" w:cs="Arial"/>
          <w:sz w:val="24"/>
          <w:szCs w:val="24"/>
        </w:rPr>
        <w:t xml:space="preserve">adjust </w:t>
      </w:r>
      <w:r>
        <w:rPr>
          <w:rFonts w:ascii="Arial" w:hAnsi="Arial" w:cs="Arial"/>
          <w:sz w:val="24"/>
          <w:szCs w:val="24"/>
        </w:rPr>
        <w:t>the calculations for projected interest</w:t>
      </w:r>
      <w:r w:rsidR="00D70715">
        <w:rPr>
          <w:rFonts w:ascii="Arial" w:hAnsi="Arial" w:cs="Arial"/>
          <w:sz w:val="24"/>
          <w:szCs w:val="24"/>
        </w:rPr>
        <w:t xml:space="preserve"> in column BQ and BR.</w:t>
      </w:r>
    </w:p>
    <w:p w:rsidR="00977510" w:rsidRPr="0022610E" w:rsidRDefault="00977510" w:rsidP="0022610E">
      <w:pPr>
        <w:pStyle w:val="ListParagraph"/>
        <w:rPr>
          <w:rFonts w:ascii="Arial" w:hAnsi="Arial" w:cs="Arial"/>
          <w:sz w:val="24"/>
          <w:szCs w:val="24"/>
        </w:rPr>
      </w:pPr>
      <w:r>
        <w:rPr>
          <w:noProof/>
          <w:lang w:eastAsia="en-CA"/>
        </w:rPr>
        <w:lastRenderedPageBreak/>
        <w:drawing>
          <wp:inline distT="0" distB="0" distL="0" distR="0" wp14:anchorId="021586A9" wp14:editId="1EB3954F">
            <wp:extent cx="3847619" cy="5600000"/>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847619" cy="5600000"/>
                    </a:xfrm>
                    <a:prstGeom prst="rect">
                      <a:avLst/>
                    </a:prstGeom>
                  </pic:spPr>
                </pic:pic>
              </a:graphicData>
            </a:graphic>
          </wp:inline>
        </w:drawing>
      </w:r>
    </w:p>
    <w:p w:rsidR="0022610E" w:rsidRPr="0022610E" w:rsidRDefault="0022610E" w:rsidP="0022610E">
      <w:pPr>
        <w:pStyle w:val="ListParagraph"/>
        <w:rPr>
          <w:rFonts w:ascii="Arial" w:hAnsi="Arial" w:cs="Arial"/>
          <w:sz w:val="24"/>
          <w:szCs w:val="24"/>
        </w:rPr>
      </w:pPr>
    </w:p>
    <w:p w:rsidR="007D2CE7" w:rsidRDefault="007D2CE7" w:rsidP="007D2CE7">
      <w:r w:rsidRPr="00557A3D">
        <w:rPr>
          <w:rFonts w:ascii="Arial" w:hAnsi="Arial" w:cs="Arial"/>
          <w:b/>
          <w:color w:val="0070C0"/>
          <w:sz w:val="24"/>
          <w:szCs w:val="24"/>
        </w:rPr>
        <w:t>Hydro 2000 Response</w:t>
      </w:r>
      <w:r>
        <w:rPr>
          <w:rFonts w:ascii="Arial" w:hAnsi="Arial" w:cs="Arial"/>
          <w:b/>
          <w:color w:val="0070C0"/>
          <w:sz w:val="24"/>
          <w:szCs w:val="24"/>
        </w:rPr>
        <w:t>: (Response provided by Deloitte auditor)</w:t>
      </w:r>
    </w:p>
    <w:p w:rsidR="000D3025" w:rsidRDefault="007D2CE7" w:rsidP="007D2CE7">
      <w:pPr>
        <w:rPr>
          <w:rFonts w:ascii="Arial" w:hAnsi="Arial" w:cs="Arial"/>
          <w:b/>
          <w:sz w:val="24"/>
          <w:szCs w:val="24"/>
        </w:rPr>
      </w:pPr>
      <w:r w:rsidRPr="007D2CE7">
        <w:rPr>
          <w:rFonts w:ascii="Arial" w:hAnsi="Arial" w:cs="Arial"/>
          <w:b/>
          <w:color w:val="0070C0"/>
          <w:sz w:val="24"/>
          <w:szCs w:val="24"/>
        </w:rPr>
        <w:t>The amounts approved for 2016 were effective on May 1. Therefore, formula used in column BQ = BG * 1.1% * 4/12 + BO * 1.1% * 8/12. Formula used in column BR = BO * 1.1% * 4/12. The only exceptions are for accounts 1595 (2009) to 1595 (2012). Since amounts were considered in the amounts approved on May 1, 2016, interest</w:t>
      </w:r>
    </w:p>
    <w:p w:rsidR="00EC2B3D" w:rsidRDefault="00EC2B3D" w:rsidP="00601C3B">
      <w:pPr>
        <w:rPr>
          <w:rFonts w:ascii="Arial" w:hAnsi="Arial" w:cs="Arial"/>
          <w:sz w:val="24"/>
          <w:szCs w:val="24"/>
        </w:rPr>
      </w:pPr>
    </w:p>
    <w:p w:rsidR="007D2CE7" w:rsidRDefault="007D2CE7">
      <w:pPr>
        <w:rPr>
          <w:rFonts w:ascii="Arial" w:hAnsi="Arial" w:cs="Arial"/>
          <w:b/>
          <w:sz w:val="24"/>
          <w:szCs w:val="24"/>
        </w:rPr>
      </w:pPr>
      <w:r>
        <w:rPr>
          <w:rFonts w:ascii="Arial" w:hAnsi="Arial" w:cs="Arial"/>
          <w:b/>
          <w:sz w:val="24"/>
          <w:szCs w:val="24"/>
        </w:rPr>
        <w:br w:type="page"/>
      </w:r>
    </w:p>
    <w:p w:rsidR="00341806" w:rsidRPr="002B321A" w:rsidRDefault="00341806" w:rsidP="00341806">
      <w:pPr>
        <w:rPr>
          <w:rFonts w:ascii="Arial" w:hAnsi="Arial" w:cs="Arial"/>
          <w:b/>
          <w:sz w:val="24"/>
          <w:szCs w:val="24"/>
        </w:rPr>
      </w:pPr>
      <w:r w:rsidRPr="002B321A">
        <w:rPr>
          <w:rFonts w:ascii="Arial" w:hAnsi="Arial" w:cs="Arial"/>
          <w:b/>
          <w:sz w:val="24"/>
          <w:szCs w:val="24"/>
        </w:rPr>
        <w:lastRenderedPageBreak/>
        <w:t xml:space="preserve">Question </w:t>
      </w:r>
      <w:r>
        <w:rPr>
          <w:rFonts w:ascii="Arial" w:hAnsi="Arial" w:cs="Arial"/>
          <w:b/>
          <w:sz w:val="24"/>
          <w:szCs w:val="24"/>
        </w:rPr>
        <w:t>#3</w:t>
      </w:r>
    </w:p>
    <w:p w:rsidR="00341806" w:rsidRDefault="00341806" w:rsidP="00341806">
      <w:pPr>
        <w:rPr>
          <w:rFonts w:ascii="Arial" w:hAnsi="Arial" w:cs="Arial"/>
          <w:b/>
          <w:sz w:val="24"/>
          <w:szCs w:val="24"/>
        </w:rPr>
      </w:pPr>
      <w:r>
        <w:rPr>
          <w:rFonts w:ascii="Arial" w:hAnsi="Arial" w:cs="Arial"/>
          <w:b/>
          <w:sz w:val="24"/>
          <w:szCs w:val="24"/>
        </w:rPr>
        <w:t xml:space="preserve">Ref: </w:t>
      </w:r>
      <w:r w:rsidR="00D70715">
        <w:rPr>
          <w:rFonts w:ascii="Arial" w:hAnsi="Arial" w:cs="Arial"/>
          <w:b/>
          <w:sz w:val="24"/>
          <w:szCs w:val="24"/>
        </w:rPr>
        <w:t>Class A customers</w:t>
      </w:r>
    </w:p>
    <w:p w:rsidR="00D52F46" w:rsidRDefault="00D52F46" w:rsidP="00D52F46">
      <w:pPr>
        <w:pStyle w:val="ListParagraph"/>
        <w:numPr>
          <w:ilvl w:val="0"/>
          <w:numId w:val="38"/>
        </w:numPr>
        <w:rPr>
          <w:rFonts w:ascii="Arial" w:hAnsi="Arial" w:cs="Arial"/>
          <w:sz w:val="24"/>
          <w:szCs w:val="24"/>
        </w:rPr>
      </w:pPr>
      <w:r w:rsidRPr="00D52F46">
        <w:rPr>
          <w:rFonts w:ascii="Arial" w:hAnsi="Arial" w:cs="Arial"/>
          <w:sz w:val="24"/>
          <w:szCs w:val="24"/>
        </w:rPr>
        <w:t>Please confirm whether or not Hydro 2000 had any Class A customers in 2015</w:t>
      </w:r>
      <w:r>
        <w:rPr>
          <w:rFonts w:ascii="Arial" w:hAnsi="Arial" w:cs="Arial"/>
          <w:sz w:val="24"/>
          <w:szCs w:val="24"/>
        </w:rPr>
        <w:t>.</w:t>
      </w:r>
    </w:p>
    <w:p w:rsidR="00557A3D" w:rsidRPr="00557A3D" w:rsidRDefault="00557A3D" w:rsidP="00557A3D">
      <w:pPr>
        <w:rPr>
          <w:rFonts w:ascii="Arial" w:hAnsi="Arial" w:cs="Arial"/>
          <w:b/>
          <w:color w:val="0070C0"/>
          <w:sz w:val="24"/>
          <w:szCs w:val="24"/>
        </w:rPr>
      </w:pPr>
      <w:r w:rsidRPr="00557A3D">
        <w:rPr>
          <w:rFonts w:ascii="Arial" w:hAnsi="Arial" w:cs="Arial"/>
          <w:b/>
          <w:color w:val="0070C0"/>
          <w:sz w:val="24"/>
          <w:szCs w:val="24"/>
        </w:rPr>
        <w:t>Hydro 2000 Response:</w:t>
      </w:r>
      <w:r w:rsidR="007D2CE7">
        <w:rPr>
          <w:rFonts w:ascii="Arial" w:hAnsi="Arial" w:cs="Arial"/>
          <w:b/>
          <w:color w:val="0070C0"/>
          <w:sz w:val="24"/>
          <w:szCs w:val="24"/>
        </w:rPr>
        <w:t xml:space="preserve"> Hydro 2000 did not have any Class A Customers 2015.</w:t>
      </w:r>
    </w:p>
    <w:p w:rsidR="00D52F46" w:rsidRDefault="00D52F46" w:rsidP="00D52F46">
      <w:pPr>
        <w:pStyle w:val="ListParagraph"/>
        <w:rPr>
          <w:rFonts w:ascii="Arial" w:hAnsi="Arial" w:cs="Arial"/>
          <w:sz w:val="24"/>
          <w:szCs w:val="24"/>
        </w:rPr>
      </w:pPr>
    </w:p>
    <w:p w:rsidR="00341806" w:rsidRDefault="00D52F46" w:rsidP="009E1626">
      <w:pPr>
        <w:pStyle w:val="ListParagraph"/>
        <w:numPr>
          <w:ilvl w:val="0"/>
          <w:numId w:val="38"/>
        </w:numPr>
        <w:rPr>
          <w:rFonts w:ascii="Arial" w:hAnsi="Arial" w:cs="Arial"/>
          <w:sz w:val="24"/>
          <w:szCs w:val="24"/>
        </w:rPr>
      </w:pPr>
      <w:r>
        <w:rPr>
          <w:rFonts w:ascii="Arial" w:hAnsi="Arial" w:cs="Arial"/>
          <w:sz w:val="24"/>
          <w:szCs w:val="24"/>
        </w:rPr>
        <w:t>Please confirm whether or not Hydro 2000 had any customers transitioned between Class A and Class B in 2015.</w:t>
      </w:r>
    </w:p>
    <w:p w:rsidR="00D52F46" w:rsidRPr="00D52F46" w:rsidRDefault="00D52F46" w:rsidP="00D52F46">
      <w:pPr>
        <w:pStyle w:val="ListParagraph"/>
        <w:rPr>
          <w:rFonts w:ascii="Arial" w:hAnsi="Arial" w:cs="Arial"/>
          <w:sz w:val="24"/>
          <w:szCs w:val="24"/>
        </w:rPr>
      </w:pPr>
    </w:p>
    <w:p w:rsidR="00557A3D" w:rsidRPr="00557A3D" w:rsidRDefault="00557A3D" w:rsidP="00557A3D">
      <w:pPr>
        <w:rPr>
          <w:rFonts w:ascii="Arial" w:hAnsi="Arial" w:cs="Arial"/>
          <w:b/>
          <w:color w:val="0070C0"/>
          <w:sz w:val="24"/>
          <w:szCs w:val="24"/>
        </w:rPr>
      </w:pPr>
      <w:r w:rsidRPr="00557A3D">
        <w:rPr>
          <w:rFonts w:ascii="Arial" w:hAnsi="Arial" w:cs="Arial"/>
          <w:b/>
          <w:color w:val="0070C0"/>
          <w:sz w:val="24"/>
          <w:szCs w:val="24"/>
        </w:rPr>
        <w:t>Hydro 2000 Response:</w:t>
      </w:r>
      <w:r w:rsidR="007D2CE7">
        <w:rPr>
          <w:rFonts w:ascii="Arial" w:hAnsi="Arial" w:cs="Arial"/>
          <w:b/>
          <w:color w:val="0070C0"/>
          <w:sz w:val="24"/>
          <w:szCs w:val="24"/>
        </w:rPr>
        <w:t xml:space="preserve"> No. Hydro 2000 has never had any Class A Customers</w:t>
      </w:r>
    </w:p>
    <w:p w:rsidR="00D52F46" w:rsidRPr="00D52F46" w:rsidRDefault="00D52F46" w:rsidP="00D52F46">
      <w:pPr>
        <w:pStyle w:val="ListParagraph"/>
        <w:rPr>
          <w:rFonts w:ascii="Arial" w:hAnsi="Arial" w:cs="Arial"/>
          <w:sz w:val="24"/>
          <w:szCs w:val="24"/>
        </w:rPr>
      </w:pPr>
    </w:p>
    <w:p w:rsidR="009E1626" w:rsidRPr="002B321A" w:rsidRDefault="002F18DE" w:rsidP="009E1626">
      <w:pPr>
        <w:rPr>
          <w:rFonts w:ascii="Arial" w:hAnsi="Arial" w:cs="Arial"/>
          <w:b/>
          <w:sz w:val="24"/>
          <w:szCs w:val="24"/>
        </w:rPr>
      </w:pPr>
      <w:r w:rsidRPr="002B321A">
        <w:rPr>
          <w:rFonts w:ascii="Arial" w:hAnsi="Arial" w:cs="Arial"/>
          <w:b/>
          <w:sz w:val="24"/>
          <w:szCs w:val="24"/>
        </w:rPr>
        <w:t xml:space="preserve">Question </w:t>
      </w:r>
      <w:r w:rsidR="00341806">
        <w:rPr>
          <w:rFonts w:ascii="Arial" w:hAnsi="Arial" w:cs="Arial"/>
          <w:b/>
          <w:sz w:val="24"/>
          <w:szCs w:val="24"/>
        </w:rPr>
        <w:t>#4</w:t>
      </w:r>
    </w:p>
    <w:p w:rsidR="00090BEB" w:rsidRDefault="00F77AE7" w:rsidP="005118AE">
      <w:pPr>
        <w:rPr>
          <w:rFonts w:ascii="Arial" w:hAnsi="Arial" w:cs="Arial"/>
          <w:b/>
          <w:sz w:val="24"/>
          <w:szCs w:val="24"/>
        </w:rPr>
      </w:pPr>
      <w:r>
        <w:rPr>
          <w:rFonts w:ascii="Arial" w:hAnsi="Arial" w:cs="Arial"/>
          <w:b/>
          <w:sz w:val="24"/>
          <w:szCs w:val="24"/>
        </w:rPr>
        <w:t xml:space="preserve">Ref: </w:t>
      </w:r>
      <w:r w:rsidR="00090BEB">
        <w:rPr>
          <w:rFonts w:ascii="Arial" w:hAnsi="Arial" w:cs="Arial"/>
          <w:b/>
          <w:sz w:val="24"/>
          <w:szCs w:val="24"/>
        </w:rPr>
        <w:t xml:space="preserve">IRM Model </w:t>
      </w:r>
      <w:r w:rsidR="00EB047D">
        <w:rPr>
          <w:rFonts w:ascii="Arial" w:hAnsi="Arial" w:cs="Arial"/>
          <w:b/>
          <w:sz w:val="24"/>
          <w:szCs w:val="24"/>
        </w:rPr>
        <w:t xml:space="preserve">– </w:t>
      </w:r>
      <w:r w:rsidR="00D52F46">
        <w:rPr>
          <w:rFonts w:ascii="Arial" w:hAnsi="Arial" w:cs="Arial"/>
          <w:b/>
          <w:sz w:val="24"/>
          <w:szCs w:val="24"/>
        </w:rPr>
        <w:t>tab 3 Continuity Schedule</w:t>
      </w:r>
      <w:r w:rsidR="00090BEB">
        <w:rPr>
          <w:rFonts w:ascii="Arial" w:hAnsi="Arial" w:cs="Arial"/>
          <w:b/>
          <w:sz w:val="24"/>
          <w:szCs w:val="24"/>
        </w:rPr>
        <w:t xml:space="preserve">: </w:t>
      </w:r>
      <w:r w:rsidR="00D52F46">
        <w:rPr>
          <w:rFonts w:ascii="Arial" w:hAnsi="Arial" w:cs="Arial"/>
          <w:b/>
          <w:sz w:val="24"/>
          <w:szCs w:val="24"/>
        </w:rPr>
        <w:t>Account 1580 sub-account CBR Class B</w:t>
      </w:r>
    </w:p>
    <w:p w:rsidR="00BC1A68" w:rsidRDefault="00D52F46" w:rsidP="005118AE">
      <w:pPr>
        <w:rPr>
          <w:rFonts w:ascii="Arial" w:hAnsi="Arial" w:cs="Arial"/>
          <w:sz w:val="24"/>
          <w:szCs w:val="24"/>
        </w:rPr>
      </w:pPr>
      <w:r>
        <w:rPr>
          <w:rFonts w:ascii="Arial" w:hAnsi="Arial" w:cs="Arial"/>
          <w:sz w:val="24"/>
          <w:szCs w:val="24"/>
        </w:rPr>
        <w:t xml:space="preserve">It’s noted that on tab 3 of the IRM model, there’s a variance of ($22,189) in sub-account CBR Class B between 2015 year-end balance on the continuity schedule and RRR. </w:t>
      </w:r>
    </w:p>
    <w:p w:rsidR="00A63999" w:rsidRDefault="00A63999" w:rsidP="00A63999">
      <w:pPr>
        <w:pStyle w:val="ListParagraph"/>
        <w:numPr>
          <w:ilvl w:val="0"/>
          <w:numId w:val="35"/>
        </w:numPr>
        <w:rPr>
          <w:rFonts w:ascii="Arial" w:hAnsi="Arial" w:cs="Arial"/>
          <w:sz w:val="24"/>
          <w:szCs w:val="24"/>
        </w:rPr>
      </w:pPr>
      <w:r>
        <w:rPr>
          <w:rFonts w:ascii="Arial" w:hAnsi="Arial" w:cs="Arial"/>
          <w:sz w:val="24"/>
          <w:szCs w:val="24"/>
        </w:rPr>
        <w:t xml:space="preserve">Please </w:t>
      </w:r>
      <w:r w:rsidR="00D52F46">
        <w:rPr>
          <w:rFonts w:ascii="Arial" w:hAnsi="Arial" w:cs="Arial"/>
          <w:sz w:val="24"/>
          <w:szCs w:val="24"/>
        </w:rPr>
        <w:t>confirm whether or not Hydro 2000 had a balance in sub-account CBR Class B in 2015.</w:t>
      </w:r>
    </w:p>
    <w:p w:rsidR="00557A3D" w:rsidRPr="00557A3D" w:rsidRDefault="007D2CE7" w:rsidP="00557A3D">
      <w:pPr>
        <w:rPr>
          <w:rFonts w:ascii="Arial" w:hAnsi="Arial" w:cs="Arial"/>
          <w:b/>
          <w:color w:val="0070C0"/>
          <w:sz w:val="24"/>
          <w:szCs w:val="24"/>
        </w:rPr>
      </w:pPr>
      <w:r>
        <w:rPr>
          <w:rFonts w:ascii="Arial" w:hAnsi="Arial" w:cs="Arial"/>
          <w:b/>
          <w:color w:val="0070C0"/>
          <w:sz w:val="24"/>
          <w:szCs w:val="24"/>
        </w:rPr>
        <w:t xml:space="preserve">Hydro 2000 Response: Hydro 2000 is a fully embedded utility and as such is invoiced for Power by Hydro One. Hydro 2000 confirms that in </w:t>
      </w:r>
      <w:r w:rsidRPr="007D2CE7">
        <w:rPr>
          <w:rFonts w:ascii="Arial" w:hAnsi="Arial" w:cs="Arial"/>
          <w:b/>
          <w:color w:val="0070C0"/>
          <w:sz w:val="24"/>
          <w:szCs w:val="24"/>
        </w:rPr>
        <w:t xml:space="preserve">2015, </w:t>
      </w:r>
      <w:r>
        <w:rPr>
          <w:rFonts w:ascii="Arial" w:hAnsi="Arial" w:cs="Arial"/>
          <w:b/>
          <w:color w:val="0070C0"/>
          <w:sz w:val="24"/>
          <w:szCs w:val="24"/>
        </w:rPr>
        <w:t xml:space="preserve"> </w:t>
      </w:r>
      <w:r w:rsidR="00470301">
        <w:rPr>
          <w:rFonts w:ascii="Arial" w:hAnsi="Arial" w:cs="Arial"/>
          <w:b/>
          <w:color w:val="0070C0"/>
          <w:sz w:val="24"/>
          <w:szCs w:val="24"/>
        </w:rPr>
        <w:t>t</w:t>
      </w:r>
      <w:r w:rsidR="00470301" w:rsidRPr="007D2CE7">
        <w:rPr>
          <w:rFonts w:ascii="Arial" w:hAnsi="Arial" w:cs="Arial"/>
          <w:b/>
          <w:color w:val="0070C0"/>
          <w:sz w:val="24"/>
          <w:szCs w:val="24"/>
        </w:rPr>
        <w:t>here was no CBR component built into WMSR in 2015</w:t>
      </w:r>
      <w:r w:rsidR="00470301">
        <w:rPr>
          <w:rFonts w:ascii="Arial" w:hAnsi="Arial" w:cs="Arial"/>
          <w:b/>
          <w:color w:val="0070C0"/>
          <w:sz w:val="24"/>
          <w:szCs w:val="24"/>
        </w:rPr>
        <w:t xml:space="preserve">. </w:t>
      </w:r>
      <w:r>
        <w:rPr>
          <w:rFonts w:ascii="Arial" w:hAnsi="Arial" w:cs="Arial"/>
          <w:b/>
          <w:color w:val="0070C0"/>
          <w:sz w:val="24"/>
          <w:szCs w:val="24"/>
        </w:rPr>
        <w:t>Hydro 2000</w:t>
      </w:r>
      <w:r w:rsidRPr="007D2CE7">
        <w:rPr>
          <w:rFonts w:ascii="Arial" w:hAnsi="Arial" w:cs="Arial"/>
          <w:b/>
          <w:color w:val="0070C0"/>
          <w:sz w:val="24"/>
          <w:szCs w:val="24"/>
        </w:rPr>
        <w:t xml:space="preserve"> </w:t>
      </w:r>
      <w:r>
        <w:rPr>
          <w:rFonts w:ascii="Arial" w:hAnsi="Arial" w:cs="Arial"/>
          <w:b/>
          <w:color w:val="0070C0"/>
          <w:sz w:val="24"/>
          <w:szCs w:val="24"/>
        </w:rPr>
        <w:t xml:space="preserve">was </w:t>
      </w:r>
      <w:r w:rsidRPr="007D2CE7">
        <w:rPr>
          <w:rFonts w:ascii="Arial" w:hAnsi="Arial" w:cs="Arial"/>
          <w:b/>
          <w:color w:val="0070C0"/>
          <w:sz w:val="24"/>
          <w:szCs w:val="24"/>
        </w:rPr>
        <w:t xml:space="preserve">only being charged WMS rate of $0.0044/ kWh. Therefore, for 2015, </w:t>
      </w:r>
      <w:r w:rsidR="00470301">
        <w:rPr>
          <w:rFonts w:ascii="Arial" w:hAnsi="Arial" w:cs="Arial"/>
          <w:b/>
          <w:color w:val="0070C0"/>
          <w:sz w:val="24"/>
          <w:szCs w:val="24"/>
        </w:rPr>
        <w:t xml:space="preserve">no </w:t>
      </w:r>
      <w:r w:rsidRPr="007D2CE7">
        <w:rPr>
          <w:rFonts w:ascii="Arial" w:hAnsi="Arial" w:cs="Arial"/>
          <w:b/>
          <w:color w:val="0070C0"/>
          <w:sz w:val="24"/>
          <w:szCs w:val="24"/>
        </w:rPr>
        <w:t xml:space="preserve">amounts </w:t>
      </w:r>
      <w:r w:rsidR="00470301">
        <w:rPr>
          <w:rFonts w:ascii="Arial" w:hAnsi="Arial" w:cs="Arial"/>
          <w:b/>
          <w:color w:val="0070C0"/>
          <w:sz w:val="24"/>
          <w:szCs w:val="24"/>
        </w:rPr>
        <w:t xml:space="preserve">was recorded </w:t>
      </w:r>
      <w:r w:rsidRPr="007D2CE7">
        <w:rPr>
          <w:rFonts w:ascii="Arial" w:hAnsi="Arial" w:cs="Arial"/>
          <w:b/>
          <w:color w:val="0070C0"/>
          <w:sz w:val="24"/>
          <w:szCs w:val="24"/>
        </w:rPr>
        <w:t>in the CBR sub-accounts.</w:t>
      </w:r>
    </w:p>
    <w:p w:rsidR="00E17E1A" w:rsidRDefault="00E17E1A" w:rsidP="00E17E1A">
      <w:pPr>
        <w:pStyle w:val="ListParagraph"/>
        <w:ind w:left="780"/>
        <w:rPr>
          <w:rFonts w:ascii="Arial" w:hAnsi="Arial" w:cs="Arial"/>
          <w:sz w:val="24"/>
          <w:szCs w:val="24"/>
        </w:rPr>
      </w:pPr>
    </w:p>
    <w:p w:rsidR="00E17E1A" w:rsidRDefault="000027F6" w:rsidP="00E17E1A">
      <w:pPr>
        <w:pStyle w:val="ListParagraph"/>
        <w:numPr>
          <w:ilvl w:val="0"/>
          <w:numId w:val="35"/>
        </w:numPr>
        <w:rPr>
          <w:rFonts w:ascii="Arial" w:hAnsi="Arial" w:cs="Arial"/>
          <w:sz w:val="24"/>
          <w:szCs w:val="24"/>
        </w:rPr>
      </w:pPr>
      <w:r>
        <w:rPr>
          <w:rFonts w:ascii="Arial" w:hAnsi="Arial" w:cs="Arial"/>
          <w:sz w:val="24"/>
          <w:szCs w:val="24"/>
        </w:rPr>
        <w:t>If the answer to a) is yes, please enter the balances in row 25 for CBR Class B, and make sure the balances in the control Account 1580</w:t>
      </w:r>
      <w:r w:rsidR="00E17E1A">
        <w:rPr>
          <w:rFonts w:ascii="Arial" w:hAnsi="Arial" w:cs="Arial"/>
          <w:sz w:val="24"/>
          <w:szCs w:val="24"/>
        </w:rPr>
        <w:t xml:space="preserve"> exclude any balances in sub-account CBR Class B.</w:t>
      </w:r>
    </w:p>
    <w:p w:rsidR="00557A3D" w:rsidRPr="00557A3D" w:rsidRDefault="00557A3D" w:rsidP="00557A3D">
      <w:pPr>
        <w:rPr>
          <w:rFonts w:ascii="Arial" w:hAnsi="Arial" w:cs="Arial"/>
          <w:b/>
          <w:color w:val="0070C0"/>
          <w:sz w:val="24"/>
          <w:szCs w:val="24"/>
        </w:rPr>
      </w:pPr>
      <w:r w:rsidRPr="00557A3D">
        <w:rPr>
          <w:rFonts w:ascii="Arial" w:hAnsi="Arial" w:cs="Arial"/>
          <w:b/>
          <w:color w:val="0070C0"/>
          <w:sz w:val="24"/>
          <w:szCs w:val="24"/>
        </w:rPr>
        <w:t>Hydro 2000 Response:</w:t>
      </w:r>
      <w:r w:rsidR="00470301">
        <w:rPr>
          <w:rFonts w:ascii="Arial" w:hAnsi="Arial" w:cs="Arial"/>
          <w:b/>
          <w:color w:val="0070C0"/>
          <w:sz w:val="24"/>
          <w:szCs w:val="24"/>
        </w:rPr>
        <w:t xml:space="preserve"> N/A</w:t>
      </w:r>
    </w:p>
    <w:p w:rsidR="00E17E1A" w:rsidRPr="00E17E1A" w:rsidRDefault="00E17E1A" w:rsidP="00E17E1A">
      <w:pPr>
        <w:pStyle w:val="ListParagraph"/>
        <w:rPr>
          <w:rFonts w:ascii="Arial" w:hAnsi="Arial" w:cs="Arial"/>
          <w:sz w:val="24"/>
          <w:szCs w:val="24"/>
        </w:rPr>
      </w:pPr>
    </w:p>
    <w:p w:rsidR="00E17E1A" w:rsidRPr="00A63999" w:rsidRDefault="00E17E1A" w:rsidP="00E17E1A">
      <w:pPr>
        <w:pStyle w:val="ListParagraph"/>
        <w:numPr>
          <w:ilvl w:val="0"/>
          <w:numId w:val="35"/>
        </w:numPr>
        <w:rPr>
          <w:rFonts w:ascii="Arial" w:hAnsi="Arial" w:cs="Arial"/>
          <w:sz w:val="24"/>
          <w:szCs w:val="24"/>
        </w:rPr>
      </w:pPr>
      <w:r>
        <w:rPr>
          <w:rFonts w:ascii="Arial" w:hAnsi="Arial" w:cs="Arial"/>
          <w:sz w:val="24"/>
          <w:szCs w:val="24"/>
        </w:rPr>
        <w:t>If the answer to a) is no, please explain why.</w:t>
      </w:r>
    </w:p>
    <w:p w:rsidR="00557A3D" w:rsidRPr="00557A3D" w:rsidRDefault="00557A3D" w:rsidP="00557A3D">
      <w:pPr>
        <w:rPr>
          <w:rFonts w:ascii="Arial" w:hAnsi="Arial" w:cs="Arial"/>
          <w:b/>
          <w:color w:val="0070C0"/>
          <w:sz w:val="24"/>
          <w:szCs w:val="24"/>
        </w:rPr>
      </w:pPr>
      <w:r w:rsidRPr="00557A3D">
        <w:rPr>
          <w:rFonts w:ascii="Arial" w:hAnsi="Arial" w:cs="Arial"/>
          <w:b/>
          <w:color w:val="0070C0"/>
          <w:sz w:val="24"/>
          <w:szCs w:val="24"/>
        </w:rPr>
        <w:t>Hydro 2000 Response:</w:t>
      </w:r>
      <w:r w:rsidR="00470301">
        <w:rPr>
          <w:rFonts w:ascii="Arial" w:hAnsi="Arial" w:cs="Arial"/>
          <w:b/>
          <w:color w:val="0070C0"/>
          <w:sz w:val="24"/>
          <w:szCs w:val="24"/>
        </w:rPr>
        <w:t xml:space="preserve"> See response to a). </w:t>
      </w:r>
    </w:p>
    <w:p w:rsidR="00BC1A68" w:rsidRDefault="00BC1A68" w:rsidP="00D21A42">
      <w:pPr>
        <w:pStyle w:val="ListParagraph"/>
        <w:rPr>
          <w:rFonts w:ascii="Arial" w:hAnsi="Arial" w:cs="Arial"/>
          <w:sz w:val="24"/>
          <w:szCs w:val="24"/>
        </w:rPr>
      </w:pPr>
    </w:p>
    <w:p w:rsidR="00F026E1" w:rsidRPr="002B321A" w:rsidRDefault="00F026E1" w:rsidP="00F026E1">
      <w:pPr>
        <w:rPr>
          <w:rFonts w:ascii="Arial" w:hAnsi="Arial" w:cs="Arial"/>
          <w:b/>
          <w:sz w:val="24"/>
          <w:szCs w:val="24"/>
        </w:rPr>
      </w:pPr>
      <w:r w:rsidRPr="002B321A">
        <w:rPr>
          <w:rFonts w:ascii="Arial" w:hAnsi="Arial" w:cs="Arial"/>
          <w:b/>
          <w:sz w:val="24"/>
          <w:szCs w:val="24"/>
        </w:rPr>
        <w:t xml:space="preserve">Question </w:t>
      </w:r>
      <w:r>
        <w:rPr>
          <w:rFonts w:ascii="Arial" w:hAnsi="Arial" w:cs="Arial"/>
          <w:b/>
          <w:sz w:val="24"/>
          <w:szCs w:val="24"/>
        </w:rPr>
        <w:t>#5</w:t>
      </w:r>
    </w:p>
    <w:p w:rsidR="00B076A5" w:rsidRDefault="00F026E1" w:rsidP="00F026E1">
      <w:pPr>
        <w:rPr>
          <w:rFonts w:ascii="Arial" w:hAnsi="Arial" w:cs="Arial"/>
          <w:b/>
          <w:sz w:val="24"/>
          <w:szCs w:val="24"/>
        </w:rPr>
      </w:pPr>
      <w:r>
        <w:rPr>
          <w:rFonts w:ascii="Arial" w:hAnsi="Arial" w:cs="Arial"/>
          <w:b/>
          <w:sz w:val="24"/>
          <w:szCs w:val="24"/>
        </w:rPr>
        <w:t>Ref: IRM Model – tab 3, tab 6: GA Balances</w:t>
      </w:r>
    </w:p>
    <w:p w:rsidR="00F026E1" w:rsidRDefault="00F026E1" w:rsidP="00F026E1">
      <w:pPr>
        <w:rPr>
          <w:rFonts w:ascii="Arial" w:hAnsi="Arial" w:cs="Arial"/>
          <w:sz w:val="24"/>
          <w:szCs w:val="24"/>
        </w:rPr>
      </w:pPr>
      <w:r>
        <w:rPr>
          <w:rFonts w:ascii="Arial" w:hAnsi="Arial" w:cs="Arial"/>
          <w:sz w:val="24"/>
          <w:szCs w:val="24"/>
        </w:rPr>
        <w:t>OEB staff notes that Hydro 2000 has a total GA claim of $110,007 resulting in a rate rider of $0.0258/kWh. For a typical Non-RPP customer at 750kWh consumption level, the GA charge will be $19.35 per month. It’s also noted that Hydro 2000 had large balances in GA transactions in 2013, 2014 and 2015.</w:t>
      </w:r>
    </w:p>
    <w:p w:rsidR="00F026E1" w:rsidRPr="00F026E1" w:rsidRDefault="00F026E1" w:rsidP="00F026E1">
      <w:pPr>
        <w:pStyle w:val="ListParagraph"/>
        <w:numPr>
          <w:ilvl w:val="0"/>
          <w:numId w:val="39"/>
        </w:numPr>
        <w:rPr>
          <w:rFonts w:ascii="Arial" w:hAnsi="Arial" w:cs="Arial"/>
          <w:sz w:val="24"/>
          <w:szCs w:val="24"/>
        </w:rPr>
      </w:pPr>
      <w:r w:rsidRPr="00F026E1">
        <w:rPr>
          <w:rFonts w:ascii="Arial" w:hAnsi="Arial" w:cs="Arial"/>
          <w:sz w:val="24"/>
          <w:szCs w:val="24"/>
        </w:rPr>
        <w:t>Please expla</w:t>
      </w:r>
      <w:r>
        <w:rPr>
          <w:rFonts w:ascii="Arial" w:hAnsi="Arial" w:cs="Arial"/>
          <w:sz w:val="24"/>
          <w:szCs w:val="24"/>
        </w:rPr>
        <w:t>in the reasoning for the large GA transactions in previous years</w:t>
      </w:r>
      <w:r w:rsidRPr="00F026E1">
        <w:rPr>
          <w:rFonts w:ascii="Arial" w:hAnsi="Arial" w:cs="Arial"/>
          <w:sz w:val="24"/>
          <w:szCs w:val="24"/>
        </w:rPr>
        <w:t xml:space="preserve"> and large total GA claim in the 2017 application. </w:t>
      </w:r>
    </w:p>
    <w:p w:rsidR="00557A3D" w:rsidRPr="00557A3D" w:rsidRDefault="00557A3D" w:rsidP="00557A3D">
      <w:pPr>
        <w:rPr>
          <w:rFonts w:ascii="Arial" w:hAnsi="Arial" w:cs="Arial"/>
          <w:b/>
          <w:color w:val="0070C0"/>
          <w:sz w:val="24"/>
          <w:szCs w:val="24"/>
        </w:rPr>
      </w:pPr>
      <w:r w:rsidRPr="00557A3D">
        <w:rPr>
          <w:rFonts w:ascii="Arial" w:hAnsi="Arial" w:cs="Arial"/>
          <w:b/>
          <w:color w:val="0070C0"/>
          <w:sz w:val="24"/>
          <w:szCs w:val="24"/>
        </w:rPr>
        <w:t>Hydro 2000 Response:</w:t>
      </w:r>
      <w:r w:rsidR="00684261">
        <w:rPr>
          <w:rFonts w:ascii="Arial" w:hAnsi="Arial" w:cs="Arial"/>
          <w:b/>
          <w:color w:val="0070C0"/>
          <w:sz w:val="24"/>
          <w:szCs w:val="24"/>
        </w:rPr>
        <w:t xml:space="preserve"> Hydro 2000 is still investigating the reasons for the unusually large variances in historical years but the utility’</w:t>
      </w:r>
      <w:r w:rsidR="008B6F6C">
        <w:rPr>
          <w:rFonts w:ascii="Arial" w:hAnsi="Arial" w:cs="Arial"/>
          <w:b/>
          <w:color w:val="0070C0"/>
          <w:sz w:val="24"/>
          <w:szCs w:val="24"/>
        </w:rPr>
        <w:t xml:space="preserve">s preliminary investigation shows that there would have been an error in the reconciliation back in 2014 but that the error has since then been rectified. The utility does not expect any issues going forward but as mentioned, the findings are still preliminary and the utility is still working with its auditors to find the exact explanation. </w:t>
      </w:r>
      <w:bookmarkStart w:id="0" w:name="_GoBack"/>
      <w:bookmarkEnd w:id="0"/>
      <w:r w:rsidR="00684261">
        <w:rPr>
          <w:rFonts w:ascii="Arial" w:hAnsi="Arial" w:cs="Arial"/>
          <w:b/>
          <w:color w:val="0070C0"/>
          <w:sz w:val="24"/>
          <w:szCs w:val="24"/>
        </w:rPr>
        <w:t xml:space="preserve"> </w:t>
      </w:r>
    </w:p>
    <w:p w:rsidR="000E0EBF" w:rsidRDefault="000E0EBF" w:rsidP="000E0EBF">
      <w:pPr>
        <w:rPr>
          <w:rFonts w:ascii="Arial" w:hAnsi="Arial" w:cs="Arial"/>
          <w:sz w:val="24"/>
          <w:szCs w:val="24"/>
        </w:rPr>
      </w:pPr>
    </w:p>
    <w:p w:rsidR="000E0EBF" w:rsidRDefault="000E0EBF" w:rsidP="000E0EBF">
      <w:pPr>
        <w:rPr>
          <w:rFonts w:ascii="Arial" w:hAnsi="Arial" w:cs="Arial"/>
          <w:b/>
          <w:sz w:val="24"/>
          <w:szCs w:val="24"/>
        </w:rPr>
      </w:pPr>
    </w:p>
    <w:p w:rsidR="000E0EBF" w:rsidRPr="002B321A" w:rsidRDefault="000E0EBF" w:rsidP="000E0EBF">
      <w:pPr>
        <w:rPr>
          <w:rFonts w:ascii="Arial" w:hAnsi="Arial" w:cs="Arial"/>
          <w:b/>
          <w:sz w:val="24"/>
          <w:szCs w:val="24"/>
        </w:rPr>
      </w:pPr>
      <w:r w:rsidRPr="002B321A">
        <w:rPr>
          <w:rFonts w:ascii="Arial" w:hAnsi="Arial" w:cs="Arial"/>
          <w:b/>
          <w:sz w:val="24"/>
          <w:szCs w:val="24"/>
        </w:rPr>
        <w:t xml:space="preserve">Question </w:t>
      </w:r>
      <w:r>
        <w:rPr>
          <w:rFonts w:ascii="Arial" w:hAnsi="Arial" w:cs="Arial"/>
          <w:b/>
          <w:sz w:val="24"/>
          <w:szCs w:val="24"/>
        </w:rPr>
        <w:t>#6</w:t>
      </w:r>
    </w:p>
    <w:p w:rsidR="000E0EBF" w:rsidRDefault="000E0EBF" w:rsidP="000E0EBF">
      <w:pPr>
        <w:rPr>
          <w:rFonts w:ascii="Arial" w:hAnsi="Arial" w:cs="Arial"/>
          <w:b/>
          <w:sz w:val="24"/>
          <w:szCs w:val="24"/>
        </w:rPr>
      </w:pPr>
      <w:r>
        <w:rPr>
          <w:rFonts w:ascii="Arial" w:hAnsi="Arial" w:cs="Arial"/>
          <w:b/>
          <w:sz w:val="24"/>
          <w:szCs w:val="24"/>
        </w:rPr>
        <w:t>Ref: IRM Model – tab 20: Billing Determinant for Unmetered Classes</w:t>
      </w:r>
    </w:p>
    <w:p w:rsidR="000E0EBF" w:rsidRPr="000E0EBF" w:rsidRDefault="000E0EBF" w:rsidP="000E0EBF">
      <w:pPr>
        <w:rPr>
          <w:rFonts w:ascii="Arial" w:hAnsi="Arial" w:cs="Arial"/>
          <w:sz w:val="24"/>
          <w:szCs w:val="24"/>
        </w:rPr>
      </w:pPr>
      <w:r w:rsidRPr="000E0EBF">
        <w:rPr>
          <w:rFonts w:ascii="Arial" w:hAnsi="Arial" w:cs="Arial"/>
          <w:sz w:val="24"/>
          <w:szCs w:val="24"/>
        </w:rPr>
        <w:t>In table 1 on tab 20, distributors need to enter the billing determinants for the unmetered classes (U</w:t>
      </w:r>
      <w:r>
        <w:rPr>
          <w:rFonts w:ascii="Arial" w:hAnsi="Arial" w:cs="Arial"/>
          <w:sz w:val="24"/>
          <w:szCs w:val="24"/>
        </w:rPr>
        <w:t>SL and Street Lighting</w:t>
      </w:r>
      <w:r w:rsidRPr="000E0EBF">
        <w:rPr>
          <w:rFonts w:ascii="Arial" w:hAnsi="Arial" w:cs="Arial"/>
          <w:sz w:val="24"/>
          <w:szCs w:val="24"/>
        </w:rPr>
        <w:t xml:space="preserve">) in column </w:t>
      </w:r>
      <w:r>
        <w:rPr>
          <w:rFonts w:ascii="Arial" w:hAnsi="Arial" w:cs="Arial"/>
          <w:sz w:val="24"/>
          <w:szCs w:val="24"/>
        </w:rPr>
        <w:t>N. These values are missing in Hydro 2000</w:t>
      </w:r>
      <w:r w:rsidRPr="000E0EBF">
        <w:rPr>
          <w:rFonts w:ascii="Arial" w:hAnsi="Arial" w:cs="Arial"/>
          <w:sz w:val="24"/>
          <w:szCs w:val="24"/>
        </w:rPr>
        <w:t xml:space="preserve">’s IRM model for </w:t>
      </w:r>
      <w:r>
        <w:rPr>
          <w:rFonts w:ascii="Arial" w:hAnsi="Arial" w:cs="Arial"/>
          <w:sz w:val="24"/>
          <w:szCs w:val="24"/>
        </w:rPr>
        <w:t>the</w:t>
      </w:r>
      <w:r w:rsidRPr="000E0EBF">
        <w:rPr>
          <w:rFonts w:ascii="Arial" w:hAnsi="Arial" w:cs="Arial"/>
          <w:sz w:val="24"/>
          <w:szCs w:val="24"/>
        </w:rPr>
        <w:t xml:space="preserve"> Street Lighting </w:t>
      </w:r>
      <w:r>
        <w:rPr>
          <w:rFonts w:ascii="Arial" w:hAnsi="Arial" w:cs="Arial"/>
          <w:sz w:val="24"/>
          <w:szCs w:val="24"/>
        </w:rPr>
        <w:t xml:space="preserve">and USL </w:t>
      </w:r>
      <w:r w:rsidRPr="000E0EBF">
        <w:rPr>
          <w:rFonts w:ascii="Arial" w:hAnsi="Arial" w:cs="Arial"/>
          <w:sz w:val="24"/>
          <w:szCs w:val="24"/>
        </w:rPr>
        <w:t>classes (N33 and N34).</w:t>
      </w:r>
    </w:p>
    <w:p w:rsidR="000E0EBF" w:rsidRPr="000E0EBF" w:rsidRDefault="000E0EBF" w:rsidP="000E0EBF">
      <w:pPr>
        <w:numPr>
          <w:ilvl w:val="0"/>
          <w:numId w:val="32"/>
        </w:numPr>
        <w:contextualSpacing/>
        <w:rPr>
          <w:rFonts w:ascii="Arial" w:hAnsi="Arial" w:cs="Arial"/>
          <w:sz w:val="24"/>
          <w:szCs w:val="24"/>
        </w:rPr>
      </w:pPr>
      <w:r w:rsidRPr="000E0EBF">
        <w:rPr>
          <w:rFonts w:ascii="Arial" w:hAnsi="Arial" w:cs="Arial"/>
          <w:sz w:val="24"/>
          <w:szCs w:val="24"/>
        </w:rPr>
        <w:t xml:space="preserve">Please provide the </w:t>
      </w:r>
      <w:r>
        <w:rPr>
          <w:rFonts w:ascii="Arial" w:hAnsi="Arial" w:cs="Arial"/>
          <w:sz w:val="24"/>
          <w:szCs w:val="24"/>
        </w:rPr>
        <w:t>numbers of connections of a typical customer in each of these two classes</w:t>
      </w:r>
      <w:r w:rsidRPr="000E0EBF">
        <w:rPr>
          <w:rFonts w:ascii="Arial" w:hAnsi="Arial" w:cs="Arial"/>
          <w:sz w:val="24"/>
          <w:szCs w:val="24"/>
        </w:rPr>
        <w:t xml:space="preserve">. OEB staff will update </w:t>
      </w:r>
      <w:r>
        <w:rPr>
          <w:rFonts w:ascii="Arial" w:hAnsi="Arial" w:cs="Arial"/>
          <w:sz w:val="24"/>
          <w:szCs w:val="24"/>
        </w:rPr>
        <w:t xml:space="preserve">and save </w:t>
      </w:r>
      <w:r w:rsidRPr="000E0EBF">
        <w:rPr>
          <w:rFonts w:ascii="Arial" w:hAnsi="Arial" w:cs="Arial"/>
          <w:sz w:val="24"/>
          <w:szCs w:val="24"/>
        </w:rPr>
        <w:t>the model.</w:t>
      </w:r>
    </w:p>
    <w:p w:rsidR="00272776" w:rsidRPr="000E0EBF" w:rsidRDefault="000E0EBF" w:rsidP="000E0EBF">
      <w:pPr>
        <w:pStyle w:val="ListParagraph"/>
        <w:rPr>
          <w:rFonts w:ascii="Arial" w:hAnsi="Arial" w:cs="Arial"/>
          <w:b/>
          <w:sz w:val="24"/>
          <w:szCs w:val="24"/>
        </w:rPr>
      </w:pPr>
      <w:r>
        <w:rPr>
          <w:noProof/>
          <w:lang w:eastAsia="en-CA"/>
        </w:rPr>
        <w:lastRenderedPageBreak/>
        <w:drawing>
          <wp:inline distT="0" distB="0" distL="0" distR="0" wp14:anchorId="446F59F1" wp14:editId="17BA099D">
            <wp:extent cx="2742857" cy="292381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42857" cy="2923810"/>
                    </a:xfrm>
                    <a:prstGeom prst="rect">
                      <a:avLst/>
                    </a:prstGeom>
                  </pic:spPr>
                </pic:pic>
              </a:graphicData>
            </a:graphic>
          </wp:inline>
        </w:drawing>
      </w:r>
    </w:p>
    <w:p w:rsidR="00557A3D" w:rsidRPr="00557A3D" w:rsidRDefault="00557A3D" w:rsidP="00557A3D">
      <w:pPr>
        <w:rPr>
          <w:rFonts w:ascii="Arial" w:hAnsi="Arial" w:cs="Arial"/>
          <w:b/>
          <w:color w:val="0070C0"/>
          <w:sz w:val="24"/>
          <w:szCs w:val="24"/>
        </w:rPr>
      </w:pPr>
      <w:r w:rsidRPr="00557A3D">
        <w:rPr>
          <w:rFonts w:ascii="Arial" w:hAnsi="Arial" w:cs="Arial"/>
          <w:b/>
          <w:color w:val="0070C0"/>
          <w:sz w:val="24"/>
          <w:szCs w:val="24"/>
        </w:rPr>
        <w:t>Hydro 2000 Response:</w:t>
      </w:r>
    </w:p>
    <w:p w:rsidR="00272776" w:rsidRDefault="00272776" w:rsidP="00272776">
      <w:pPr>
        <w:rPr>
          <w:rFonts w:ascii="Arial" w:hAnsi="Arial" w:cs="Arial"/>
          <w:sz w:val="24"/>
          <w:szCs w:val="24"/>
        </w:rPr>
      </w:pPr>
    </w:p>
    <w:p w:rsidR="00272776" w:rsidRPr="00304228" w:rsidRDefault="00272776" w:rsidP="00272776">
      <w:pPr>
        <w:rPr>
          <w:rFonts w:ascii="Arial" w:hAnsi="Arial" w:cs="Arial"/>
          <w:b/>
          <w:sz w:val="24"/>
          <w:szCs w:val="24"/>
          <w:u w:val="single"/>
        </w:rPr>
      </w:pPr>
      <w:r w:rsidRPr="00304228">
        <w:rPr>
          <w:rFonts w:ascii="Arial" w:hAnsi="Arial" w:cs="Arial"/>
          <w:b/>
          <w:sz w:val="24"/>
          <w:szCs w:val="24"/>
          <w:u w:val="single"/>
        </w:rPr>
        <w:t>Updates to IRM Model made by OEB staff</w:t>
      </w:r>
    </w:p>
    <w:p w:rsidR="00272776" w:rsidRDefault="00272776" w:rsidP="00272776">
      <w:pPr>
        <w:pStyle w:val="ListParagraph"/>
        <w:numPr>
          <w:ilvl w:val="0"/>
          <w:numId w:val="6"/>
        </w:numPr>
        <w:rPr>
          <w:rFonts w:ascii="Arial" w:hAnsi="Arial" w:cs="Arial"/>
          <w:b/>
          <w:sz w:val="24"/>
          <w:szCs w:val="24"/>
        </w:rPr>
      </w:pPr>
      <w:r>
        <w:rPr>
          <w:rFonts w:ascii="Arial" w:hAnsi="Arial" w:cs="Arial"/>
          <w:b/>
          <w:sz w:val="24"/>
          <w:szCs w:val="24"/>
        </w:rPr>
        <w:t>Tab 16: GDP-IPI</w:t>
      </w:r>
    </w:p>
    <w:p w:rsidR="00272776" w:rsidRDefault="00272776" w:rsidP="00272776">
      <w:pPr>
        <w:pStyle w:val="ListParagraph"/>
        <w:rPr>
          <w:rFonts w:ascii="Arial" w:hAnsi="Arial" w:cs="Arial"/>
          <w:sz w:val="24"/>
          <w:szCs w:val="24"/>
        </w:rPr>
      </w:pPr>
      <w:r w:rsidRPr="00931288">
        <w:rPr>
          <w:rFonts w:ascii="Arial" w:hAnsi="Arial" w:cs="Arial"/>
          <w:sz w:val="24"/>
          <w:szCs w:val="24"/>
        </w:rPr>
        <w:t xml:space="preserve">Consistent with the policy determinations set out in the Report of the </w:t>
      </w:r>
      <w:r>
        <w:rPr>
          <w:rFonts w:ascii="Arial" w:hAnsi="Arial" w:cs="Arial"/>
          <w:sz w:val="24"/>
          <w:szCs w:val="24"/>
        </w:rPr>
        <w:t>OEB</w:t>
      </w:r>
      <w:r w:rsidRPr="00931288">
        <w:rPr>
          <w:rFonts w:ascii="Arial" w:hAnsi="Arial" w:cs="Arial"/>
          <w:sz w:val="24"/>
          <w:szCs w:val="24"/>
        </w:rPr>
        <w:t xml:space="preserve"> on Rate Setting Parameters and Benchmarking under the Renewed Regulatory Framework for Ontario's Electricity Distributors (EB-2010-0379) (Issued November 21, 2013 and updated December 4, 2013), the OEB has calculated the value of the inflation factor for incentive rate setting under the Price Cap IR and Annual Index plans, for rate changes effective in 2017, to be 1.9%. </w:t>
      </w:r>
      <w:r>
        <w:rPr>
          <w:rFonts w:ascii="Arial" w:hAnsi="Arial" w:cs="Arial"/>
          <w:sz w:val="24"/>
          <w:szCs w:val="24"/>
        </w:rPr>
        <w:t>OEB staff has updated</w:t>
      </w:r>
      <w:r w:rsidRPr="00931288">
        <w:rPr>
          <w:rFonts w:ascii="Arial" w:hAnsi="Arial" w:cs="Arial"/>
          <w:sz w:val="24"/>
          <w:szCs w:val="24"/>
        </w:rPr>
        <w:t xml:space="preserve"> the price escalator </w:t>
      </w:r>
      <w:r>
        <w:rPr>
          <w:rFonts w:ascii="Arial" w:hAnsi="Arial" w:cs="Arial"/>
          <w:sz w:val="24"/>
          <w:szCs w:val="24"/>
        </w:rPr>
        <w:t xml:space="preserve">on tab 16 of the </w:t>
      </w:r>
      <w:r w:rsidRPr="00931765">
        <w:rPr>
          <w:rFonts w:ascii="Arial" w:hAnsi="Arial" w:cs="Arial"/>
          <w:sz w:val="24"/>
          <w:szCs w:val="24"/>
        </w:rPr>
        <w:t>IRM model.</w:t>
      </w:r>
    </w:p>
    <w:p w:rsidR="00557A3D" w:rsidRPr="0021424D" w:rsidRDefault="00557A3D" w:rsidP="00557A3D">
      <w:pPr>
        <w:rPr>
          <w:rFonts w:ascii="Arial" w:hAnsi="Arial" w:cs="Arial"/>
          <w:b/>
          <w:color w:val="0070C0"/>
          <w:sz w:val="24"/>
          <w:szCs w:val="24"/>
        </w:rPr>
      </w:pPr>
      <w:r w:rsidRPr="00557A3D">
        <w:rPr>
          <w:rFonts w:ascii="Arial" w:hAnsi="Arial" w:cs="Arial"/>
          <w:b/>
          <w:color w:val="0070C0"/>
          <w:sz w:val="24"/>
          <w:szCs w:val="24"/>
        </w:rPr>
        <w:t>Hydro 2000 Response:</w:t>
      </w:r>
      <w:r w:rsidR="0021424D">
        <w:rPr>
          <w:rFonts w:ascii="Arial" w:hAnsi="Arial" w:cs="Arial"/>
          <w:b/>
          <w:color w:val="0070C0"/>
          <w:sz w:val="24"/>
          <w:szCs w:val="24"/>
        </w:rPr>
        <w:t xml:space="preserve"> Hydro 2000 has no issues with Board Staff’s proposed updates. </w:t>
      </w:r>
    </w:p>
    <w:p w:rsidR="00145A2B" w:rsidRPr="00DA09D0" w:rsidRDefault="00145A2B" w:rsidP="00DA09D0">
      <w:pPr>
        <w:ind w:left="720"/>
        <w:rPr>
          <w:rFonts w:ascii="Arial" w:hAnsi="Arial" w:cs="Arial"/>
          <w:sz w:val="24"/>
          <w:szCs w:val="24"/>
        </w:rPr>
      </w:pPr>
    </w:p>
    <w:sectPr w:rsidR="00145A2B" w:rsidRPr="00DA09D0" w:rsidSect="00313B5E">
      <w:headerReference w:type="default" r:id="rId12"/>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418" w:rsidRDefault="00851418" w:rsidP="00851418">
      <w:pPr>
        <w:spacing w:after="0" w:line="240" w:lineRule="auto"/>
      </w:pPr>
      <w:r>
        <w:separator/>
      </w:r>
    </w:p>
  </w:endnote>
  <w:endnote w:type="continuationSeparator" w:id="0">
    <w:p w:rsidR="00851418" w:rsidRDefault="00851418"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418" w:rsidRDefault="00851418" w:rsidP="00851418">
      <w:pPr>
        <w:spacing w:after="0" w:line="240" w:lineRule="auto"/>
      </w:pPr>
      <w:r>
        <w:separator/>
      </w:r>
    </w:p>
  </w:footnote>
  <w:footnote w:type="continuationSeparator" w:id="0">
    <w:p w:rsidR="00851418" w:rsidRDefault="00851418" w:rsidP="00851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418" w:rsidRDefault="00D5062F">
    <w:pPr>
      <w:pStyle w:val="Header"/>
    </w:pPr>
    <w:r>
      <w:ptab w:relativeTo="margin" w:alignment="center" w:leader="none"/>
    </w:r>
    <w:r>
      <w:ptab w:relativeTo="margin" w:alignment="right" w:leader="none"/>
    </w:r>
    <w:r w:rsidR="002F6DF1">
      <w:t xml:space="preserve"> </w:t>
    </w:r>
    <w:r w:rsidR="00B31E98">
      <w:t>Hydro 2000 Inc.</w:t>
    </w:r>
  </w:p>
  <w:p w:rsidR="00D5062F" w:rsidRDefault="00D5062F" w:rsidP="0060096F">
    <w:pPr>
      <w:pStyle w:val="Header"/>
      <w:jc w:val="right"/>
    </w:pPr>
    <w:r>
      <w:tab/>
    </w:r>
    <w:r>
      <w:tab/>
    </w:r>
    <w:r w:rsidR="00753B24">
      <w:t>EB-2016-00</w:t>
    </w:r>
    <w:r w:rsidR="00B31E98">
      <w:t>78</w:t>
    </w:r>
    <w:r w:rsidR="002F18DE">
      <w:t xml:space="preserve"> </w:t>
    </w:r>
  </w:p>
  <w:p w:rsidR="00D5062F" w:rsidRDefault="00D5062F" w:rsidP="0060096F">
    <w:pPr>
      <w:pStyle w:val="Header"/>
      <w:jc w:val="right"/>
    </w:pPr>
    <w:r>
      <w:tab/>
    </w:r>
    <w:r>
      <w:tab/>
    </w:r>
    <w:r w:rsidR="0060096F">
      <w:t xml:space="preserve">     </w:t>
    </w:r>
    <w:r>
      <w:t xml:space="preserve">Page </w:t>
    </w:r>
    <w:r>
      <w:rPr>
        <w:b/>
      </w:rPr>
      <w:fldChar w:fldCharType="begin"/>
    </w:r>
    <w:r>
      <w:rPr>
        <w:b/>
      </w:rPr>
      <w:instrText xml:space="preserve"> PAGE  \* Arabic  \* MERGEFORMAT </w:instrText>
    </w:r>
    <w:r>
      <w:rPr>
        <w:b/>
      </w:rPr>
      <w:fldChar w:fldCharType="separate"/>
    </w:r>
    <w:r w:rsidR="008B6F6C">
      <w:rPr>
        <w:b/>
        <w:noProof/>
      </w:rPr>
      <w:t>7</w:t>
    </w:r>
    <w:r>
      <w:rPr>
        <w:b/>
      </w:rPr>
      <w:fldChar w:fldCharType="end"/>
    </w:r>
    <w:r>
      <w:t xml:space="preserve"> of </w:t>
    </w:r>
    <w:r>
      <w:rPr>
        <w:b/>
      </w:rPr>
      <w:fldChar w:fldCharType="begin"/>
    </w:r>
    <w:r>
      <w:rPr>
        <w:b/>
      </w:rPr>
      <w:instrText xml:space="preserve"> NUMPAGES  \* Arabic  \* MERGEFORMAT </w:instrText>
    </w:r>
    <w:r>
      <w:rPr>
        <w:b/>
      </w:rPr>
      <w:fldChar w:fldCharType="separate"/>
    </w:r>
    <w:r w:rsidR="008B6F6C">
      <w:rPr>
        <w:b/>
        <w:noProof/>
      </w:rPr>
      <w:t>7</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2EC"/>
    <w:multiLevelType w:val="hybridMultilevel"/>
    <w:tmpl w:val="434AF8F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 w15:restartNumberingAfterBreak="0">
    <w:nsid w:val="006E1A69"/>
    <w:multiLevelType w:val="hybridMultilevel"/>
    <w:tmpl w:val="EAA452D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 w15:restartNumberingAfterBreak="0">
    <w:nsid w:val="046B1D49"/>
    <w:multiLevelType w:val="hybridMultilevel"/>
    <w:tmpl w:val="313E82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677BE0"/>
    <w:multiLevelType w:val="hybridMultilevel"/>
    <w:tmpl w:val="3934ED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772E2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5" w15:restartNumberingAfterBreak="0">
    <w:nsid w:val="11786017"/>
    <w:multiLevelType w:val="hybridMultilevel"/>
    <w:tmpl w:val="581ED12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6" w15:restartNumberingAfterBreak="0">
    <w:nsid w:val="13B242A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6073F0A"/>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35B0C06"/>
    <w:multiLevelType w:val="hybridMultilevel"/>
    <w:tmpl w:val="F73C506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38E4755"/>
    <w:multiLevelType w:val="hybridMultilevel"/>
    <w:tmpl w:val="132029B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B94E54"/>
    <w:multiLevelType w:val="hybridMultilevel"/>
    <w:tmpl w:val="5FDC0C5E"/>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1" w15:restartNumberingAfterBreak="0">
    <w:nsid w:val="2A6A6B76"/>
    <w:multiLevelType w:val="hybridMultilevel"/>
    <w:tmpl w:val="C0644B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A9B2557"/>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CF84EDD"/>
    <w:multiLevelType w:val="hybridMultilevel"/>
    <w:tmpl w:val="2B9E97E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D056527"/>
    <w:multiLevelType w:val="hybridMultilevel"/>
    <w:tmpl w:val="BB58A352"/>
    <w:lvl w:ilvl="0" w:tplc="10090017">
      <w:start w:val="1"/>
      <w:numFmt w:val="lowerLetter"/>
      <w:lvlText w:val="%1)"/>
      <w:lvlJc w:val="left"/>
      <w:pPr>
        <w:ind w:left="855" w:hanging="360"/>
      </w:pPr>
    </w:lvl>
    <w:lvl w:ilvl="1" w:tplc="10090019" w:tentative="1">
      <w:start w:val="1"/>
      <w:numFmt w:val="lowerLetter"/>
      <w:lvlText w:val="%2."/>
      <w:lvlJc w:val="left"/>
      <w:pPr>
        <w:ind w:left="1575" w:hanging="360"/>
      </w:pPr>
    </w:lvl>
    <w:lvl w:ilvl="2" w:tplc="1009001B" w:tentative="1">
      <w:start w:val="1"/>
      <w:numFmt w:val="lowerRoman"/>
      <w:lvlText w:val="%3."/>
      <w:lvlJc w:val="right"/>
      <w:pPr>
        <w:ind w:left="2295" w:hanging="180"/>
      </w:pPr>
    </w:lvl>
    <w:lvl w:ilvl="3" w:tplc="1009000F" w:tentative="1">
      <w:start w:val="1"/>
      <w:numFmt w:val="decimal"/>
      <w:lvlText w:val="%4."/>
      <w:lvlJc w:val="left"/>
      <w:pPr>
        <w:ind w:left="3015" w:hanging="360"/>
      </w:pPr>
    </w:lvl>
    <w:lvl w:ilvl="4" w:tplc="10090019" w:tentative="1">
      <w:start w:val="1"/>
      <w:numFmt w:val="lowerLetter"/>
      <w:lvlText w:val="%5."/>
      <w:lvlJc w:val="left"/>
      <w:pPr>
        <w:ind w:left="3735" w:hanging="360"/>
      </w:pPr>
    </w:lvl>
    <w:lvl w:ilvl="5" w:tplc="1009001B" w:tentative="1">
      <w:start w:val="1"/>
      <w:numFmt w:val="lowerRoman"/>
      <w:lvlText w:val="%6."/>
      <w:lvlJc w:val="right"/>
      <w:pPr>
        <w:ind w:left="4455" w:hanging="180"/>
      </w:pPr>
    </w:lvl>
    <w:lvl w:ilvl="6" w:tplc="1009000F" w:tentative="1">
      <w:start w:val="1"/>
      <w:numFmt w:val="decimal"/>
      <w:lvlText w:val="%7."/>
      <w:lvlJc w:val="left"/>
      <w:pPr>
        <w:ind w:left="5175" w:hanging="360"/>
      </w:pPr>
    </w:lvl>
    <w:lvl w:ilvl="7" w:tplc="10090019" w:tentative="1">
      <w:start w:val="1"/>
      <w:numFmt w:val="lowerLetter"/>
      <w:lvlText w:val="%8."/>
      <w:lvlJc w:val="left"/>
      <w:pPr>
        <w:ind w:left="5895" w:hanging="360"/>
      </w:pPr>
    </w:lvl>
    <w:lvl w:ilvl="8" w:tplc="1009001B" w:tentative="1">
      <w:start w:val="1"/>
      <w:numFmt w:val="lowerRoman"/>
      <w:lvlText w:val="%9."/>
      <w:lvlJc w:val="right"/>
      <w:pPr>
        <w:ind w:left="6615" w:hanging="180"/>
      </w:pPr>
    </w:lvl>
  </w:abstractNum>
  <w:abstractNum w:abstractNumId="15" w15:restartNumberingAfterBreak="0">
    <w:nsid w:val="2D9571DD"/>
    <w:multiLevelType w:val="hybridMultilevel"/>
    <w:tmpl w:val="2B9E97E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DA67D52"/>
    <w:multiLevelType w:val="hybridMultilevel"/>
    <w:tmpl w:val="76CE407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1A138EF"/>
    <w:multiLevelType w:val="hybridMultilevel"/>
    <w:tmpl w:val="D90422CA"/>
    <w:lvl w:ilvl="0" w:tplc="F53EF72A">
      <w:start w:val="1"/>
      <w:numFmt w:val="lowerLetter"/>
      <w:lvlText w:val="%1)"/>
      <w:lvlJc w:val="left"/>
      <w:pPr>
        <w:ind w:left="720" w:hanging="360"/>
      </w:pPr>
      <w:rPr>
        <w:rFonts w:ascii="Arial" w:hAnsi="Arial" w:cs="Aria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1E96F5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64D6909"/>
    <w:multiLevelType w:val="hybridMultilevel"/>
    <w:tmpl w:val="BB6E142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39441685"/>
    <w:multiLevelType w:val="hybridMultilevel"/>
    <w:tmpl w:val="1286DD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E00446F"/>
    <w:multiLevelType w:val="hybridMultilevel"/>
    <w:tmpl w:val="319E026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FDF1CC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3" w15:restartNumberingAfterBreak="0">
    <w:nsid w:val="42E761A1"/>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4" w15:restartNumberingAfterBreak="0">
    <w:nsid w:val="513B105D"/>
    <w:multiLevelType w:val="hybridMultilevel"/>
    <w:tmpl w:val="D90422CA"/>
    <w:lvl w:ilvl="0" w:tplc="F53EF72A">
      <w:start w:val="1"/>
      <w:numFmt w:val="lowerLetter"/>
      <w:lvlText w:val="%1)"/>
      <w:lvlJc w:val="left"/>
      <w:pPr>
        <w:ind w:left="720" w:hanging="360"/>
      </w:pPr>
      <w:rPr>
        <w:rFonts w:ascii="Arial" w:hAnsi="Arial" w:cs="Aria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4841B6F"/>
    <w:multiLevelType w:val="hybridMultilevel"/>
    <w:tmpl w:val="434AF8F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6" w15:restartNumberingAfterBreak="0">
    <w:nsid w:val="569E3052"/>
    <w:multiLevelType w:val="hybridMultilevel"/>
    <w:tmpl w:val="E6BEA0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834018C"/>
    <w:multiLevelType w:val="hybridMultilevel"/>
    <w:tmpl w:val="56EAAB9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8" w15:restartNumberingAfterBreak="0">
    <w:nsid w:val="5B30124D"/>
    <w:multiLevelType w:val="hybridMultilevel"/>
    <w:tmpl w:val="5FDC0C5E"/>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9" w15:restartNumberingAfterBreak="0">
    <w:nsid w:val="5F237BCC"/>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14554F5"/>
    <w:multiLevelType w:val="hybridMultilevel"/>
    <w:tmpl w:val="9A1002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C8D2895"/>
    <w:multiLevelType w:val="hybridMultilevel"/>
    <w:tmpl w:val="507C15E6"/>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2" w15:restartNumberingAfterBreak="0">
    <w:nsid w:val="6FE97E42"/>
    <w:multiLevelType w:val="hybridMultilevel"/>
    <w:tmpl w:val="E13C7F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1813E11"/>
    <w:multiLevelType w:val="hybridMultilevel"/>
    <w:tmpl w:val="6512B9A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4181AB2"/>
    <w:multiLevelType w:val="hybridMultilevel"/>
    <w:tmpl w:val="6734CE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87563A8"/>
    <w:multiLevelType w:val="hybridMultilevel"/>
    <w:tmpl w:val="E38E7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98D668A"/>
    <w:multiLevelType w:val="hybridMultilevel"/>
    <w:tmpl w:val="6512B9A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B5C556D"/>
    <w:multiLevelType w:val="hybridMultilevel"/>
    <w:tmpl w:val="F73C506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C8D0B09"/>
    <w:multiLevelType w:val="hybridMultilevel"/>
    <w:tmpl w:val="0C2A0FD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2"/>
  </w:num>
  <w:num w:numId="2">
    <w:abstractNumId w:val="7"/>
  </w:num>
  <w:num w:numId="3">
    <w:abstractNumId w:val="13"/>
  </w:num>
  <w:num w:numId="4">
    <w:abstractNumId w:val="11"/>
  </w:num>
  <w:num w:numId="5">
    <w:abstractNumId w:val="12"/>
  </w:num>
  <w:num w:numId="6">
    <w:abstractNumId w:val="20"/>
  </w:num>
  <w:num w:numId="7">
    <w:abstractNumId w:val="26"/>
  </w:num>
  <w:num w:numId="8">
    <w:abstractNumId w:val="29"/>
  </w:num>
  <w:num w:numId="9">
    <w:abstractNumId w:val="5"/>
  </w:num>
  <w:num w:numId="10">
    <w:abstractNumId w:val="1"/>
  </w:num>
  <w:num w:numId="11">
    <w:abstractNumId w:val="23"/>
  </w:num>
  <w:num w:numId="12">
    <w:abstractNumId w:val="18"/>
  </w:num>
  <w:num w:numId="13">
    <w:abstractNumId w:val="30"/>
  </w:num>
  <w:num w:numId="14">
    <w:abstractNumId w:val="6"/>
  </w:num>
  <w:num w:numId="15">
    <w:abstractNumId w:val="27"/>
  </w:num>
  <w:num w:numId="16">
    <w:abstractNumId w:val="3"/>
  </w:num>
  <w:num w:numId="17">
    <w:abstractNumId w:val="19"/>
  </w:num>
  <w:num w:numId="18">
    <w:abstractNumId w:val="4"/>
  </w:num>
  <w:num w:numId="19">
    <w:abstractNumId w:val="22"/>
  </w:num>
  <w:num w:numId="20">
    <w:abstractNumId w:val="28"/>
  </w:num>
  <w:num w:numId="21">
    <w:abstractNumId w:val="9"/>
  </w:num>
  <w:num w:numId="22">
    <w:abstractNumId w:val="34"/>
  </w:num>
  <w:num w:numId="23">
    <w:abstractNumId w:val="21"/>
  </w:num>
  <w:num w:numId="24">
    <w:abstractNumId w:val="38"/>
  </w:num>
  <w:num w:numId="25">
    <w:abstractNumId w:val="2"/>
  </w:num>
  <w:num w:numId="26">
    <w:abstractNumId w:val="33"/>
  </w:num>
  <w:num w:numId="27">
    <w:abstractNumId w:val="10"/>
  </w:num>
  <w:num w:numId="28">
    <w:abstractNumId w:val="36"/>
  </w:num>
  <w:num w:numId="29">
    <w:abstractNumId w:val="35"/>
  </w:num>
  <w:num w:numId="30">
    <w:abstractNumId w:val="15"/>
  </w:num>
  <w:num w:numId="31">
    <w:abstractNumId w:val="17"/>
  </w:num>
  <w:num w:numId="32">
    <w:abstractNumId w:val="24"/>
  </w:num>
  <w:num w:numId="33">
    <w:abstractNumId w:val="16"/>
  </w:num>
  <w:num w:numId="34">
    <w:abstractNumId w:val="0"/>
  </w:num>
  <w:num w:numId="35">
    <w:abstractNumId w:val="31"/>
  </w:num>
  <w:num w:numId="36">
    <w:abstractNumId w:val="25"/>
  </w:num>
  <w:num w:numId="37">
    <w:abstractNumId w:val="37"/>
  </w:num>
  <w:num w:numId="38">
    <w:abstractNumId w:val="8"/>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F8"/>
    <w:rsid w:val="000027F6"/>
    <w:rsid w:val="00003BE1"/>
    <w:rsid w:val="0001354E"/>
    <w:rsid w:val="000414BC"/>
    <w:rsid w:val="00041BBD"/>
    <w:rsid w:val="0006116B"/>
    <w:rsid w:val="000811CC"/>
    <w:rsid w:val="000843ED"/>
    <w:rsid w:val="00090BEB"/>
    <w:rsid w:val="000C035C"/>
    <w:rsid w:val="000D2EAF"/>
    <w:rsid w:val="000D3025"/>
    <w:rsid w:val="000D7370"/>
    <w:rsid w:val="000E0EBF"/>
    <w:rsid w:val="000E4C7B"/>
    <w:rsid w:val="000E514C"/>
    <w:rsid w:val="00103F13"/>
    <w:rsid w:val="00132F5A"/>
    <w:rsid w:val="00145A2B"/>
    <w:rsid w:val="00146770"/>
    <w:rsid w:val="001563E4"/>
    <w:rsid w:val="0016286E"/>
    <w:rsid w:val="00163BCB"/>
    <w:rsid w:val="00165D34"/>
    <w:rsid w:val="00195EB7"/>
    <w:rsid w:val="001B2AD3"/>
    <w:rsid w:val="001C7CA4"/>
    <w:rsid w:val="001D7086"/>
    <w:rsid w:val="001E069B"/>
    <w:rsid w:val="001E1F20"/>
    <w:rsid w:val="001E7DA3"/>
    <w:rsid w:val="00204A40"/>
    <w:rsid w:val="0021424D"/>
    <w:rsid w:val="0022610E"/>
    <w:rsid w:val="00247371"/>
    <w:rsid w:val="002649D9"/>
    <w:rsid w:val="00272776"/>
    <w:rsid w:val="00275F39"/>
    <w:rsid w:val="00293086"/>
    <w:rsid w:val="00294A9A"/>
    <w:rsid w:val="002A72E9"/>
    <w:rsid w:val="002B321A"/>
    <w:rsid w:val="002B7C64"/>
    <w:rsid w:val="002C548C"/>
    <w:rsid w:val="002C6C00"/>
    <w:rsid w:val="002D2F55"/>
    <w:rsid w:val="002F18DE"/>
    <w:rsid w:val="002F6DF1"/>
    <w:rsid w:val="0030625B"/>
    <w:rsid w:val="00312024"/>
    <w:rsid w:val="00313B5E"/>
    <w:rsid w:val="00323BCB"/>
    <w:rsid w:val="0032442F"/>
    <w:rsid w:val="00330786"/>
    <w:rsid w:val="00341806"/>
    <w:rsid w:val="003421C4"/>
    <w:rsid w:val="0035397C"/>
    <w:rsid w:val="00366B12"/>
    <w:rsid w:val="0037187A"/>
    <w:rsid w:val="0037285F"/>
    <w:rsid w:val="003747F2"/>
    <w:rsid w:val="003856F8"/>
    <w:rsid w:val="003871CF"/>
    <w:rsid w:val="003916B5"/>
    <w:rsid w:val="00394351"/>
    <w:rsid w:val="003A48A8"/>
    <w:rsid w:val="003A7960"/>
    <w:rsid w:val="003B75B5"/>
    <w:rsid w:val="003E076C"/>
    <w:rsid w:val="003E7D1C"/>
    <w:rsid w:val="003F7D01"/>
    <w:rsid w:val="00412DC6"/>
    <w:rsid w:val="00464D00"/>
    <w:rsid w:val="00470301"/>
    <w:rsid w:val="00471B90"/>
    <w:rsid w:val="00476264"/>
    <w:rsid w:val="00480429"/>
    <w:rsid w:val="00482069"/>
    <w:rsid w:val="004A5F89"/>
    <w:rsid w:val="004D46E0"/>
    <w:rsid w:val="00506AC5"/>
    <w:rsid w:val="005072D9"/>
    <w:rsid w:val="00511282"/>
    <w:rsid w:val="005117CF"/>
    <w:rsid w:val="005118AE"/>
    <w:rsid w:val="005216D6"/>
    <w:rsid w:val="005224FF"/>
    <w:rsid w:val="00540BEE"/>
    <w:rsid w:val="0055352F"/>
    <w:rsid w:val="00553935"/>
    <w:rsid w:val="00557A3D"/>
    <w:rsid w:val="0058048C"/>
    <w:rsid w:val="005B4AF6"/>
    <w:rsid w:val="005B4C39"/>
    <w:rsid w:val="005C44AD"/>
    <w:rsid w:val="005C5C6B"/>
    <w:rsid w:val="0060096F"/>
    <w:rsid w:val="00601C3B"/>
    <w:rsid w:val="0060662D"/>
    <w:rsid w:val="006125B7"/>
    <w:rsid w:val="00634992"/>
    <w:rsid w:val="006561C4"/>
    <w:rsid w:val="006604B5"/>
    <w:rsid w:val="00663600"/>
    <w:rsid w:val="00684261"/>
    <w:rsid w:val="006857F7"/>
    <w:rsid w:val="006903B8"/>
    <w:rsid w:val="0069057C"/>
    <w:rsid w:val="00691C29"/>
    <w:rsid w:val="00692FC5"/>
    <w:rsid w:val="006A6B6B"/>
    <w:rsid w:val="006E2AF8"/>
    <w:rsid w:val="0071379E"/>
    <w:rsid w:val="007312BB"/>
    <w:rsid w:val="00746080"/>
    <w:rsid w:val="00753B24"/>
    <w:rsid w:val="0075403E"/>
    <w:rsid w:val="00776FED"/>
    <w:rsid w:val="00796C0A"/>
    <w:rsid w:val="007A7954"/>
    <w:rsid w:val="007B276F"/>
    <w:rsid w:val="007D2CE7"/>
    <w:rsid w:val="00806D93"/>
    <w:rsid w:val="00832168"/>
    <w:rsid w:val="00832A00"/>
    <w:rsid w:val="00833F5F"/>
    <w:rsid w:val="00834687"/>
    <w:rsid w:val="00834E7C"/>
    <w:rsid w:val="00850053"/>
    <w:rsid w:val="00851418"/>
    <w:rsid w:val="008539D9"/>
    <w:rsid w:val="0087639C"/>
    <w:rsid w:val="008939E2"/>
    <w:rsid w:val="008A5D3A"/>
    <w:rsid w:val="008B6F6C"/>
    <w:rsid w:val="008C74E3"/>
    <w:rsid w:val="008D766A"/>
    <w:rsid w:val="008E4C91"/>
    <w:rsid w:val="008F31C8"/>
    <w:rsid w:val="008F688C"/>
    <w:rsid w:val="008F73E8"/>
    <w:rsid w:val="0090227F"/>
    <w:rsid w:val="00937121"/>
    <w:rsid w:val="009643D1"/>
    <w:rsid w:val="00977510"/>
    <w:rsid w:val="0098287F"/>
    <w:rsid w:val="00983A06"/>
    <w:rsid w:val="009920CC"/>
    <w:rsid w:val="0099497C"/>
    <w:rsid w:val="009E1626"/>
    <w:rsid w:val="00A102CC"/>
    <w:rsid w:val="00A56508"/>
    <w:rsid w:val="00A63999"/>
    <w:rsid w:val="00A704BA"/>
    <w:rsid w:val="00A72A49"/>
    <w:rsid w:val="00A74142"/>
    <w:rsid w:val="00AA06D9"/>
    <w:rsid w:val="00AA7CBC"/>
    <w:rsid w:val="00AB760F"/>
    <w:rsid w:val="00AF288A"/>
    <w:rsid w:val="00B008D6"/>
    <w:rsid w:val="00B04B7B"/>
    <w:rsid w:val="00B076A5"/>
    <w:rsid w:val="00B12E4C"/>
    <w:rsid w:val="00B20109"/>
    <w:rsid w:val="00B247C1"/>
    <w:rsid w:val="00B25576"/>
    <w:rsid w:val="00B25DA8"/>
    <w:rsid w:val="00B26F6A"/>
    <w:rsid w:val="00B314F3"/>
    <w:rsid w:val="00B31E98"/>
    <w:rsid w:val="00B76EA7"/>
    <w:rsid w:val="00B94FF4"/>
    <w:rsid w:val="00BA4E6E"/>
    <w:rsid w:val="00BC1A68"/>
    <w:rsid w:val="00BE1A92"/>
    <w:rsid w:val="00BE208F"/>
    <w:rsid w:val="00C63C8D"/>
    <w:rsid w:val="00C655AF"/>
    <w:rsid w:val="00C818E2"/>
    <w:rsid w:val="00CB168B"/>
    <w:rsid w:val="00CC447E"/>
    <w:rsid w:val="00CC6D11"/>
    <w:rsid w:val="00CE17D5"/>
    <w:rsid w:val="00CF0F7C"/>
    <w:rsid w:val="00CF6349"/>
    <w:rsid w:val="00D0482F"/>
    <w:rsid w:val="00D0773D"/>
    <w:rsid w:val="00D21A42"/>
    <w:rsid w:val="00D36BBE"/>
    <w:rsid w:val="00D5062F"/>
    <w:rsid w:val="00D52F46"/>
    <w:rsid w:val="00D60DCE"/>
    <w:rsid w:val="00D614C3"/>
    <w:rsid w:val="00D70715"/>
    <w:rsid w:val="00D80859"/>
    <w:rsid w:val="00D87CAA"/>
    <w:rsid w:val="00D91B73"/>
    <w:rsid w:val="00D958A6"/>
    <w:rsid w:val="00D95CAA"/>
    <w:rsid w:val="00D95F3E"/>
    <w:rsid w:val="00D974D5"/>
    <w:rsid w:val="00D975C5"/>
    <w:rsid w:val="00DA09D0"/>
    <w:rsid w:val="00DA2484"/>
    <w:rsid w:val="00DC3F8F"/>
    <w:rsid w:val="00DC3FBA"/>
    <w:rsid w:val="00DD09DC"/>
    <w:rsid w:val="00DD2002"/>
    <w:rsid w:val="00E17E1A"/>
    <w:rsid w:val="00E23ECF"/>
    <w:rsid w:val="00E261A1"/>
    <w:rsid w:val="00E2681D"/>
    <w:rsid w:val="00E2683A"/>
    <w:rsid w:val="00E35E8C"/>
    <w:rsid w:val="00E45775"/>
    <w:rsid w:val="00E63408"/>
    <w:rsid w:val="00E6651E"/>
    <w:rsid w:val="00E7523D"/>
    <w:rsid w:val="00E9387D"/>
    <w:rsid w:val="00EA0919"/>
    <w:rsid w:val="00EB047D"/>
    <w:rsid w:val="00EB68C4"/>
    <w:rsid w:val="00EC0C97"/>
    <w:rsid w:val="00EC26AE"/>
    <w:rsid w:val="00EC2B3D"/>
    <w:rsid w:val="00EE450C"/>
    <w:rsid w:val="00EE68D6"/>
    <w:rsid w:val="00F026E1"/>
    <w:rsid w:val="00F17213"/>
    <w:rsid w:val="00F213C1"/>
    <w:rsid w:val="00F27A5F"/>
    <w:rsid w:val="00F72F89"/>
    <w:rsid w:val="00F77AE7"/>
    <w:rsid w:val="00F92F12"/>
    <w:rsid w:val="00FB3A11"/>
    <w:rsid w:val="00FF24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8ACFAD9"/>
  <w15:docId w15:val="{683C0B67-EB7F-4230-A181-E4CE2D6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character" w:styleId="FollowedHyperlink">
    <w:name w:val="FollowedHyperlink"/>
    <w:basedOn w:val="DefaultParagraphFont"/>
    <w:uiPriority w:val="99"/>
    <w:semiHidden/>
    <w:unhideWhenUsed/>
    <w:rsid w:val="0006116B"/>
    <w:rPr>
      <w:color w:val="800080" w:themeColor="followedHyperlink"/>
      <w:u w:val="single"/>
    </w:rPr>
  </w:style>
  <w:style w:type="paragraph" w:customStyle="1" w:styleId="Default">
    <w:name w:val="Default"/>
    <w:rsid w:val="00D614C3"/>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qFormat/>
    <w:rsid w:val="00D614C3"/>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603694">
      <w:bodyDiv w:val="1"/>
      <w:marLeft w:val="0"/>
      <w:marRight w:val="0"/>
      <w:marTop w:val="0"/>
      <w:marBottom w:val="0"/>
      <w:divBdr>
        <w:top w:val="none" w:sz="0" w:space="0" w:color="auto"/>
        <w:left w:val="none" w:sz="0" w:space="0" w:color="auto"/>
        <w:bottom w:val="none" w:sz="0" w:space="0" w:color="auto"/>
        <w:right w:val="none" w:sz="0" w:space="0" w:color="auto"/>
      </w:divBdr>
    </w:div>
    <w:div w:id="188674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58082-49EB-4CF6-9CF8-9B1F875FA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1035</Words>
  <Characters>5901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Tandem Energy Services</cp:lastModifiedBy>
  <cp:revision>2</cp:revision>
  <dcterms:created xsi:type="dcterms:W3CDTF">2017-01-24T18:02:00Z</dcterms:created>
  <dcterms:modified xsi:type="dcterms:W3CDTF">2017-01-24T18:02:00Z</dcterms:modified>
</cp:coreProperties>
</file>