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"/>
        <w:gridCol w:w="1907"/>
        <w:gridCol w:w="1985"/>
        <w:gridCol w:w="2268"/>
        <w:gridCol w:w="1219"/>
        <w:gridCol w:w="1219"/>
        <w:gridCol w:w="1219"/>
        <w:gridCol w:w="1219"/>
        <w:gridCol w:w="1219"/>
      </w:tblGrid>
      <w:tr w:rsidR="004043E3" w:rsidRPr="00985633" w:rsidTr="004043E3">
        <w:trPr>
          <w:trHeight w:val="416"/>
          <w:jc w:val="center"/>
        </w:trPr>
        <w:tc>
          <w:tcPr>
            <w:tcW w:w="12758" w:type="dxa"/>
            <w:gridSpan w:val="9"/>
            <w:vAlign w:val="center"/>
          </w:tcPr>
          <w:p w:rsidR="004043E3" w:rsidRPr="00101305" w:rsidRDefault="004043E3" w:rsidP="00304236">
            <w:pPr>
              <w:jc w:val="center"/>
              <w:rPr>
                <w:rFonts w:cs="Arial"/>
                <w:b/>
                <w:sz w:val="20"/>
                <w:szCs w:val="20"/>
                <w:lang w:val="en-CA" w:eastAsia="en-CA"/>
              </w:rPr>
            </w:pPr>
            <w:r w:rsidRPr="00101305">
              <w:rPr>
                <w:rFonts w:cs="Arial"/>
                <w:b/>
                <w:sz w:val="20"/>
                <w:szCs w:val="20"/>
                <w:lang w:val="en-CA" w:eastAsia="en-CA"/>
              </w:rPr>
              <w:t>Status Report on Remaining Load Transfer Arrangements</w:t>
            </w:r>
          </w:p>
        </w:tc>
      </w:tr>
      <w:tr w:rsidR="004043E3" w:rsidRPr="00985633" w:rsidTr="004043E3">
        <w:trPr>
          <w:trHeight w:val="353"/>
          <w:jc w:val="center"/>
        </w:trPr>
        <w:tc>
          <w:tcPr>
            <w:tcW w:w="6663" w:type="dxa"/>
            <w:gridSpan w:val="4"/>
            <w:vAlign w:val="center"/>
          </w:tcPr>
          <w:p w:rsidR="004043E3" w:rsidRPr="00985633" w:rsidRDefault="004043E3" w:rsidP="00304236">
            <w:pPr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LDC Name:</w:t>
            </w:r>
            <w:r w:rsidR="005D67C0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Energy+</w:t>
            </w:r>
            <w:r w:rsidR="009C7E7B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Inc.</w:t>
            </w:r>
          </w:p>
        </w:tc>
        <w:tc>
          <w:tcPr>
            <w:tcW w:w="6095" w:type="dxa"/>
            <w:gridSpan w:val="5"/>
            <w:shd w:val="clear" w:color="auto" w:fill="auto"/>
            <w:noWrap/>
            <w:vAlign w:val="center"/>
          </w:tcPr>
          <w:p w:rsidR="004043E3" w:rsidRPr="00985633" w:rsidRDefault="004043E3" w:rsidP="009C7E7B">
            <w:pPr>
              <w:rPr>
                <w:rFonts w:cs="Arial"/>
                <w:b/>
                <w:sz w:val="20"/>
                <w:szCs w:val="20"/>
                <w:lang w:val="en-CA" w:eastAsia="en-CA"/>
              </w:rPr>
            </w:pPr>
            <w:r>
              <w:rPr>
                <w:rFonts w:cs="Arial"/>
                <w:b/>
                <w:sz w:val="20"/>
                <w:szCs w:val="20"/>
                <w:lang w:val="en-CA" w:eastAsia="en-CA"/>
              </w:rPr>
              <w:t>Report Date:</w:t>
            </w:r>
            <w:r w:rsidR="005D67C0">
              <w:rPr>
                <w:rFonts w:cs="Arial"/>
                <w:b/>
                <w:sz w:val="20"/>
                <w:szCs w:val="20"/>
                <w:lang w:val="en-CA" w:eastAsia="en-CA"/>
              </w:rPr>
              <w:t xml:space="preserve"> May 1</w:t>
            </w:r>
            <w:r w:rsidR="009C7E7B">
              <w:rPr>
                <w:rFonts w:cs="Arial"/>
                <w:b/>
                <w:sz w:val="20"/>
                <w:szCs w:val="20"/>
                <w:lang w:val="en-CA" w:eastAsia="en-CA"/>
              </w:rPr>
              <w:t>9</w:t>
            </w:r>
            <w:r w:rsidR="005D67C0">
              <w:rPr>
                <w:rFonts w:cs="Arial"/>
                <w:b/>
                <w:sz w:val="20"/>
                <w:szCs w:val="20"/>
                <w:lang w:val="en-CA" w:eastAsia="en-CA"/>
              </w:rPr>
              <w:t>, 2017</w:t>
            </w:r>
          </w:p>
        </w:tc>
      </w:tr>
      <w:tr w:rsidR="004043E3" w:rsidRPr="00985633" w:rsidTr="004043E3">
        <w:trPr>
          <w:trHeight w:val="485"/>
          <w:jc w:val="center"/>
        </w:trPr>
        <w:tc>
          <w:tcPr>
            <w:tcW w:w="503" w:type="dxa"/>
            <w:vMerge w:val="restart"/>
            <w:shd w:val="clear" w:color="auto" w:fill="auto"/>
          </w:tcPr>
          <w:p w:rsidR="004043E3" w:rsidRPr="00985633" w:rsidRDefault="004043E3" w:rsidP="00304236">
            <w:pPr>
              <w:jc w:val="center"/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 w:val="restart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Geographic Distributor</w:t>
            </w:r>
          </w:p>
        </w:tc>
        <w:tc>
          <w:tcPr>
            <w:tcW w:w="1985" w:type="dxa"/>
            <w:vMerge w:val="restart"/>
            <w:shd w:val="clear" w:color="000000" w:fill="16365C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Physical Distributor</w:t>
            </w:r>
          </w:p>
        </w:tc>
        <w:tc>
          <w:tcPr>
            <w:tcW w:w="2268" w:type="dxa"/>
            <w:vMerge w:val="restart"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Elimination (Joint) Application Status</w:t>
            </w:r>
          </w:p>
        </w:tc>
        <w:tc>
          <w:tcPr>
            <w:tcW w:w="6095" w:type="dxa"/>
            <w:gridSpan w:val="5"/>
            <w:shd w:val="clear" w:color="000000" w:fill="16365C"/>
            <w:noWrap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b/>
                <w:color w:val="FFFFFF"/>
                <w:sz w:val="20"/>
                <w:szCs w:val="20"/>
                <w:lang w:val="en-CA" w:eastAsia="en-CA"/>
              </w:rPr>
              <w:t># of Affected Customers</w:t>
            </w:r>
          </w:p>
        </w:tc>
      </w:tr>
      <w:tr w:rsidR="004043E3" w:rsidRPr="00985633" w:rsidTr="004043E3">
        <w:trPr>
          <w:trHeight w:val="380"/>
          <w:jc w:val="center"/>
        </w:trPr>
        <w:tc>
          <w:tcPr>
            <w:tcW w:w="503" w:type="dxa"/>
            <w:vMerge/>
            <w:shd w:val="clear" w:color="auto" w:fill="auto"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07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E36C0A" w:themeFill="accent6" w:themeFillShade="BF"/>
            <w:vAlign w:val="center"/>
            <w:hideMark/>
          </w:tcPr>
          <w:p w:rsidR="004043E3" w:rsidRPr="00985633" w:rsidRDefault="004043E3" w:rsidP="00304236">
            <w:pPr>
              <w:rPr>
                <w:rFonts w:cs="Arial"/>
                <w:color w:val="FFFFFF"/>
                <w:sz w:val="20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Residential</w:t>
            </w:r>
          </w:p>
        </w:tc>
        <w:tc>
          <w:tcPr>
            <w:tcW w:w="1219" w:type="dxa"/>
            <w:shd w:val="clear" w:color="000000" w:fill="EEECE1"/>
            <w:vAlign w:val="center"/>
            <w:hideMark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General Service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Micro FIT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Sentinel Light</w:t>
            </w:r>
          </w:p>
        </w:tc>
        <w:tc>
          <w:tcPr>
            <w:tcW w:w="1219" w:type="dxa"/>
            <w:shd w:val="clear" w:color="000000" w:fill="EEECE1"/>
            <w:vAlign w:val="center"/>
          </w:tcPr>
          <w:p w:rsidR="004043E3" w:rsidRPr="00985633" w:rsidRDefault="004043E3" w:rsidP="00304236">
            <w:pPr>
              <w:jc w:val="center"/>
              <w:rPr>
                <w:rFonts w:cs="Arial"/>
                <w:sz w:val="20"/>
                <w:szCs w:val="20"/>
                <w:lang w:val="en-CA" w:eastAsia="en-CA"/>
              </w:rPr>
            </w:pPr>
            <w:r w:rsidRPr="00985633">
              <w:rPr>
                <w:rFonts w:cs="Arial"/>
                <w:sz w:val="20"/>
                <w:szCs w:val="20"/>
                <w:lang w:val="en-CA" w:eastAsia="en-CA"/>
              </w:rPr>
              <w:t>Unmetered Scattered Load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 w:rsidRPr="00990076"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5D67C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 xml:space="preserve"> Hydro One</w:t>
            </w:r>
            <w:r w:rsidR="009C7E7B">
              <w:rPr>
                <w:rFonts w:cs="Arial"/>
                <w:sz w:val="18"/>
                <w:szCs w:val="20"/>
                <w:lang w:val="en-CA" w:eastAsia="en-CA"/>
              </w:rPr>
              <w:t xml:space="preserve"> Networks Inc.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5D67C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Energy+</w:t>
            </w:r>
            <w:r w:rsidR="009C7E7B">
              <w:rPr>
                <w:rFonts w:cs="Arial"/>
                <w:sz w:val="18"/>
                <w:szCs w:val="20"/>
                <w:lang w:val="en-CA" w:eastAsia="en-CA"/>
              </w:rPr>
              <w:t xml:space="preserve">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5D67C0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To be filed in May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D67C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63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D67C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8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D67C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D67C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5D67C0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5D67C0" w:rsidRPr="00985633" w:rsidTr="004755A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5D67C0" w:rsidRPr="00990076" w:rsidRDefault="005D67C0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</w:tcPr>
          <w:p w:rsidR="005D67C0" w:rsidRPr="00F83E69" w:rsidRDefault="005D67C0" w:rsidP="005D67C0">
            <w:pPr>
              <w:rPr>
                <w:rFonts w:cs="Arial"/>
                <w:sz w:val="18"/>
                <w:szCs w:val="20"/>
                <w:lang w:val="en-CA" w:eastAsia="en-CA"/>
              </w:rPr>
            </w:pPr>
            <w:r w:rsidRPr="00DC73E0">
              <w:rPr>
                <w:rFonts w:cs="Arial"/>
                <w:sz w:val="18"/>
                <w:szCs w:val="20"/>
                <w:lang w:val="en-CA" w:eastAsia="en-CA"/>
              </w:rPr>
              <w:t>Energy+</w:t>
            </w:r>
            <w:r w:rsidR="009C7E7B">
              <w:rPr>
                <w:rFonts w:cs="Arial"/>
                <w:sz w:val="18"/>
                <w:szCs w:val="20"/>
                <w:lang w:val="en-CA" w:eastAsia="en-CA"/>
              </w:rPr>
              <w:t xml:space="preserve"> Inc.</w:t>
            </w:r>
          </w:p>
        </w:tc>
        <w:tc>
          <w:tcPr>
            <w:tcW w:w="1985" w:type="dxa"/>
            <w:shd w:val="clear" w:color="auto" w:fill="auto"/>
          </w:tcPr>
          <w:p w:rsidR="005D67C0" w:rsidRPr="00F83E69" w:rsidRDefault="005D67C0" w:rsidP="005D67C0">
            <w:pPr>
              <w:rPr>
                <w:rFonts w:cs="Arial"/>
                <w:sz w:val="18"/>
                <w:szCs w:val="20"/>
                <w:lang w:val="en-CA" w:eastAsia="en-CA"/>
              </w:rPr>
            </w:pPr>
            <w:r w:rsidRPr="00262673">
              <w:rPr>
                <w:rFonts w:cs="Arial"/>
                <w:sz w:val="18"/>
                <w:szCs w:val="20"/>
                <w:lang w:val="en-CA" w:eastAsia="en-CA"/>
              </w:rPr>
              <w:t>Hydro One</w:t>
            </w:r>
            <w:r w:rsidR="009C7E7B">
              <w:rPr>
                <w:rFonts w:cs="Arial"/>
                <w:sz w:val="18"/>
                <w:szCs w:val="20"/>
                <w:lang w:val="en-CA" w:eastAsia="en-CA"/>
              </w:rPr>
              <w:t xml:space="preserve"> Networks Inc.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D67C0" w:rsidRPr="00990076" w:rsidRDefault="005D67C0" w:rsidP="005D67C0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5D67C0" w:rsidP="00F83E69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  <w:r w:rsidR="00F83E69"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5D67C0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5D67C0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5D67C0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5D67C0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5D67C0" w:rsidRPr="00985633" w:rsidTr="004755A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5D67C0" w:rsidRPr="00990076" w:rsidRDefault="005D67C0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2</w:t>
            </w:r>
          </w:p>
        </w:tc>
        <w:tc>
          <w:tcPr>
            <w:tcW w:w="1907" w:type="dxa"/>
            <w:shd w:val="clear" w:color="auto" w:fill="auto"/>
          </w:tcPr>
          <w:p w:rsidR="005D67C0" w:rsidRDefault="00294F76" w:rsidP="005D67C0">
            <w:r w:rsidRPr="00DC73E0">
              <w:rPr>
                <w:rFonts w:cs="Arial"/>
                <w:sz w:val="18"/>
                <w:szCs w:val="20"/>
                <w:lang w:val="en-CA" w:eastAsia="en-CA"/>
              </w:rPr>
              <w:t>Energy+</w:t>
            </w:r>
            <w:r w:rsidR="009C7E7B">
              <w:rPr>
                <w:rFonts w:cs="Arial"/>
                <w:sz w:val="18"/>
                <w:szCs w:val="20"/>
                <w:lang w:val="en-CA" w:eastAsia="en-CA"/>
              </w:rPr>
              <w:t xml:space="preserve"> Inc.</w:t>
            </w:r>
          </w:p>
        </w:tc>
        <w:tc>
          <w:tcPr>
            <w:tcW w:w="1985" w:type="dxa"/>
            <w:shd w:val="clear" w:color="auto" w:fill="auto"/>
          </w:tcPr>
          <w:p w:rsidR="005D67C0" w:rsidRDefault="00294F76" w:rsidP="00294F76">
            <w:r>
              <w:rPr>
                <w:rFonts w:cs="Arial"/>
                <w:sz w:val="18"/>
                <w:szCs w:val="20"/>
                <w:lang w:val="en-CA" w:eastAsia="en-CA"/>
              </w:rPr>
              <w:t>Waterloo North Hydro Inc.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D67C0" w:rsidRPr="00990076" w:rsidRDefault="00294F76" w:rsidP="005D67C0">
            <w:pPr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To be filed in May 2017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294F76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294F76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1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294F76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294F76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5D67C0" w:rsidRPr="00990076" w:rsidRDefault="00294F76" w:rsidP="005D67C0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0</w:t>
            </w: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3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4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 w:val="restart"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  <w:r>
              <w:rPr>
                <w:rFonts w:cs="Arial"/>
                <w:sz w:val="18"/>
                <w:szCs w:val="20"/>
                <w:lang w:val="en-CA" w:eastAsia="en-CA"/>
              </w:rPr>
              <w:t>5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  <w:tr w:rsidR="004043E3" w:rsidRPr="00985633" w:rsidTr="004043E3">
        <w:trPr>
          <w:trHeight w:val="320"/>
          <w:jc w:val="center"/>
        </w:trPr>
        <w:tc>
          <w:tcPr>
            <w:tcW w:w="503" w:type="dxa"/>
            <w:vMerge/>
            <w:vAlign w:val="center"/>
          </w:tcPr>
          <w:p w:rsidR="004043E3" w:rsidRPr="00990076" w:rsidRDefault="004043E3" w:rsidP="004043E3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4043E3" w:rsidRPr="00990076" w:rsidRDefault="004043E3" w:rsidP="00304236">
            <w:pPr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043E3" w:rsidRPr="00990076" w:rsidRDefault="004043E3" w:rsidP="00304236">
            <w:pPr>
              <w:jc w:val="center"/>
              <w:rPr>
                <w:rFonts w:cs="Arial"/>
                <w:sz w:val="18"/>
                <w:szCs w:val="20"/>
                <w:lang w:val="en-CA" w:eastAsia="en-CA"/>
              </w:rPr>
            </w:pPr>
          </w:p>
        </w:tc>
      </w:tr>
    </w:tbl>
    <w:p w:rsidR="009E708B" w:rsidRDefault="009E708B" w:rsidP="004043E3">
      <w:pPr>
        <w:rPr>
          <w:rFonts w:cs="Arial"/>
          <w:b/>
          <w:sz w:val="20"/>
          <w:lang w:eastAsia="ja-JP"/>
        </w:rPr>
      </w:pPr>
    </w:p>
    <w:p w:rsidR="004043E3" w:rsidRDefault="004043E3" w:rsidP="004043E3">
      <w:pPr>
        <w:rPr>
          <w:rFonts w:cs="Arial"/>
          <w:b/>
          <w:sz w:val="20"/>
          <w:lang w:eastAsia="ja-JP"/>
        </w:rPr>
      </w:pPr>
      <w:r w:rsidRPr="00990076">
        <w:rPr>
          <w:rFonts w:cs="Arial"/>
          <w:b/>
          <w:sz w:val="20"/>
          <w:lang w:eastAsia="ja-JP"/>
        </w:rPr>
        <w:t xml:space="preserve">Notes: </w:t>
      </w:r>
    </w:p>
    <w:p w:rsidR="00021C52" w:rsidRPr="00874D56" w:rsidRDefault="008E27AC" w:rsidP="00021C52">
      <w:pPr>
        <w:pStyle w:val="ListParagraph"/>
        <w:numPr>
          <w:ilvl w:val="0"/>
          <w:numId w:val="3"/>
        </w:numPr>
        <w:ind w:right="458"/>
        <w:rPr>
          <w:rFonts w:cs="Arial"/>
          <w:sz w:val="20"/>
          <w:lang w:eastAsia="ja-JP"/>
        </w:rPr>
      </w:pPr>
      <w:r>
        <w:rPr>
          <w:rFonts w:cs="Arial"/>
          <w:sz w:val="20"/>
          <w:lang w:eastAsia="ja-JP"/>
        </w:rPr>
        <w:t xml:space="preserve">The </w:t>
      </w:r>
      <w:r w:rsidRPr="00874D56">
        <w:rPr>
          <w:rFonts w:cs="Arial"/>
          <w:sz w:val="20"/>
          <w:lang w:eastAsia="ja-JP"/>
        </w:rPr>
        <w:t>Combined Service Area Amendment and Asset Transfer Application</w:t>
      </w:r>
      <w:r>
        <w:rPr>
          <w:rFonts w:cs="Arial"/>
          <w:sz w:val="20"/>
          <w:lang w:eastAsia="ja-JP"/>
        </w:rPr>
        <w:t xml:space="preserve">s </w:t>
      </w:r>
      <w:r w:rsidR="00021C52">
        <w:rPr>
          <w:rFonts w:cs="Arial"/>
          <w:sz w:val="20"/>
          <w:lang w:eastAsia="ja-JP"/>
        </w:rPr>
        <w:t xml:space="preserve">(the “Applications”) </w:t>
      </w:r>
      <w:r>
        <w:rPr>
          <w:rFonts w:cs="Arial"/>
          <w:sz w:val="20"/>
          <w:lang w:eastAsia="ja-JP"/>
        </w:rPr>
        <w:t>between Hydro One Networks Inc. and Energy + Inc., and between Energy+ Inc. and Waterloo North Hydro Inc.</w:t>
      </w:r>
      <w:r w:rsidR="009C7E7B">
        <w:rPr>
          <w:rFonts w:cs="Arial"/>
          <w:sz w:val="20"/>
          <w:lang w:eastAsia="ja-JP"/>
        </w:rPr>
        <w:t xml:space="preserve"> are expected to </w:t>
      </w:r>
      <w:r w:rsidR="0013279A">
        <w:rPr>
          <w:rFonts w:cs="Arial"/>
          <w:sz w:val="20"/>
          <w:lang w:eastAsia="ja-JP"/>
        </w:rPr>
        <w:t xml:space="preserve">be filed with the OEB </w:t>
      </w:r>
      <w:r w:rsidR="009C7E7B">
        <w:rPr>
          <w:rFonts w:cs="Arial"/>
          <w:sz w:val="20"/>
          <w:lang w:eastAsia="ja-JP"/>
        </w:rPr>
        <w:t xml:space="preserve">by the end of </w:t>
      </w:r>
      <w:r w:rsidR="0013279A">
        <w:rPr>
          <w:rFonts w:cs="Arial"/>
          <w:sz w:val="20"/>
          <w:lang w:eastAsia="ja-JP"/>
        </w:rPr>
        <w:t>May</w:t>
      </w:r>
      <w:r w:rsidR="009C7E7B">
        <w:rPr>
          <w:rFonts w:cs="Arial"/>
          <w:sz w:val="20"/>
          <w:lang w:eastAsia="ja-JP"/>
        </w:rPr>
        <w:t>,</w:t>
      </w:r>
      <w:r w:rsidR="0013279A">
        <w:rPr>
          <w:rFonts w:cs="Arial"/>
          <w:sz w:val="20"/>
          <w:lang w:eastAsia="ja-JP"/>
        </w:rPr>
        <w:t xml:space="preserve"> 2017.</w:t>
      </w:r>
      <w:r w:rsidR="00021C52">
        <w:rPr>
          <w:rFonts w:cs="Arial"/>
          <w:sz w:val="20"/>
          <w:lang w:eastAsia="ja-JP"/>
        </w:rPr>
        <w:t xml:space="preserve">  Both of these A</w:t>
      </w:r>
      <w:r w:rsidR="00021C52" w:rsidRPr="00874D56">
        <w:rPr>
          <w:rFonts w:cs="Arial"/>
          <w:sz w:val="20"/>
          <w:lang w:eastAsia="ja-JP"/>
        </w:rPr>
        <w:t>pplication</w:t>
      </w:r>
      <w:r w:rsidR="00021C52">
        <w:rPr>
          <w:rFonts w:cs="Arial"/>
          <w:sz w:val="20"/>
          <w:lang w:eastAsia="ja-JP"/>
        </w:rPr>
        <w:t>s have been drafted and are in final review.</w:t>
      </w:r>
    </w:p>
    <w:p w:rsidR="00874D56" w:rsidRDefault="00E0796E" w:rsidP="004043E3">
      <w:pPr>
        <w:pStyle w:val="ListParagraph"/>
        <w:numPr>
          <w:ilvl w:val="0"/>
          <w:numId w:val="3"/>
        </w:numPr>
        <w:rPr>
          <w:rFonts w:cs="Arial"/>
          <w:sz w:val="20"/>
          <w:lang w:eastAsia="ja-JP"/>
        </w:rPr>
      </w:pPr>
      <w:r w:rsidRPr="00874D56">
        <w:rPr>
          <w:rFonts w:cs="Arial"/>
          <w:sz w:val="20"/>
          <w:lang w:eastAsia="ja-JP"/>
        </w:rPr>
        <w:t>Agreement on asset values has been reached with Hydro One</w:t>
      </w:r>
      <w:r w:rsidR="009C7E7B">
        <w:rPr>
          <w:rFonts w:cs="Arial"/>
          <w:sz w:val="20"/>
          <w:lang w:eastAsia="ja-JP"/>
        </w:rPr>
        <w:t xml:space="preserve"> Networks Inc.</w:t>
      </w:r>
      <w:r w:rsidRPr="00874D56">
        <w:rPr>
          <w:rFonts w:cs="Arial"/>
          <w:sz w:val="20"/>
          <w:lang w:eastAsia="ja-JP"/>
        </w:rPr>
        <w:t xml:space="preserve"> and Waterloo North Hydro Inc.</w:t>
      </w:r>
    </w:p>
    <w:p w:rsidR="00874D56" w:rsidRDefault="00E0796E" w:rsidP="00874D56">
      <w:pPr>
        <w:pStyle w:val="ListParagraph"/>
        <w:numPr>
          <w:ilvl w:val="0"/>
          <w:numId w:val="3"/>
        </w:numPr>
        <w:ind w:right="458"/>
        <w:rPr>
          <w:rFonts w:cs="Arial"/>
          <w:sz w:val="20"/>
          <w:lang w:eastAsia="ja-JP"/>
        </w:rPr>
      </w:pPr>
      <w:r w:rsidRPr="00874D56">
        <w:rPr>
          <w:rFonts w:cs="Arial"/>
          <w:sz w:val="20"/>
          <w:lang w:eastAsia="ja-JP"/>
        </w:rPr>
        <w:t xml:space="preserve">Energy+ has </w:t>
      </w:r>
      <w:r w:rsidR="009C7E7B">
        <w:rPr>
          <w:rFonts w:cs="Arial"/>
          <w:sz w:val="20"/>
          <w:lang w:eastAsia="ja-JP"/>
        </w:rPr>
        <w:t xml:space="preserve">drafted the </w:t>
      </w:r>
      <w:r w:rsidRPr="00874D56">
        <w:rPr>
          <w:rFonts w:cs="Arial"/>
          <w:sz w:val="20"/>
          <w:lang w:eastAsia="ja-JP"/>
        </w:rPr>
        <w:t xml:space="preserve">letters to </w:t>
      </w:r>
      <w:r w:rsidR="00E522B7">
        <w:rPr>
          <w:rFonts w:cs="Arial"/>
          <w:sz w:val="20"/>
          <w:lang w:eastAsia="ja-JP"/>
        </w:rPr>
        <w:t xml:space="preserve">be sent to </w:t>
      </w:r>
      <w:r w:rsidR="009C7E7B">
        <w:rPr>
          <w:rFonts w:cs="Arial"/>
          <w:sz w:val="20"/>
          <w:lang w:eastAsia="ja-JP"/>
        </w:rPr>
        <w:t xml:space="preserve">all </w:t>
      </w:r>
      <w:r w:rsidRPr="00874D56">
        <w:rPr>
          <w:rFonts w:cs="Arial"/>
          <w:sz w:val="20"/>
          <w:lang w:eastAsia="ja-JP"/>
        </w:rPr>
        <w:t>affected customers.</w:t>
      </w:r>
      <w:r w:rsidR="009C7E7B">
        <w:rPr>
          <w:rFonts w:cs="Arial"/>
          <w:sz w:val="20"/>
          <w:lang w:eastAsia="ja-JP"/>
        </w:rPr>
        <w:t xml:space="preserve">  Letters </w:t>
      </w:r>
      <w:r w:rsidR="008A14A0">
        <w:rPr>
          <w:rFonts w:cs="Arial"/>
          <w:sz w:val="20"/>
          <w:lang w:eastAsia="ja-JP"/>
        </w:rPr>
        <w:t xml:space="preserve">are expected to be sent out </w:t>
      </w:r>
      <w:r w:rsidR="009C7E7B">
        <w:rPr>
          <w:rFonts w:cs="Arial"/>
          <w:sz w:val="20"/>
          <w:lang w:eastAsia="ja-JP"/>
        </w:rPr>
        <w:t>within the next week.</w:t>
      </w:r>
    </w:p>
    <w:p w:rsidR="00874D56" w:rsidRDefault="00E0796E" w:rsidP="00874D56">
      <w:pPr>
        <w:pStyle w:val="ListParagraph"/>
        <w:numPr>
          <w:ilvl w:val="0"/>
          <w:numId w:val="3"/>
        </w:numPr>
        <w:ind w:right="458"/>
        <w:rPr>
          <w:rFonts w:cs="Arial"/>
          <w:sz w:val="20"/>
          <w:lang w:eastAsia="ja-JP"/>
        </w:rPr>
      </w:pPr>
      <w:r w:rsidRPr="00874D56">
        <w:rPr>
          <w:rFonts w:cs="Arial"/>
          <w:sz w:val="20"/>
          <w:lang w:eastAsia="ja-JP"/>
        </w:rPr>
        <w:t xml:space="preserve">A </w:t>
      </w:r>
      <w:r w:rsidR="009C7E7B">
        <w:rPr>
          <w:rFonts w:cs="Arial"/>
          <w:sz w:val="20"/>
          <w:lang w:eastAsia="ja-JP"/>
        </w:rPr>
        <w:t>C</w:t>
      </w:r>
      <w:r w:rsidRPr="00874D56">
        <w:rPr>
          <w:rFonts w:cs="Arial"/>
          <w:sz w:val="20"/>
          <w:lang w:eastAsia="ja-JP"/>
        </w:rPr>
        <w:t xml:space="preserve">ommunication </w:t>
      </w:r>
      <w:r w:rsidR="009C7E7B">
        <w:rPr>
          <w:rFonts w:cs="Arial"/>
          <w:sz w:val="20"/>
          <w:lang w:eastAsia="ja-JP"/>
        </w:rPr>
        <w:t>P</w:t>
      </w:r>
      <w:r w:rsidRPr="00874D56">
        <w:rPr>
          <w:rFonts w:cs="Arial"/>
          <w:sz w:val="20"/>
          <w:lang w:eastAsia="ja-JP"/>
        </w:rPr>
        <w:t>lan is in place to address customer concerns arising from the notifications.</w:t>
      </w:r>
    </w:p>
    <w:p w:rsidR="00E0796E" w:rsidRPr="00874D56" w:rsidRDefault="00E0796E" w:rsidP="00874D56">
      <w:pPr>
        <w:rPr>
          <w:rFonts w:cs="Arial"/>
          <w:sz w:val="20"/>
          <w:lang w:eastAsia="ja-JP"/>
        </w:rPr>
      </w:pPr>
    </w:p>
    <w:p w:rsidR="004043E3" w:rsidRPr="00805F54" w:rsidRDefault="004043E3" w:rsidP="00874D56">
      <w:pPr>
        <w:pStyle w:val="ListParagraph"/>
        <w:rPr>
          <w:rFonts w:cs="Arial"/>
          <w:sz w:val="20"/>
          <w:lang w:eastAsia="ja-JP"/>
        </w:rPr>
      </w:pPr>
    </w:p>
    <w:p w:rsidR="00746080" w:rsidRPr="00EA0919" w:rsidRDefault="00746080">
      <w:pPr>
        <w:rPr>
          <w:rFonts w:cs="Arial"/>
        </w:rPr>
      </w:pPr>
    </w:p>
    <w:sectPr w:rsidR="00746080" w:rsidRPr="00EA0919" w:rsidSect="004043E3">
      <w:pgSz w:w="15840" w:h="12240" w:orient="landscape" w:code="1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D08E6"/>
    <w:multiLevelType w:val="hybridMultilevel"/>
    <w:tmpl w:val="DA1E4EC2"/>
    <w:lvl w:ilvl="0" w:tplc="F40069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0E16"/>
    <w:multiLevelType w:val="hybridMultilevel"/>
    <w:tmpl w:val="86468C0C"/>
    <w:lvl w:ilvl="0" w:tplc="17405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820AD"/>
    <w:multiLevelType w:val="hybridMultilevel"/>
    <w:tmpl w:val="77D49926"/>
    <w:lvl w:ilvl="0" w:tplc="F48AE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E3"/>
    <w:rsid w:val="000030E9"/>
    <w:rsid w:val="00021C52"/>
    <w:rsid w:val="0013279A"/>
    <w:rsid w:val="00294F76"/>
    <w:rsid w:val="003401CE"/>
    <w:rsid w:val="004043E3"/>
    <w:rsid w:val="00412DC6"/>
    <w:rsid w:val="0043408E"/>
    <w:rsid w:val="005D67C0"/>
    <w:rsid w:val="00675922"/>
    <w:rsid w:val="00746080"/>
    <w:rsid w:val="007521FE"/>
    <w:rsid w:val="00805F54"/>
    <w:rsid w:val="00874D56"/>
    <w:rsid w:val="008A14A0"/>
    <w:rsid w:val="008E27AC"/>
    <w:rsid w:val="009C7E7B"/>
    <w:rsid w:val="009E708B"/>
    <w:rsid w:val="009F748F"/>
    <w:rsid w:val="00AA06D9"/>
    <w:rsid w:val="00B07BCF"/>
    <w:rsid w:val="00B25576"/>
    <w:rsid w:val="00BB69D6"/>
    <w:rsid w:val="00E0796E"/>
    <w:rsid w:val="00E522B7"/>
    <w:rsid w:val="00EA0919"/>
    <w:rsid w:val="00F8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482CDE-5A81-4DE8-A3D4-F6DA9AB6A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3E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043E3"/>
    <w:pPr>
      <w:ind w:left="720"/>
    </w:pPr>
  </w:style>
  <w:style w:type="character" w:customStyle="1" w:styleId="ListParagraphChar">
    <w:name w:val="List Paragraph Char"/>
    <w:link w:val="ListParagraph"/>
    <w:uiPriority w:val="34"/>
    <w:rsid w:val="004043E3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OEB</Company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 Lavaee</dc:creator>
  <cp:lastModifiedBy>Patti Eitel</cp:lastModifiedBy>
  <cp:revision>2</cp:revision>
  <dcterms:created xsi:type="dcterms:W3CDTF">2017-05-19T18:35:00Z</dcterms:created>
  <dcterms:modified xsi:type="dcterms:W3CDTF">2017-05-19T18:35:00Z</dcterms:modified>
</cp:coreProperties>
</file>