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CF" w:rsidRPr="00963302" w:rsidRDefault="00722AFA" w:rsidP="00963302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22AFA">
        <w:rPr>
          <w:rFonts w:ascii="Arial" w:hAnsi="Arial" w:cs="Arial"/>
          <w:b/>
          <w:sz w:val="24"/>
          <w:szCs w:val="24"/>
          <w:u w:val="single"/>
        </w:rPr>
        <w:t>Questions in relation to GA Analysis Work Form</w:t>
      </w:r>
    </w:p>
    <w:p w:rsidR="0007239A" w:rsidRPr="00AB5A85" w:rsidRDefault="007511AF" w:rsidP="00AB5A85">
      <w:pPr>
        <w:rPr>
          <w:rFonts w:ascii="Arial" w:hAnsi="Arial" w:cs="Arial"/>
          <w:sz w:val="24"/>
          <w:szCs w:val="24"/>
        </w:rPr>
      </w:pPr>
      <w:r w:rsidRPr="00AB5A85">
        <w:rPr>
          <w:rFonts w:ascii="Arial" w:hAnsi="Arial" w:cs="Arial"/>
          <w:sz w:val="24"/>
          <w:szCs w:val="24"/>
        </w:rPr>
        <w:t>Table in Note 5</w:t>
      </w:r>
    </w:p>
    <w:p w:rsidR="0071540A" w:rsidRDefault="00963302" w:rsidP="0071540A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23410E8F" wp14:editId="3228DBDC">
            <wp:extent cx="5943600" cy="1872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40A" w:rsidRDefault="0071540A" w:rsidP="0071540A">
      <w:pPr>
        <w:pStyle w:val="ListParagraph"/>
        <w:rPr>
          <w:rFonts w:ascii="Arial" w:hAnsi="Arial" w:cs="Arial"/>
          <w:sz w:val="24"/>
          <w:szCs w:val="24"/>
        </w:rPr>
      </w:pPr>
    </w:p>
    <w:p w:rsidR="00AB5A85" w:rsidRPr="00AB5A85" w:rsidRDefault="0071540A" w:rsidP="00AB5A85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AB5A85">
        <w:rPr>
          <w:rFonts w:ascii="Arial" w:hAnsi="Arial" w:cs="Arial"/>
          <w:sz w:val="24"/>
          <w:szCs w:val="24"/>
          <w:u w:val="single"/>
        </w:rPr>
        <w:t>1a and 1b</w:t>
      </w:r>
      <w:r w:rsidRPr="00AB5A85">
        <w:rPr>
          <w:rFonts w:ascii="Arial" w:hAnsi="Arial" w:cs="Arial"/>
          <w:sz w:val="24"/>
          <w:szCs w:val="24"/>
        </w:rPr>
        <w:t xml:space="preserve">: </w:t>
      </w:r>
    </w:p>
    <w:p w:rsidR="007A4D04" w:rsidRPr="00AB5A85" w:rsidRDefault="007A4D04" w:rsidP="00AB5A85">
      <w:pPr>
        <w:pStyle w:val="ListParagraph"/>
        <w:ind w:left="1440"/>
        <w:rPr>
          <w:rFonts w:ascii="Arial" w:hAnsi="Arial" w:cs="Arial"/>
          <w:sz w:val="24"/>
        </w:rPr>
      </w:pPr>
    </w:p>
    <w:p w:rsidR="00AC3A99" w:rsidRPr="000162D6" w:rsidRDefault="00AC3A99" w:rsidP="00AC3A9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In booking expense journal entries for Charge Type 1142 (formerly 142), and Charge Type 148 from the IESO invoice, please confirm which of the following approach is used:</w:t>
      </w:r>
    </w:p>
    <w:p w:rsidR="00AC3A99" w:rsidRDefault="00AC3A99" w:rsidP="00AC3A9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1588. Charge Type 148 is pro-rated based on RPP/non-RPP consumption and then booked into Account 1588 and 1589, respectively</w:t>
      </w:r>
    </w:p>
    <w:p w:rsidR="00AC3A99" w:rsidRDefault="00AC3A99" w:rsidP="00AC3A9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 Charge Type 148 is booked into Account 1589. The portion of Charge Type 1142 equalling RPP-HOEP for RPP consumption is booked into Account 1588. The portion of Charge Type 1142 equalling GA RPP is credited into Account 1589.</w:t>
      </w:r>
    </w:p>
    <w:p w:rsidR="00AC3A99" w:rsidRDefault="00AC3A99" w:rsidP="00AC3A9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 xml:space="preserve"> Another approach.  Please explain this approach in detail.</w:t>
      </w:r>
    </w:p>
    <w:p w:rsidR="008148A0" w:rsidRDefault="008148A0" w:rsidP="008148A0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8148A0">
        <w:rPr>
          <w:rFonts w:ascii="Arial" w:hAnsi="Arial" w:cs="Arial"/>
          <w:color w:val="FF0000"/>
          <w:sz w:val="24"/>
          <w:szCs w:val="24"/>
        </w:rPr>
        <w:t>Charge type 1142 (previously 142) on the IESO invoice relates to the final RPP settlement and TOU/RPP settlement true-ups between what was submitted on the 4th business day of the month and the actual billings.  This amount is coded to a balance sheet clearing account as the entries to accrue these items has already occurred prior to the IESO invoice posting.  RPP final settlement never affected 1588 as this was a pass through to the customer – whatever we billed the customer we recovered from the IESO the following month.  The TOU/RPP settlement is accrued to 1588 at the time of the true up calculation.  Line 148 is  pro-rated based on RPP/non-RPP consumption to 4705 and 4707 and then booked into Account 1588 and 1589, respectively</w:t>
      </w:r>
    </w:p>
    <w:p w:rsidR="00AC3A99" w:rsidRDefault="00AC3A99" w:rsidP="00AC3A99">
      <w:pPr>
        <w:pStyle w:val="ListParagraph"/>
        <w:rPr>
          <w:rFonts w:ascii="Arial" w:hAnsi="Arial" w:cs="Arial"/>
          <w:sz w:val="24"/>
          <w:szCs w:val="24"/>
        </w:rPr>
      </w:pPr>
    </w:p>
    <w:p w:rsidR="00AC3A99" w:rsidRDefault="00AC3A99" w:rsidP="00AC3A9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With regards to the D</w:t>
      </w:r>
      <w:r>
        <w:rPr>
          <w:rFonts w:ascii="Arial" w:hAnsi="Arial" w:cs="Arial"/>
          <w:sz w:val="24"/>
          <w:szCs w:val="24"/>
        </w:rPr>
        <w:t>ec. 31 balance in Account 1589,</w:t>
      </w:r>
    </w:p>
    <w:p w:rsidR="00AC3A99" w:rsidRDefault="00AC3A99" w:rsidP="00AC3A99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1B35AC">
        <w:rPr>
          <w:rFonts w:ascii="Arial" w:hAnsi="Arial" w:cs="Arial"/>
          <w:sz w:val="24"/>
          <w:szCs w:val="24"/>
        </w:rPr>
        <w:t>lease indicate whether the following items that flow into the account is based on estimates/accruals or a</w:t>
      </w:r>
      <w:r>
        <w:rPr>
          <w:rFonts w:ascii="Arial" w:hAnsi="Arial" w:cs="Arial"/>
          <w:sz w:val="24"/>
          <w:szCs w:val="24"/>
        </w:rPr>
        <w:t xml:space="preserve">ctuals at year end. </w:t>
      </w:r>
    </w:p>
    <w:p w:rsidR="00AC3A99" w:rsidRPr="00CA78F5" w:rsidRDefault="00AC3A99" w:rsidP="00AC3A99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sz w:val="24"/>
          <w:szCs w:val="24"/>
        </w:rPr>
      </w:pPr>
      <w:r w:rsidRPr="00CA78F5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there are </w:t>
      </w:r>
      <w:r w:rsidRPr="00CA78F5">
        <w:rPr>
          <w:rFonts w:ascii="Arial" w:hAnsi="Arial" w:cs="Arial"/>
          <w:sz w:val="24"/>
          <w:szCs w:val="24"/>
        </w:rPr>
        <w:t>reconciling item</w:t>
      </w:r>
      <w:r>
        <w:rPr>
          <w:rFonts w:ascii="Arial" w:hAnsi="Arial" w:cs="Arial"/>
          <w:sz w:val="24"/>
          <w:szCs w:val="24"/>
        </w:rPr>
        <w:t>s</w:t>
      </w:r>
      <w:r w:rsidRPr="00CA78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#1a, 1b in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or if</w:t>
      </w:r>
      <w:r w:rsidRPr="0067142E">
        <w:rPr>
          <w:rFonts w:ascii="Arial" w:hAnsi="Arial" w:cs="Arial"/>
          <w:sz w:val="24"/>
          <w:szCs w:val="24"/>
        </w:rPr>
        <w:t xml:space="preserve"> </w:t>
      </w:r>
      <w:r w:rsidRPr="00CA78F5">
        <w:rPr>
          <w:rFonts w:ascii="Arial" w:hAnsi="Arial" w:cs="Arial"/>
          <w:sz w:val="24"/>
          <w:szCs w:val="24"/>
        </w:rPr>
        <w:t>there are any proposed adjustments</w:t>
      </w:r>
      <w:r>
        <w:rPr>
          <w:rFonts w:ascii="Arial" w:hAnsi="Arial" w:cs="Arial"/>
          <w:sz w:val="24"/>
          <w:szCs w:val="24"/>
        </w:rPr>
        <w:t xml:space="preserve"> to Account 1589 </w:t>
      </w:r>
      <w:r w:rsidRPr="00CA78F5">
        <w:rPr>
          <w:rFonts w:ascii="Arial" w:hAnsi="Arial" w:cs="Arial"/>
          <w:sz w:val="24"/>
          <w:szCs w:val="24"/>
        </w:rPr>
        <w:t xml:space="preserve"> in the DVA Continuity Schedule </w:t>
      </w:r>
      <w:r>
        <w:rPr>
          <w:rFonts w:ascii="Arial" w:hAnsi="Arial" w:cs="Arial"/>
          <w:sz w:val="24"/>
          <w:szCs w:val="24"/>
        </w:rPr>
        <w:t>for the true up impacts</w:t>
      </w:r>
      <w:r w:rsidRPr="00CA78F5">
        <w:rPr>
          <w:rFonts w:ascii="Arial" w:hAnsi="Arial" w:cs="Arial"/>
          <w:sz w:val="24"/>
          <w:szCs w:val="24"/>
        </w:rPr>
        <w:t>, please quantify the adjustment that relate to each of the following items.</w:t>
      </w:r>
    </w:p>
    <w:p w:rsidR="00AC3A99" w:rsidRDefault="00AC3A99" w:rsidP="00AC3A9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 xml:space="preserve">Revenues (i.e. is unbilled revenues trued up) </w:t>
      </w:r>
    </w:p>
    <w:p w:rsidR="001A6E1E" w:rsidRDefault="001A6E1E" w:rsidP="001A6E1E">
      <w:pPr>
        <w:pStyle w:val="ListParagraph"/>
        <w:numPr>
          <w:ilvl w:val="1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Unbilled revenue is accrued for the appropriate month based on actual billing occurring in the subsequent month(s).  There are no reconciling items in the GA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workform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related to unbilled revenue.</w:t>
      </w:r>
    </w:p>
    <w:p w:rsidR="00E04D06" w:rsidRPr="001A6E1E" w:rsidRDefault="00E04D06" w:rsidP="001A6E1E">
      <w:pPr>
        <w:pStyle w:val="ListParagraph"/>
        <w:numPr>
          <w:ilvl w:val="1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Item 7 represents the variance between the loss factor used for billing and the calculated actual loss factor for the year. </w:t>
      </w:r>
    </w:p>
    <w:p w:rsidR="00AC3A99" w:rsidRDefault="00AC3A99" w:rsidP="00AC3A9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Expenses - GA non-RPP (Charge Type 148) with respect to the quantum dollar amount</w:t>
      </w:r>
      <w:r>
        <w:rPr>
          <w:rFonts w:ascii="Arial" w:hAnsi="Arial" w:cs="Arial"/>
          <w:sz w:val="24"/>
          <w:szCs w:val="24"/>
        </w:rPr>
        <w:t xml:space="preserve"> and </w:t>
      </w:r>
      <w:r w:rsidRPr="0067142E">
        <w:rPr>
          <w:rFonts w:ascii="Arial" w:hAnsi="Arial" w:cs="Arial"/>
          <w:sz w:val="24"/>
          <w:szCs w:val="24"/>
        </w:rPr>
        <w:t>RPP/non-RPP pro-ration percentages</w:t>
      </w:r>
    </w:p>
    <w:p w:rsidR="00E04D06" w:rsidRDefault="008148A0" w:rsidP="008148A0">
      <w:pPr>
        <w:pStyle w:val="ListParagraph"/>
        <w:numPr>
          <w:ilvl w:val="1"/>
          <w:numId w:val="9"/>
        </w:numPr>
        <w:rPr>
          <w:rFonts w:ascii="Arial" w:hAnsi="Arial" w:cs="Arial"/>
          <w:color w:val="FF0000"/>
          <w:sz w:val="24"/>
          <w:szCs w:val="24"/>
        </w:rPr>
      </w:pPr>
      <w:r w:rsidRPr="001A6E1E">
        <w:rPr>
          <w:rFonts w:ascii="Arial" w:hAnsi="Arial" w:cs="Arial"/>
          <w:color w:val="FF0000"/>
          <w:sz w:val="24"/>
          <w:szCs w:val="24"/>
        </w:rPr>
        <w:t>Reconciling item</w:t>
      </w:r>
      <w:r w:rsidR="001A6E1E" w:rsidRPr="001A6E1E">
        <w:rPr>
          <w:rFonts w:ascii="Arial" w:hAnsi="Arial" w:cs="Arial"/>
          <w:color w:val="FF0000"/>
          <w:sz w:val="24"/>
          <w:szCs w:val="24"/>
        </w:rPr>
        <w:t>s</w:t>
      </w:r>
      <w:r w:rsidRPr="001A6E1E">
        <w:rPr>
          <w:rFonts w:ascii="Arial" w:hAnsi="Arial" w:cs="Arial"/>
          <w:color w:val="FF0000"/>
          <w:sz w:val="24"/>
          <w:szCs w:val="24"/>
        </w:rPr>
        <w:t xml:space="preserve"> 1a</w:t>
      </w:r>
      <w:r w:rsidR="001A6E1E" w:rsidRPr="001A6E1E">
        <w:rPr>
          <w:rFonts w:ascii="Arial" w:hAnsi="Arial" w:cs="Arial"/>
          <w:color w:val="FF0000"/>
          <w:sz w:val="24"/>
          <w:szCs w:val="24"/>
        </w:rPr>
        <w:t xml:space="preserve"> and 1b</w:t>
      </w:r>
      <w:r w:rsidRPr="001A6E1E">
        <w:rPr>
          <w:rFonts w:ascii="Arial" w:hAnsi="Arial" w:cs="Arial"/>
          <w:color w:val="FF0000"/>
          <w:sz w:val="24"/>
          <w:szCs w:val="24"/>
        </w:rPr>
        <w:t xml:space="preserve"> on the GA </w:t>
      </w:r>
      <w:proofErr w:type="spellStart"/>
      <w:r w:rsidRPr="001A6E1E">
        <w:rPr>
          <w:rFonts w:ascii="Arial" w:hAnsi="Arial" w:cs="Arial"/>
          <w:color w:val="FF0000"/>
          <w:sz w:val="24"/>
          <w:szCs w:val="24"/>
        </w:rPr>
        <w:t>workform</w:t>
      </w:r>
      <w:proofErr w:type="spellEnd"/>
      <w:r w:rsidR="001A6E1E" w:rsidRPr="001A6E1E">
        <w:rPr>
          <w:rFonts w:ascii="Arial" w:hAnsi="Arial" w:cs="Arial"/>
          <w:color w:val="FF0000"/>
          <w:sz w:val="24"/>
          <w:szCs w:val="24"/>
        </w:rPr>
        <w:t xml:space="preserve"> are true-up</w:t>
      </w:r>
      <w:r w:rsidR="001A6E1E">
        <w:rPr>
          <w:rFonts w:ascii="Arial" w:hAnsi="Arial" w:cs="Arial"/>
          <w:color w:val="FF0000"/>
          <w:sz w:val="24"/>
          <w:szCs w:val="24"/>
        </w:rPr>
        <w:t xml:space="preserve">s related to the split between RPP and non-RPP.  </w:t>
      </w:r>
    </w:p>
    <w:p w:rsidR="00E04D06" w:rsidRDefault="00E04D06" w:rsidP="008148A0">
      <w:pPr>
        <w:pStyle w:val="ListParagraph"/>
        <w:numPr>
          <w:ilvl w:val="1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</w:t>
      </w:r>
      <w:r w:rsidR="001A6E1E">
        <w:rPr>
          <w:rFonts w:ascii="Arial" w:hAnsi="Arial" w:cs="Arial"/>
          <w:color w:val="FF0000"/>
          <w:sz w:val="24"/>
          <w:szCs w:val="24"/>
        </w:rPr>
        <w:t xml:space="preserve">tem 1a is related to the prior </w:t>
      </w:r>
      <w:r w:rsidR="00BE7496">
        <w:rPr>
          <w:rFonts w:ascii="Arial" w:hAnsi="Arial" w:cs="Arial"/>
          <w:color w:val="FF0000"/>
          <w:sz w:val="24"/>
          <w:szCs w:val="24"/>
        </w:rPr>
        <w:t>year (2015), which was</w:t>
      </w:r>
      <w:r w:rsidR="001A6E1E">
        <w:rPr>
          <w:rFonts w:ascii="Arial" w:hAnsi="Arial" w:cs="Arial"/>
          <w:color w:val="FF0000"/>
          <w:sz w:val="24"/>
          <w:szCs w:val="24"/>
        </w:rPr>
        <w:t xml:space="preserve"> actually booked in 2016.  </w:t>
      </w:r>
    </w:p>
    <w:p w:rsidR="008148A0" w:rsidRDefault="001A6E1E" w:rsidP="008148A0">
      <w:pPr>
        <w:pStyle w:val="ListParagraph"/>
        <w:numPr>
          <w:ilvl w:val="1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Item 1b represent the final true-up for 2016 and is quite small as the majority of the true-up was accrued in 2016. This small amount has been booke</w:t>
      </w:r>
      <w:r w:rsidR="006460FB">
        <w:rPr>
          <w:rFonts w:ascii="Arial" w:hAnsi="Arial" w:cs="Arial"/>
          <w:color w:val="FF0000"/>
          <w:sz w:val="24"/>
          <w:szCs w:val="24"/>
        </w:rPr>
        <w:t>d in the 2017 financial records but has been reflected in the DVA continuity schedule submitted with the application.</w:t>
      </w:r>
    </w:p>
    <w:p w:rsidR="00E04D06" w:rsidRPr="001A6E1E" w:rsidRDefault="00E04D06" w:rsidP="008148A0">
      <w:pPr>
        <w:pStyle w:val="ListParagraph"/>
        <w:numPr>
          <w:ilvl w:val="1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Item 8 represents and adjusted required between account 1588 and 1589. </w:t>
      </w:r>
    </w:p>
    <w:p w:rsidR="00AC3A99" w:rsidRDefault="00AC3A99" w:rsidP="00AC3A9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B35AC">
        <w:rPr>
          <w:rFonts w:ascii="Arial" w:hAnsi="Arial" w:cs="Arial"/>
          <w:sz w:val="24"/>
          <w:szCs w:val="24"/>
        </w:rPr>
        <w:t>Credit of GA RPP (Charge Type 142) if the approach under IR 1b is used</w:t>
      </w:r>
    </w:p>
    <w:p w:rsidR="001A6E1E" w:rsidRPr="001A6E1E" w:rsidRDefault="001A6E1E" w:rsidP="001A6E1E">
      <w:pPr>
        <w:pStyle w:val="ListParagraph"/>
        <w:numPr>
          <w:ilvl w:val="1"/>
          <w:numId w:val="9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Not applicable</w:t>
      </w:r>
    </w:p>
    <w:p w:rsidR="0071540A" w:rsidRPr="0071540A" w:rsidRDefault="0071540A" w:rsidP="0071540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511AF" w:rsidRDefault="007511AF" w:rsidP="007511A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B5A85">
        <w:rPr>
          <w:rFonts w:ascii="Arial" w:hAnsi="Arial" w:cs="Arial"/>
          <w:sz w:val="24"/>
          <w:szCs w:val="24"/>
          <w:u w:val="single"/>
        </w:rPr>
        <w:t>2a and 2b</w:t>
      </w:r>
      <w:r w:rsidRPr="00AB5A85">
        <w:rPr>
          <w:rFonts w:ascii="Arial" w:hAnsi="Arial" w:cs="Arial"/>
          <w:sz w:val="24"/>
          <w:szCs w:val="24"/>
        </w:rPr>
        <w:t xml:space="preserve">: </w:t>
      </w:r>
      <w:r w:rsidR="00963302" w:rsidRPr="00AB5A85">
        <w:rPr>
          <w:rFonts w:ascii="Arial" w:hAnsi="Arial" w:cs="Arial"/>
          <w:sz w:val="24"/>
          <w:szCs w:val="24"/>
        </w:rPr>
        <w:t>Please note that in these two cells, the difference between unbilled and actual billed should be entered (not the total unbilled).</w:t>
      </w:r>
      <w:r w:rsidR="002A49A2" w:rsidRPr="00AB5A85">
        <w:rPr>
          <w:rFonts w:ascii="Arial" w:hAnsi="Arial" w:cs="Arial"/>
          <w:sz w:val="24"/>
          <w:szCs w:val="24"/>
        </w:rPr>
        <w:t xml:space="preserve"> Please provide the total unbilled amounts at the end of 2015 and 201</w:t>
      </w:r>
      <w:r w:rsidR="005C4D2E">
        <w:rPr>
          <w:rFonts w:ascii="Arial" w:hAnsi="Arial" w:cs="Arial"/>
          <w:sz w:val="24"/>
          <w:szCs w:val="24"/>
        </w:rPr>
        <w:t>6, and the actual billed amounts corresponding to the unbilled amounts</w:t>
      </w:r>
      <w:r w:rsidR="002A49A2" w:rsidRPr="00AB5A85">
        <w:rPr>
          <w:rFonts w:ascii="Arial" w:hAnsi="Arial" w:cs="Arial"/>
          <w:sz w:val="24"/>
          <w:szCs w:val="24"/>
        </w:rPr>
        <w:t>.</w:t>
      </w:r>
      <w:r w:rsidR="00963302" w:rsidRPr="00AB5A85">
        <w:rPr>
          <w:rFonts w:ascii="Arial" w:hAnsi="Arial" w:cs="Arial"/>
          <w:sz w:val="24"/>
          <w:szCs w:val="24"/>
        </w:rPr>
        <w:t xml:space="preserve"> Please update the work form if needed.</w:t>
      </w:r>
    </w:p>
    <w:p w:rsidR="00BE7496" w:rsidRDefault="00A81306" w:rsidP="00BE7496">
      <w:pPr>
        <w:pStyle w:val="ListParagraph"/>
        <w:numPr>
          <w:ilvl w:val="1"/>
          <w:numId w:val="6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BPI uses the actual billing information in order to accrue unbilled revenue in the appropriate month in order to ensure a good cut-off.  Therefore, there is no variance between the accrual and the actual.  BPI has adjusted the amounts in 2a and 2b to reflect this</w:t>
      </w:r>
    </w:p>
    <w:p w:rsidR="00C02DA9" w:rsidRPr="00BE7496" w:rsidRDefault="00C02DA9" w:rsidP="00BE7496">
      <w:pPr>
        <w:pStyle w:val="ListParagraph"/>
        <w:numPr>
          <w:ilvl w:val="1"/>
          <w:numId w:val="6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Please note that in the process of investigating the remaining variance BPI has made some adjustments to the consumption data in tab for note 4.</w:t>
      </w:r>
    </w:p>
    <w:sectPr w:rsidR="00C02DA9" w:rsidRPr="00BE7496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CAD"/>
    <w:multiLevelType w:val="hybridMultilevel"/>
    <w:tmpl w:val="62E456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15706"/>
    <w:multiLevelType w:val="hybridMultilevel"/>
    <w:tmpl w:val="7562C4D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5E0285"/>
    <w:multiLevelType w:val="hybridMultilevel"/>
    <w:tmpl w:val="959E781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11984"/>
    <w:multiLevelType w:val="hybridMultilevel"/>
    <w:tmpl w:val="41081B8E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8EF01AD"/>
    <w:multiLevelType w:val="hybridMultilevel"/>
    <w:tmpl w:val="11C2A5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E0327"/>
    <w:multiLevelType w:val="hybridMultilevel"/>
    <w:tmpl w:val="DF706F5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F31280"/>
    <w:multiLevelType w:val="hybridMultilevel"/>
    <w:tmpl w:val="1684146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961362"/>
    <w:multiLevelType w:val="hybridMultilevel"/>
    <w:tmpl w:val="8DBE4C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33"/>
    <w:rsid w:val="0007239A"/>
    <w:rsid w:val="00166844"/>
    <w:rsid w:val="001A6E1E"/>
    <w:rsid w:val="002A49A2"/>
    <w:rsid w:val="003D0C39"/>
    <w:rsid w:val="00412DC6"/>
    <w:rsid w:val="005255FC"/>
    <w:rsid w:val="005C4D2E"/>
    <w:rsid w:val="00602DF6"/>
    <w:rsid w:val="006460FB"/>
    <w:rsid w:val="0071540A"/>
    <w:rsid w:val="00722AFA"/>
    <w:rsid w:val="00746080"/>
    <w:rsid w:val="007511AF"/>
    <w:rsid w:val="007A4D04"/>
    <w:rsid w:val="008148A0"/>
    <w:rsid w:val="00963302"/>
    <w:rsid w:val="00A81306"/>
    <w:rsid w:val="00AA06D9"/>
    <w:rsid w:val="00AB5A85"/>
    <w:rsid w:val="00AC22CF"/>
    <w:rsid w:val="00AC3A99"/>
    <w:rsid w:val="00B25576"/>
    <w:rsid w:val="00BE7496"/>
    <w:rsid w:val="00C02DA9"/>
    <w:rsid w:val="00CE50F4"/>
    <w:rsid w:val="00E04D06"/>
    <w:rsid w:val="00E63633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A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A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Wang</dc:creator>
  <cp:lastModifiedBy>Katherine Wang</cp:lastModifiedBy>
  <cp:revision>2</cp:revision>
  <dcterms:created xsi:type="dcterms:W3CDTF">2017-09-15T20:49:00Z</dcterms:created>
  <dcterms:modified xsi:type="dcterms:W3CDTF">2017-09-15T20:49:00Z</dcterms:modified>
</cp:coreProperties>
</file>