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CF" w:rsidRPr="00963302" w:rsidRDefault="00722AFA" w:rsidP="00963302">
      <w:pPr>
        <w:rPr>
          <w:rFonts w:ascii="Arial" w:hAnsi="Arial" w:cs="Arial"/>
          <w:b/>
          <w:sz w:val="24"/>
          <w:szCs w:val="24"/>
          <w:u w:val="single"/>
        </w:rPr>
      </w:pPr>
      <w:r w:rsidRPr="00722AFA">
        <w:rPr>
          <w:rFonts w:ascii="Arial" w:hAnsi="Arial" w:cs="Arial"/>
          <w:b/>
          <w:sz w:val="24"/>
          <w:szCs w:val="24"/>
          <w:u w:val="single"/>
        </w:rPr>
        <w:t>Questions in relation to GA Analysis Work Form</w:t>
      </w:r>
    </w:p>
    <w:p w:rsidR="0007239A" w:rsidRPr="00AB5A85" w:rsidRDefault="007511AF" w:rsidP="00AB5A85">
      <w:pPr>
        <w:rPr>
          <w:rFonts w:ascii="Arial" w:hAnsi="Arial" w:cs="Arial"/>
          <w:sz w:val="24"/>
          <w:szCs w:val="24"/>
        </w:rPr>
      </w:pPr>
      <w:r w:rsidRPr="00AB5A85">
        <w:rPr>
          <w:rFonts w:ascii="Arial" w:hAnsi="Arial" w:cs="Arial"/>
          <w:sz w:val="24"/>
          <w:szCs w:val="24"/>
        </w:rPr>
        <w:t>Table in Note 5</w:t>
      </w:r>
    </w:p>
    <w:p w:rsidR="0071540A" w:rsidRDefault="00963302" w:rsidP="0071540A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23410E8F" wp14:editId="3228DBDC">
            <wp:extent cx="5943600" cy="1872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40A" w:rsidRDefault="0071540A" w:rsidP="0071540A">
      <w:pPr>
        <w:pStyle w:val="ListParagraph"/>
        <w:rPr>
          <w:rFonts w:ascii="Arial" w:hAnsi="Arial" w:cs="Arial"/>
          <w:sz w:val="24"/>
          <w:szCs w:val="24"/>
        </w:rPr>
      </w:pPr>
    </w:p>
    <w:p w:rsidR="00AB5A85" w:rsidRPr="00AB5A85" w:rsidRDefault="0071540A" w:rsidP="00AB5A85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AB5A85">
        <w:rPr>
          <w:rFonts w:ascii="Arial" w:hAnsi="Arial" w:cs="Arial"/>
          <w:sz w:val="24"/>
          <w:szCs w:val="24"/>
          <w:u w:val="single"/>
        </w:rPr>
        <w:t>1a and 1b</w:t>
      </w:r>
      <w:r w:rsidRPr="00AB5A85">
        <w:rPr>
          <w:rFonts w:ascii="Arial" w:hAnsi="Arial" w:cs="Arial"/>
          <w:sz w:val="24"/>
          <w:szCs w:val="24"/>
        </w:rPr>
        <w:t xml:space="preserve">: </w:t>
      </w:r>
    </w:p>
    <w:p w:rsidR="007A4D04" w:rsidRPr="00AB5A85" w:rsidRDefault="007A4D04" w:rsidP="00AB5A85">
      <w:pPr>
        <w:pStyle w:val="ListParagraph"/>
        <w:ind w:left="1440"/>
        <w:rPr>
          <w:rFonts w:ascii="Arial" w:hAnsi="Arial" w:cs="Arial"/>
          <w:sz w:val="24"/>
        </w:rPr>
      </w:pPr>
    </w:p>
    <w:p w:rsidR="00AC3A99" w:rsidRPr="000162D6" w:rsidRDefault="00AC3A99" w:rsidP="00AC3A9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In booking expense journal entries for Charge Type 1142 (formerly 142), and Charge Type 148 from the IESO invoice, please confirm which of the following approach is used:</w:t>
      </w:r>
    </w:p>
    <w:p w:rsidR="00AC3A99" w:rsidRDefault="00AC3A99" w:rsidP="00AC3A9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Charge Type 1142 is booked into Account 1588. Charge Type 148 is pro-rated based on RPP/non-RPP consumption and then booked into Account 1588 and 1589, respectively</w:t>
      </w:r>
    </w:p>
    <w:p w:rsidR="00AC3A99" w:rsidRDefault="00AC3A99" w:rsidP="00AC3A9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 xml:space="preserve"> Charge Type 148 is booked into Account 1589. The portion of Charge Type 1142 equalling RPP-HOEP for RPP consumption is booked into Account 1588. The portion of Charge Type 1142 equalling GA RPP is credited into Account 1589.</w:t>
      </w:r>
    </w:p>
    <w:p w:rsidR="00AC3A99" w:rsidRDefault="00AC3A99" w:rsidP="00AC3A9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 xml:space="preserve"> A</w:t>
      </w:r>
      <w:bookmarkStart w:id="0" w:name="_GoBack"/>
      <w:bookmarkEnd w:id="0"/>
      <w:r w:rsidRPr="000162D6">
        <w:rPr>
          <w:rFonts w:ascii="Arial" w:hAnsi="Arial" w:cs="Arial"/>
          <w:sz w:val="24"/>
          <w:szCs w:val="24"/>
        </w:rPr>
        <w:t>nother approach.  Please explain this approach in detail.</w:t>
      </w:r>
    </w:p>
    <w:p w:rsidR="00AC3A99" w:rsidRDefault="00AC3A99" w:rsidP="00AC3A99">
      <w:pPr>
        <w:pStyle w:val="ListParagraph"/>
        <w:rPr>
          <w:rFonts w:ascii="Arial" w:hAnsi="Arial" w:cs="Arial"/>
          <w:sz w:val="24"/>
          <w:szCs w:val="24"/>
        </w:rPr>
      </w:pPr>
    </w:p>
    <w:p w:rsidR="00AC3A99" w:rsidRDefault="00AC3A99" w:rsidP="00AC3A9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B35AC">
        <w:rPr>
          <w:rFonts w:ascii="Arial" w:hAnsi="Arial" w:cs="Arial"/>
          <w:sz w:val="24"/>
          <w:szCs w:val="24"/>
        </w:rPr>
        <w:t>With regards to the D</w:t>
      </w:r>
      <w:r>
        <w:rPr>
          <w:rFonts w:ascii="Arial" w:hAnsi="Arial" w:cs="Arial"/>
          <w:sz w:val="24"/>
          <w:szCs w:val="24"/>
        </w:rPr>
        <w:t>ec. 31 balance in Account 1589,</w:t>
      </w:r>
    </w:p>
    <w:p w:rsidR="00AC3A99" w:rsidRDefault="00AC3A99" w:rsidP="00AC3A99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B35AC">
        <w:rPr>
          <w:rFonts w:ascii="Arial" w:hAnsi="Arial" w:cs="Arial"/>
          <w:sz w:val="24"/>
          <w:szCs w:val="24"/>
        </w:rPr>
        <w:t>lease indicate whether the following items that flow into the account is based on estimates/accruals or a</w:t>
      </w:r>
      <w:r>
        <w:rPr>
          <w:rFonts w:ascii="Arial" w:hAnsi="Arial" w:cs="Arial"/>
          <w:sz w:val="24"/>
          <w:szCs w:val="24"/>
        </w:rPr>
        <w:t xml:space="preserve">ctuals at year end. </w:t>
      </w:r>
    </w:p>
    <w:p w:rsidR="00AC3A99" w:rsidRPr="00CA78F5" w:rsidRDefault="00AC3A99" w:rsidP="00AC3A99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sz w:val="24"/>
          <w:szCs w:val="24"/>
        </w:rPr>
      </w:pPr>
      <w:r w:rsidRPr="00CA78F5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there are </w:t>
      </w:r>
      <w:r w:rsidRPr="00CA78F5">
        <w:rPr>
          <w:rFonts w:ascii="Arial" w:hAnsi="Arial" w:cs="Arial"/>
          <w:sz w:val="24"/>
          <w:szCs w:val="24"/>
        </w:rPr>
        <w:t>reconciling item</w:t>
      </w:r>
      <w:r>
        <w:rPr>
          <w:rFonts w:ascii="Arial" w:hAnsi="Arial" w:cs="Arial"/>
          <w:sz w:val="24"/>
          <w:szCs w:val="24"/>
        </w:rPr>
        <w:t>s</w:t>
      </w:r>
      <w:r w:rsidRPr="00CA78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#1a, 1b in the GA Analysis </w:t>
      </w:r>
      <w:proofErr w:type="spellStart"/>
      <w:r>
        <w:rPr>
          <w:rFonts w:ascii="Arial" w:hAnsi="Arial" w:cs="Arial"/>
          <w:sz w:val="24"/>
          <w:szCs w:val="24"/>
        </w:rPr>
        <w:t>Workform</w:t>
      </w:r>
      <w:proofErr w:type="spellEnd"/>
      <w:r>
        <w:rPr>
          <w:rFonts w:ascii="Arial" w:hAnsi="Arial" w:cs="Arial"/>
          <w:sz w:val="24"/>
          <w:szCs w:val="24"/>
        </w:rPr>
        <w:t xml:space="preserve"> or if</w:t>
      </w:r>
      <w:r w:rsidRPr="0067142E">
        <w:rPr>
          <w:rFonts w:ascii="Arial" w:hAnsi="Arial" w:cs="Arial"/>
          <w:sz w:val="24"/>
          <w:szCs w:val="24"/>
        </w:rPr>
        <w:t xml:space="preserve"> </w:t>
      </w:r>
      <w:r w:rsidRPr="00CA78F5">
        <w:rPr>
          <w:rFonts w:ascii="Arial" w:hAnsi="Arial" w:cs="Arial"/>
          <w:sz w:val="24"/>
          <w:szCs w:val="24"/>
        </w:rPr>
        <w:t>there are any proposed adjustments</w:t>
      </w:r>
      <w:r>
        <w:rPr>
          <w:rFonts w:ascii="Arial" w:hAnsi="Arial" w:cs="Arial"/>
          <w:sz w:val="24"/>
          <w:szCs w:val="24"/>
        </w:rPr>
        <w:t xml:space="preserve"> to Account 1589 </w:t>
      </w:r>
      <w:r w:rsidRPr="00CA78F5">
        <w:rPr>
          <w:rFonts w:ascii="Arial" w:hAnsi="Arial" w:cs="Arial"/>
          <w:sz w:val="24"/>
          <w:szCs w:val="24"/>
        </w:rPr>
        <w:t xml:space="preserve"> in the DVA Continuity Schedule </w:t>
      </w:r>
      <w:r>
        <w:rPr>
          <w:rFonts w:ascii="Arial" w:hAnsi="Arial" w:cs="Arial"/>
          <w:sz w:val="24"/>
          <w:szCs w:val="24"/>
        </w:rPr>
        <w:t>for the true up impacts</w:t>
      </w:r>
      <w:r w:rsidRPr="00CA78F5">
        <w:rPr>
          <w:rFonts w:ascii="Arial" w:hAnsi="Arial" w:cs="Arial"/>
          <w:sz w:val="24"/>
          <w:szCs w:val="24"/>
        </w:rPr>
        <w:t>, please quantify the adjustment that relate to each of the following items.</w:t>
      </w:r>
    </w:p>
    <w:p w:rsidR="00AC3A99" w:rsidRDefault="00AC3A99" w:rsidP="00AC3A9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B35AC">
        <w:rPr>
          <w:rFonts w:ascii="Arial" w:hAnsi="Arial" w:cs="Arial"/>
          <w:sz w:val="24"/>
          <w:szCs w:val="24"/>
        </w:rPr>
        <w:t xml:space="preserve">Revenues (i.e. is unbilled revenues trued up) </w:t>
      </w:r>
    </w:p>
    <w:p w:rsidR="00AC3A99" w:rsidRPr="0067142E" w:rsidRDefault="00AC3A99" w:rsidP="00AC3A9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B35AC">
        <w:rPr>
          <w:rFonts w:ascii="Arial" w:hAnsi="Arial" w:cs="Arial"/>
          <w:sz w:val="24"/>
          <w:szCs w:val="24"/>
        </w:rPr>
        <w:t>Expenses - GA non-RPP (Charge Type 148) with respect to the quantum dollar amount</w:t>
      </w:r>
      <w:r>
        <w:rPr>
          <w:rFonts w:ascii="Arial" w:hAnsi="Arial" w:cs="Arial"/>
          <w:sz w:val="24"/>
          <w:szCs w:val="24"/>
        </w:rPr>
        <w:t xml:space="preserve"> and </w:t>
      </w:r>
      <w:r w:rsidRPr="0067142E">
        <w:rPr>
          <w:rFonts w:ascii="Arial" w:hAnsi="Arial" w:cs="Arial"/>
          <w:sz w:val="24"/>
          <w:szCs w:val="24"/>
        </w:rPr>
        <w:t>RPP/non-RPP pro-ration percentages</w:t>
      </w:r>
    </w:p>
    <w:p w:rsidR="00AC3A99" w:rsidRDefault="00AC3A99" w:rsidP="00AC3A9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B35AC">
        <w:rPr>
          <w:rFonts w:ascii="Arial" w:hAnsi="Arial" w:cs="Arial"/>
          <w:sz w:val="24"/>
          <w:szCs w:val="24"/>
        </w:rPr>
        <w:t>Credit of GA RPP (Charge Type 142) if the approach under IR 1b is used</w:t>
      </w:r>
    </w:p>
    <w:p w:rsidR="0071540A" w:rsidRPr="0071540A" w:rsidRDefault="0071540A" w:rsidP="0071540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7511AF" w:rsidRPr="005C4D2E" w:rsidRDefault="007511AF" w:rsidP="007511A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B5A85">
        <w:rPr>
          <w:rFonts w:ascii="Arial" w:hAnsi="Arial" w:cs="Arial"/>
          <w:sz w:val="24"/>
          <w:szCs w:val="24"/>
          <w:u w:val="single"/>
        </w:rPr>
        <w:lastRenderedPageBreak/>
        <w:t>2a and 2b</w:t>
      </w:r>
      <w:r w:rsidRPr="00AB5A85">
        <w:rPr>
          <w:rFonts w:ascii="Arial" w:hAnsi="Arial" w:cs="Arial"/>
          <w:sz w:val="24"/>
          <w:szCs w:val="24"/>
        </w:rPr>
        <w:t xml:space="preserve">: </w:t>
      </w:r>
      <w:r w:rsidR="00963302" w:rsidRPr="00AB5A85">
        <w:rPr>
          <w:rFonts w:ascii="Arial" w:hAnsi="Arial" w:cs="Arial"/>
          <w:sz w:val="24"/>
          <w:szCs w:val="24"/>
        </w:rPr>
        <w:t>Please note that in these two cells, the difference between unbilled and actual billed should be entered (not the total unbilled).</w:t>
      </w:r>
      <w:r w:rsidR="002A49A2" w:rsidRPr="00AB5A85">
        <w:rPr>
          <w:rFonts w:ascii="Arial" w:hAnsi="Arial" w:cs="Arial"/>
          <w:sz w:val="24"/>
          <w:szCs w:val="24"/>
        </w:rPr>
        <w:t xml:space="preserve"> Please provide the total unbilled amounts at the end of 2015 and 201</w:t>
      </w:r>
      <w:r w:rsidR="005C4D2E">
        <w:rPr>
          <w:rFonts w:ascii="Arial" w:hAnsi="Arial" w:cs="Arial"/>
          <w:sz w:val="24"/>
          <w:szCs w:val="24"/>
        </w:rPr>
        <w:t>6, and the actual billed amounts corresponding to the unbilled amounts</w:t>
      </w:r>
      <w:r w:rsidR="002A49A2" w:rsidRPr="00AB5A85">
        <w:rPr>
          <w:rFonts w:ascii="Arial" w:hAnsi="Arial" w:cs="Arial"/>
          <w:sz w:val="24"/>
          <w:szCs w:val="24"/>
        </w:rPr>
        <w:t>.</w:t>
      </w:r>
      <w:r w:rsidR="00963302" w:rsidRPr="00AB5A85">
        <w:rPr>
          <w:rFonts w:ascii="Arial" w:hAnsi="Arial" w:cs="Arial"/>
          <w:sz w:val="24"/>
          <w:szCs w:val="24"/>
        </w:rPr>
        <w:t xml:space="preserve"> Please update the work form if needed.</w:t>
      </w:r>
    </w:p>
    <w:sectPr w:rsidR="007511AF" w:rsidRPr="005C4D2E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CAD"/>
    <w:multiLevelType w:val="hybridMultilevel"/>
    <w:tmpl w:val="AD4A6B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15706"/>
    <w:multiLevelType w:val="hybridMultilevel"/>
    <w:tmpl w:val="7562C4D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5E0285"/>
    <w:multiLevelType w:val="hybridMultilevel"/>
    <w:tmpl w:val="959E7812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011984"/>
    <w:multiLevelType w:val="hybridMultilevel"/>
    <w:tmpl w:val="2BEA2AB8"/>
    <w:lvl w:ilvl="0" w:tplc="1009001B">
      <w:start w:val="1"/>
      <w:numFmt w:val="lowerRoman"/>
      <w:lvlText w:val="%1."/>
      <w:lvlJc w:val="right"/>
      <w:pPr>
        <w:ind w:left="1571" w:hanging="360"/>
      </w:pPr>
    </w:lvl>
    <w:lvl w:ilvl="1" w:tplc="10090019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8EF01AD"/>
    <w:multiLevelType w:val="hybridMultilevel"/>
    <w:tmpl w:val="11C2A59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E0327"/>
    <w:multiLevelType w:val="hybridMultilevel"/>
    <w:tmpl w:val="44E095B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F31280"/>
    <w:multiLevelType w:val="hybridMultilevel"/>
    <w:tmpl w:val="1684146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961362"/>
    <w:multiLevelType w:val="hybridMultilevel"/>
    <w:tmpl w:val="8DBE4C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56CEF"/>
    <w:multiLevelType w:val="hybridMultilevel"/>
    <w:tmpl w:val="DB34011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B6B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33"/>
    <w:rsid w:val="0007239A"/>
    <w:rsid w:val="002A49A2"/>
    <w:rsid w:val="00412DC6"/>
    <w:rsid w:val="005C4D2E"/>
    <w:rsid w:val="0071540A"/>
    <w:rsid w:val="00722AFA"/>
    <w:rsid w:val="00746080"/>
    <w:rsid w:val="007511AF"/>
    <w:rsid w:val="007A4D04"/>
    <w:rsid w:val="00963302"/>
    <w:rsid w:val="00AA06D9"/>
    <w:rsid w:val="00AB5A85"/>
    <w:rsid w:val="00AC22CF"/>
    <w:rsid w:val="00AC3A99"/>
    <w:rsid w:val="00B25576"/>
    <w:rsid w:val="00E63633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2A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2A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Wang</dc:creator>
  <cp:keywords/>
  <dc:description/>
  <cp:lastModifiedBy>Katherine Wang</cp:lastModifiedBy>
  <cp:revision>10</cp:revision>
  <dcterms:created xsi:type="dcterms:W3CDTF">2017-08-29T20:40:00Z</dcterms:created>
  <dcterms:modified xsi:type="dcterms:W3CDTF">2017-09-01T18:09:00Z</dcterms:modified>
</cp:coreProperties>
</file>