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5C5C5" w14:textId="77777777" w:rsidR="0087710C" w:rsidRDefault="0087710C">
      <w:pPr>
        <w:rPr>
          <w:rFonts w:ascii="Arial" w:hAnsi="Arial" w:cs="Arial"/>
          <w:sz w:val="24"/>
          <w:szCs w:val="24"/>
        </w:rPr>
      </w:pPr>
    </w:p>
    <w:p w14:paraId="1250F8A7" w14:textId="77777777" w:rsidR="0087710C" w:rsidRPr="003832E7" w:rsidRDefault="0087103D" w:rsidP="0087710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St. Thomas Energy Inc.</w:t>
      </w:r>
    </w:p>
    <w:p w14:paraId="475FC93A" w14:textId="77777777" w:rsidR="0087710C" w:rsidRDefault="0087710C" w:rsidP="0087710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OEB Staff Questions</w:t>
      </w:r>
    </w:p>
    <w:p w14:paraId="40B79681" w14:textId="77777777" w:rsidR="0087710C" w:rsidRDefault="0087103D" w:rsidP="0087710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EB-2017-0074</w:t>
      </w:r>
    </w:p>
    <w:p w14:paraId="5E15A3EF" w14:textId="77777777" w:rsidR="0087710C" w:rsidRDefault="0087710C" w:rsidP="0087710C">
      <w:pPr>
        <w:pStyle w:val="Default"/>
        <w:rPr>
          <w:rFonts w:ascii="Arial" w:hAnsi="Arial" w:cs="Arial"/>
          <w:sz w:val="22"/>
          <w:szCs w:val="22"/>
        </w:rPr>
      </w:pPr>
    </w:p>
    <w:p w14:paraId="7F3EF631" w14:textId="77777777" w:rsidR="0087710C" w:rsidRPr="00A07077" w:rsidRDefault="0087103D" w:rsidP="0087710C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St. Thomas Energy Inc.</w:t>
      </w:r>
    </w:p>
    <w:p w14:paraId="2D77A4FF" w14:textId="77777777" w:rsidR="0087710C" w:rsidRDefault="0087103D" w:rsidP="0087710C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EB-2017-0074</w:t>
      </w:r>
    </w:p>
    <w:p w14:paraId="62019364" w14:textId="77777777" w:rsidR="0087710C" w:rsidRDefault="0087710C" w:rsidP="0087710C">
      <w:pPr>
        <w:rPr>
          <w:rFonts w:ascii="Arial" w:hAnsi="Arial" w:cs="Arial"/>
          <w:b/>
          <w:bCs/>
          <w:sz w:val="28"/>
          <w:szCs w:val="28"/>
        </w:rPr>
      </w:pPr>
    </w:p>
    <w:p w14:paraId="71804B7A" w14:textId="77777777" w:rsidR="0087710C" w:rsidRDefault="0087710C" w:rsidP="00877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DC7397" w14:textId="77777777" w:rsidR="0087710C" w:rsidRPr="002D056D" w:rsidRDefault="0087710C" w:rsidP="008771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</w:t>
      </w:r>
      <w:r w:rsidRPr="002D056D">
        <w:rPr>
          <w:rFonts w:ascii="Arial" w:hAnsi="Arial" w:cs="Arial"/>
          <w:b/>
          <w:sz w:val="24"/>
          <w:szCs w:val="24"/>
        </w:rPr>
        <w:t>-1</w:t>
      </w:r>
    </w:p>
    <w:p w14:paraId="614B53D3" w14:textId="77777777" w:rsidR="0087710C" w:rsidRDefault="002F4C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Ref: </w:t>
      </w:r>
      <w:r w:rsidR="00AB0889">
        <w:rPr>
          <w:rFonts w:ascii="Arial" w:hAnsi="Arial" w:cs="Arial"/>
          <w:sz w:val="24"/>
          <w:szCs w:val="24"/>
        </w:rPr>
        <w:t>C</w:t>
      </w:r>
      <w:r w:rsidR="00292AD2">
        <w:rPr>
          <w:rFonts w:ascii="Arial" w:hAnsi="Arial" w:cs="Arial"/>
          <w:sz w:val="24"/>
          <w:szCs w:val="24"/>
        </w:rPr>
        <w:t>ell C63</w:t>
      </w:r>
      <w:r w:rsidR="00875BAD">
        <w:rPr>
          <w:rFonts w:ascii="Arial" w:hAnsi="Arial" w:cs="Arial"/>
          <w:sz w:val="24"/>
          <w:szCs w:val="24"/>
        </w:rPr>
        <w:t xml:space="preserve"> from Tab 3. Continuity Schedule has been reproduced below.</w:t>
      </w:r>
    </w:p>
    <w:p w14:paraId="21DBBC0B" w14:textId="77777777" w:rsidR="00746080" w:rsidRDefault="004E2CA1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1E89069" wp14:editId="21F8C072">
            <wp:extent cx="5943600" cy="1401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9A52D" w14:textId="77777777" w:rsidR="00907297" w:rsidRDefault="009072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Ref: A Portion of the Tab 3 Continuity Schedule has been reproduced below.</w:t>
      </w:r>
    </w:p>
    <w:p w14:paraId="23D26526" w14:textId="77777777" w:rsidR="00907297" w:rsidRDefault="00907297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EFBA702" wp14:editId="7742F082">
            <wp:extent cx="6774180" cy="188214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7418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F2650" w14:textId="77777777" w:rsidR="003963A0" w:rsidRPr="003963A0" w:rsidRDefault="003963A0" w:rsidP="003963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Thomas Energy is requesting disposition of account 1595-2010 credit balance of $105, account 1595-2012 debit balance of $33, account 1595-2014 credit balance $194,521, account 1595-2015 debit balance $12,034 and account 1595-2016</w:t>
      </w:r>
      <w:r w:rsidRPr="009072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debit balance $12,918</w:t>
      </w:r>
    </w:p>
    <w:p w14:paraId="7DEDBE26" w14:textId="77777777" w:rsidR="003963A0" w:rsidRDefault="003963A0" w:rsidP="003963A0">
      <w:pPr>
        <w:pStyle w:val="ListParagraph"/>
        <w:rPr>
          <w:rFonts w:ascii="Arial" w:hAnsi="Arial" w:cs="Arial"/>
          <w:sz w:val="24"/>
          <w:szCs w:val="24"/>
        </w:rPr>
      </w:pPr>
    </w:p>
    <w:p w14:paraId="24A4B802" w14:textId="77777777" w:rsidR="008C4A5E" w:rsidRPr="008C4A5E" w:rsidRDefault="003963A0" w:rsidP="008C4A5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07297">
        <w:rPr>
          <w:rFonts w:ascii="Arial" w:hAnsi="Arial" w:cs="Arial"/>
          <w:sz w:val="24"/>
          <w:szCs w:val="24"/>
        </w:rPr>
        <w:t xml:space="preserve">lease confirm whether St. Thomas </w:t>
      </w:r>
      <w:r>
        <w:rPr>
          <w:rFonts w:ascii="Arial" w:hAnsi="Arial" w:cs="Arial"/>
          <w:sz w:val="24"/>
          <w:szCs w:val="24"/>
        </w:rPr>
        <w:t xml:space="preserve">Energy </w:t>
      </w:r>
      <w:r w:rsidR="00907297">
        <w:rPr>
          <w:rFonts w:ascii="Arial" w:hAnsi="Arial" w:cs="Arial"/>
          <w:sz w:val="24"/>
          <w:szCs w:val="24"/>
        </w:rPr>
        <w:t xml:space="preserve">has requested disposition of these sub accounts previously. </w:t>
      </w:r>
    </w:p>
    <w:p w14:paraId="5E33F679" w14:textId="77777777" w:rsidR="00907297" w:rsidRDefault="00907297" w:rsidP="00907297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did the rate rider relating to each IRM cease? </w:t>
      </w:r>
    </w:p>
    <w:p w14:paraId="0A836052" w14:textId="77777777" w:rsidR="00907297" w:rsidRDefault="00907297" w:rsidP="0087710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What audited financial statements did St. Thomas base these dispositions on previously and what does each balance pertain to?</w:t>
      </w:r>
    </w:p>
    <w:p w14:paraId="6D12CD87" w14:textId="1EABD1FE" w:rsidR="008C4A5E" w:rsidRPr="004D4A3C" w:rsidRDefault="008C4A5E" w:rsidP="001B532B">
      <w:pPr>
        <w:tabs>
          <w:tab w:val="left" w:pos="7608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8C4A5E">
        <w:rPr>
          <w:rFonts w:ascii="Arial" w:hAnsi="Arial" w:cs="Arial"/>
          <w:b/>
          <w:sz w:val="24"/>
          <w:szCs w:val="24"/>
          <w:u w:val="single"/>
        </w:rPr>
        <w:t xml:space="preserve">STEI </w:t>
      </w:r>
      <w:r w:rsidRPr="004D4A3C">
        <w:rPr>
          <w:rFonts w:ascii="Arial Narrow" w:hAnsi="Arial Narrow" w:cs="Arial"/>
          <w:b/>
          <w:sz w:val="24"/>
          <w:szCs w:val="24"/>
          <w:u w:val="single"/>
        </w:rPr>
        <w:t xml:space="preserve">Response </w:t>
      </w:r>
    </w:p>
    <w:p w14:paraId="0563A68A" w14:textId="64262F28" w:rsidR="008C4A5E" w:rsidRPr="00C41170" w:rsidRDefault="004D4A3C" w:rsidP="00C41170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F422B">
        <w:rPr>
          <w:rFonts w:ascii="Arial" w:hAnsi="Arial" w:cs="Arial"/>
          <w:sz w:val="24"/>
          <w:szCs w:val="24"/>
        </w:rPr>
        <w:t xml:space="preserve">These sub accounts relate to the disposition of previous Board-approved rate riders (see table in part b </w:t>
      </w:r>
      <w:r w:rsidR="00CA7690">
        <w:rPr>
          <w:rFonts w:ascii="Arial" w:hAnsi="Arial" w:cs="Arial"/>
          <w:sz w:val="24"/>
          <w:szCs w:val="24"/>
        </w:rPr>
        <w:t>below).  STEI requested Group 1 account disposition in its 2017 IRM EB-2016-0104 Application, howev</w:t>
      </w:r>
      <w:r w:rsidR="00D90308">
        <w:rPr>
          <w:rFonts w:ascii="Arial" w:hAnsi="Arial" w:cs="Arial"/>
          <w:sz w:val="24"/>
          <w:szCs w:val="24"/>
        </w:rPr>
        <w:t xml:space="preserve">er, the balances did not meet </w:t>
      </w:r>
      <w:r w:rsidR="00CA7690">
        <w:rPr>
          <w:rFonts w:ascii="Arial" w:hAnsi="Arial" w:cs="Arial"/>
          <w:sz w:val="24"/>
          <w:szCs w:val="24"/>
        </w:rPr>
        <w:t>the OEB’s mate</w:t>
      </w:r>
      <w:r w:rsidR="0033242E">
        <w:rPr>
          <w:rFonts w:ascii="Arial" w:hAnsi="Arial" w:cs="Arial"/>
          <w:sz w:val="24"/>
          <w:szCs w:val="24"/>
        </w:rPr>
        <w:t>riality threshol</w:t>
      </w:r>
      <w:r w:rsidR="0057782A">
        <w:rPr>
          <w:rFonts w:ascii="Arial" w:hAnsi="Arial" w:cs="Arial"/>
          <w:sz w:val="24"/>
          <w:szCs w:val="24"/>
        </w:rPr>
        <w:t xml:space="preserve">d at that time. As such, the Group 1 account balance were not disposed in that Application. </w:t>
      </w:r>
      <w:bookmarkStart w:id="0" w:name="_GoBack"/>
      <w:bookmarkEnd w:id="0"/>
    </w:p>
    <w:p w14:paraId="5AF89E39" w14:textId="5B85089A" w:rsidR="006102E1" w:rsidRPr="006102E1" w:rsidRDefault="002B0EBE" w:rsidP="006102E1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table below summarizes when each IRM rate ride</w:t>
      </w:r>
      <w:r w:rsidR="007F422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ceased:</w:t>
      </w:r>
    </w:p>
    <w:p w14:paraId="0EDAE35A" w14:textId="77777777" w:rsidR="006102E1" w:rsidRDefault="006102E1" w:rsidP="006102E1">
      <w:pPr>
        <w:pStyle w:val="ListParagraph"/>
        <w:rPr>
          <w:rFonts w:ascii="Arial" w:hAnsi="Arial" w:cs="Arial"/>
          <w:sz w:val="24"/>
          <w:szCs w:val="24"/>
        </w:rPr>
      </w:pPr>
    </w:p>
    <w:p w14:paraId="7E50A3B9" w14:textId="2E62096E" w:rsidR="006102E1" w:rsidRDefault="00AB7DA0" w:rsidP="006102E1">
      <w:pPr>
        <w:pStyle w:val="ListParagraph"/>
        <w:rPr>
          <w:rFonts w:ascii="Arial" w:hAnsi="Arial" w:cs="Arial"/>
          <w:sz w:val="24"/>
          <w:szCs w:val="24"/>
        </w:rPr>
      </w:pPr>
      <w:r w:rsidRPr="00AB7DA0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0B7E6DDE" wp14:editId="0559E0F6">
            <wp:extent cx="5943600" cy="162926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5DA9A" w14:textId="77777777" w:rsidR="006102E1" w:rsidRDefault="006102E1" w:rsidP="006102E1">
      <w:pPr>
        <w:pStyle w:val="ListParagraph"/>
        <w:rPr>
          <w:rFonts w:ascii="Arial" w:hAnsi="Arial" w:cs="Arial"/>
          <w:sz w:val="24"/>
          <w:szCs w:val="24"/>
        </w:rPr>
      </w:pPr>
    </w:p>
    <w:p w14:paraId="53C04373" w14:textId="042922D2" w:rsidR="00AB652C" w:rsidRDefault="00DA673B" w:rsidP="00AB652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317BD">
        <w:rPr>
          <w:rFonts w:ascii="Arial" w:hAnsi="Arial" w:cs="Arial"/>
          <w:sz w:val="24"/>
          <w:szCs w:val="24"/>
        </w:rPr>
        <w:t xml:space="preserve">table below summarizes rate rider activity and </w:t>
      </w:r>
      <w:r w:rsidR="00AB652C">
        <w:rPr>
          <w:rFonts w:ascii="Arial" w:hAnsi="Arial" w:cs="Arial"/>
          <w:sz w:val="24"/>
          <w:szCs w:val="24"/>
        </w:rPr>
        <w:t>the residual account balances from the OEB approved Decision and Rate O</w:t>
      </w:r>
      <w:r w:rsidR="003D1D5B">
        <w:rPr>
          <w:rFonts w:ascii="Arial" w:hAnsi="Arial" w:cs="Arial"/>
          <w:sz w:val="24"/>
          <w:szCs w:val="24"/>
        </w:rPr>
        <w:t>rders and the am</w:t>
      </w:r>
      <w:r w:rsidR="001B532B">
        <w:rPr>
          <w:rFonts w:ascii="Arial" w:hAnsi="Arial" w:cs="Arial"/>
          <w:sz w:val="24"/>
          <w:szCs w:val="24"/>
        </w:rPr>
        <w:t>ounts collected</w:t>
      </w:r>
      <w:r w:rsidR="0033242E">
        <w:rPr>
          <w:rFonts w:ascii="Arial" w:hAnsi="Arial" w:cs="Arial"/>
          <w:sz w:val="24"/>
          <w:szCs w:val="24"/>
        </w:rPr>
        <w:t>/ refunded to</w:t>
      </w:r>
      <w:r w:rsidR="00F647E3">
        <w:rPr>
          <w:rFonts w:ascii="Arial" w:hAnsi="Arial" w:cs="Arial"/>
          <w:sz w:val="24"/>
          <w:szCs w:val="24"/>
        </w:rPr>
        <w:t xml:space="preserve"> customers. </w:t>
      </w:r>
    </w:p>
    <w:p w14:paraId="1A5EA496" w14:textId="4CCDC353" w:rsidR="00C317BD" w:rsidRDefault="00DA673B" w:rsidP="00DA673B">
      <w:pPr>
        <w:ind w:left="720"/>
        <w:rPr>
          <w:rFonts w:ascii="Arial" w:hAnsi="Arial" w:cs="Arial"/>
          <w:sz w:val="24"/>
          <w:szCs w:val="24"/>
        </w:rPr>
      </w:pPr>
      <w:r w:rsidRPr="00DA673B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37856D7E" wp14:editId="4669CF9E">
            <wp:extent cx="6188231" cy="1180532"/>
            <wp:effectExtent l="0" t="0" r="317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728" cy="118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85CD8" w14:textId="6052D26C" w:rsidR="00F647E3" w:rsidRDefault="00F647E3" w:rsidP="00F647E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above noted table also illustrates the annual audited financial statements of the original approved OEB disposition and subsequent collections/ refunds. </w:t>
      </w:r>
    </w:p>
    <w:p w14:paraId="11E87636" w14:textId="07DA930F" w:rsidR="003D5FD0" w:rsidRDefault="00CB63BF" w:rsidP="003D5FD0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“Disposition and R</w:t>
      </w:r>
      <w:r w:rsidR="003D5FD0">
        <w:rPr>
          <w:rFonts w:ascii="Arial" w:hAnsi="Arial" w:cs="Arial"/>
          <w:sz w:val="24"/>
          <w:szCs w:val="24"/>
        </w:rPr>
        <w:t>ecovery</w:t>
      </w:r>
      <w:r>
        <w:rPr>
          <w:rFonts w:ascii="Arial" w:hAnsi="Arial" w:cs="Arial"/>
          <w:sz w:val="24"/>
          <w:szCs w:val="24"/>
        </w:rPr>
        <w:t xml:space="preserve">/Refund of Regulatory Balances 2014” rate rider was billed over a 12 month period from </w:t>
      </w:r>
      <w:r w:rsidR="005153BD">
        <w:rPr>
          <w:rFonts w:ascii="Arial" w:hAnsi="Arial" w:cs="Arial"/>
          <w:sz w:val="24"/>
          <w:szCs w:val="24"/>
        </w:rPr>
        <w:t>May 1, 2014 to Ap</w:t>
      </w:r>
      <w:r w:rsidR="00A31614">
        <w:rPr>
          <w:rFonts w:ascii="Arial" w:hAnsi="Arial" w:cs="Arial"/>
          <w:sz w:val="24"/>
          <w:szCs w:val="24"/>
        </w:rPr>
        <w:t>ril 30, 2015. In reviewing the residual balance for this rate rider, it is clear that the residual of $194,521 (debit)</w:t>
      </w:r>
      <w:r w:rsidR="00EC65C6">
        <w:rPr>
          <w:rFonts w:ascii="Arial" w:hAnsi="Arial" w:cs="Arial"/>
          <w:sz w:val="24"/>
          <w:szCs w:val="24"/>
        </w:rPr>
        <w:t xml:space="preserve"> is disproportionate to the original disposal balance of $342,907</w:t>
      </w:r>
      <w:r w:rsidR="00A31614">
        <w:rPr>
          <w:rFonts w:ascii="Arial" w:hAnsi="Arial" w:cs="Arial"/>
          <w:sz w:val="24"/>
          <w:szCs w:val="24"/>
        </w:rPr>
        <w:t xml:space="preserve"> </w:t>
      </w:r>
      <w:r w:rsidR="00EC65C6">
        <w:rPr>
          <w:rFonts w:ascii="Arial" w:hAnsi="Arial" w:cs="Arial"/>
          <w:sz w:val="24"/>
          <w:szCs w:val="24"/>
        </w:rPr>
        <w:t xml:space="preserve">(credit). A breakdown of the residual balance by rate class is shown in the table below: </w:t>
      </w:r>
    </w:p>
    <w:p w14:paraId="1E0BAA85" w14:textId="25D04CB3" w:rsidR="00F4209D" w:rsidRDefault="0057782A" w:rsidP="003D5FD0">
      <w:pPr>
        <w:ind w:left="720"/>
        <w:rPr>
          <w:rFonts w:ascii="Arial" w:hAnsi="Arial" w:cs="Arial"/>
          <w:sz w:val="24"/>
          <w:szCs w:val="24"/>
        </w:rPr>
      </w:pPr>
      <w:r w:rsidRPr="0057782A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740FA45D" wp14:editId="064A2A80">
            <wp:extent cx="5943600" cy="3710126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C9487" w14:textId="1EEC5AFB" w:rsidR="002D043C" w:rsidRDefault="002D043C" w:rsidP="004E38A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original approved OEB disposition per EB-2013-0171 w</w:t>
      </w:r>
      <w:r w:rsidR="0033242E">
        <w:rPr>
          <w:rFonts w:ascii="Arial" w:hAnsi="Arial" w:cs="Arial"/>
          <w:sz w:val="24"/>
          <w:szCs w:val="24"/>
        </w:rPr>
        <w:t xml:space="preserve">as a </w:t>
      </w:r>
      <w:r>
        <w:rPr>
          <w:rFonts w:ascii="Arial" w:hAnsi="Arial" w:cs="Arial"/>
          <w:sz w:val="24"/>
          <w:szCs w:val="24"/>
        </w:rPr>
        <w:t>customer (refund) balance in the amount of $342,</w:t>
      </w:r>
      <w:r w:rsidR="007C7362">
        <w:rPr>
          <w:rFonts w:ascii="Arial" w:hAnsi="Arial" w:cs="Arial"/>
          <w:sz w:val="24"/>
          <w:szCs w:val="24"/>
        </w:rPr>
        <w:t>907 (credit), the residual balance is</w:t>
      </w:r>
      <w:r>
        <w:rPr>
          <w:rFonts w:ascii="Arial" w:hAnsi="Arial" w:cs="Arial"/>
          <w:sz w:val="24"/>
          <w:szCs w:val="24"/>
        </w:rPr>
        <w:t xml:space="preserve"> $194,521</w:t>
      </w:r>
      <w:r w:rsidR="007C7362">
        <w:rPr>
          <w:rFonts w:ascii="Arial" w:hAnsi="Arial" w:cs="Arial"/>
          <w:sz w:val="24"/>
          <w:szCs w:val="24"/>
        </w:rPr>
        <w:t xml:space="preserve"> (debit) which</w:t>
      </w:r>
      <w:r>
        <w:rPr>
          <w:rFonts w:ascii="Arial" w:hAnsi="Arial" w:cs="Arial"/>
          <w:sz w:val="24"/>
          <w:szCs w:val="24"/>
        </w:rPr>
        <w:t xml:space="preserve"> </w:t>
      </w:r>
      <w:r w:rsidR="0033242E">
        <w:rPr>
          <w:rFonts w:ascii="Arial" w:hAnsi="Arial" w:cs="Arial"/>
          <w:sz w:val="24"/>
          <w:szCs w:val="24"/>
        </w:rPr>
        <w:t>is due from</w:t>
      </w:r>
      <w:r w:rsidR="007C7362">
        <w:rPr>
          <w:rFonts w:ascii="Arial" w:hAnsi="Arial" w:cs="Arial"/>
          <w:sz w:val="24"/>
          <w:szCs w:val="24"/>
        </w:rPr>
        <w:t xml:space="preserve"> customers. This is mainly attributed to the under collection of the GS&gt;50 rate class. </w:t>
      </w:r>
    </w:p>
    <w:p w14:paraId="5C40C258" w14:textId="77777777" w:rsidR="002D043C" w:rsidRDefault="002D043C" w:rsidP="004E38AF">
      <w:pPr>
        <w:pStyle w:val="ListParagraph"/>
        <w:rPr>
          <w:rFonts w:ascii="Arial" w:hAnsi="Arial" w:cs="Arial"/>
          <w:sz w:val="24"/>
          <w:szCs w:val="24"/>
        </w:rPr>
      </w:pPr>
    </w:p>
    <w:p w14:paraId="45F43CEC" w14:textId="5FCEA4C4" w:rsidR="00AE4EA7" w:rsidRDefault="00AE4EA7" w:rsidP="004E38A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evident that the primary residual balance components of the 2014 rate rider are an under collection in the GS&gt;50 kW</w:t>
      </w:r>
      <w:r w:rsidR="003562EE">
        <w:rPr>
          <w:rFonts w:ascii="Arial" w:hAnsi="Arial" w:cs="Arial"/>
          <w:sz w:val="24"/>
          <w:szCs w:val="24"/>
        </w:rPr>
        <w:t xml:space="preserve"> rate class, net of smaller over-</w:t>
      </w:r>
      <w:r w:rsidR="0057782A">
        <w:rPr>
          <w:rFonts w:ascii="Arial" w:hAnsi="Arial" w:cs="Arial"/>
          <w:sz w:val="24"/>
          <w:szCs w:val="24"/>
        </w:rPr>
        <w:t>payments (refunds)</w:t>
      </w:r>
      <w:r w:rsidR="00C57069">
        <w:rPr>
          <w:rFonts w:ascii="Arial" w:hAnsi="Arial" w:cs="Arial"/>
          <w:sz w:val="24"/>
          <w:szCs w:val="24"/>
        </w:rPr>
        <w:t xml:space="preserve"> in the residential time of use, and GS&lt;50 rate classes. </w:t>
      </w:r>
    </w:p>
    <w:p w14:paraId="45D1FF4D" w14:textId="77777777" w:rsidR="00AE4EA7" w:rsidRDefault="00AE4EA7" w:rsidP="004E38AF">
      <w:pPr>
        <w:pStyle w:val="ListParagraph"/>
        <w:rPr>
          <w:rFonts w:ascii="Arial" w:hAnsi="Arial" w:cs="Arial"/>
          <w:sz w:val="24"/>
          <w:szCs w:val="24"/>
        </w:rPr>
      </w:pPr>
    </w:p>
    <w:p w14:paraId="243C1773" w14:textId="5287B7AA" w:rsidR="00C57069" w:rsidRDefault="00C57069" w:rsidP="004E38A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Upon further examination of </w:t>
      </w:r>
      <w:r w:rsidR="001B5962">
        <w:rPr>
          <w:rFonts w:ascii="Arial" w:hAnsi="Arial" w:cs="Arial"/>
          <w:sz w:val="24"/>
          <w:szCs w:val="24"/>
        </w:rPr>
        <w:t>t</w:t>
      </w:r>
      <w:r w:rsidR="00381270">
        <w:rPr>
          <w:rFonts w:ascii="Arial" w:hAnsi="Arial" w:cs="Arial"/>
          <w:sz w:val="24"/>
          <w:szCs w:val="24"/>
        </w:rPr>
        <w:t>he GS&gt;50kW rate class there were</w:t>
      </w:r>
      <w:r w:rsidR="004E38AF">
        <w:rPr>
          <w:rFonts w:ascii="Arial" w:hAnsi="Arial" w:cs="Arial"/>
          <w:sz w:val="24"/>
          <w:szCs w:val="24"/>
        </w:rPr>
        <w:t xml:space="preserve"> significant change</w:t>
      </w:r>
      <w:r w:rsidR="001B596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</w:t>
      </w:r>
      <w:r w:rsidR="001B5962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billing determinates and volumetric usage </w:t>
      </w:r>
      <w:r w:rsidR="00863EEE">
        <w:rPr>
          <w:rFonts w:ascii="Arial" w:hAnsi="Arial" w:cs="Arial"/>
          <w:sz w:val="24"/>
          <w:szCs w:val="24"/>
        </w:rPr>
        <w:t>in the base year used to calculate the 2014 rate ride</w:t>
      </w:r>
      <w:r w:rsidR="001B5962">
        <w:rPr>
          <w:rFonts w:ascii="Arial" w:hAnsi="Arial" w:cs="Arial"/>
          <w:sz w:val="24"/>
          <w:szCs w:val="24"/>
        </w:rPr>
        <w:t>r</w:t>
      </w:r>
      <w:r w:rsidR="00D37C96">
        <w:rPr>
          <w:rFonts w:ascii="Arial" w:hAnsi="Arial" w:cs="Arial"/>
          <w:sz w:val="24"/>
          <w:szCs w:val="24"/>
        </w:rPr>
        <w:t>s</w:t>
      </w:r>
      <w:r w:rsidR="001B5962">
        <w:rPr>
          <w:rFonts w:ascii="Arial" w:hAnsi="Arial" w:cs="Arial"/>
          <w:sz w:val="24"/>
          <w:szCs w:val="24"/>
        </w:rPr>
        <w:t xml:space="preserve"> as compared to the actual usage from May 1, 2014 to April 30, 2015</w:t>
      </w:r>
      <w:r w:rsidR="00863EEE">
        <w:rPr>
          <w:rFonts w:ascii="Arial" w:hAnsi="Arial" w:cs="Arial"/>
          <w:sz w:val="24"/>
          <w:szCs w:val="24"/>
        </w:rPr>
        <w:t>. As noted in STEI’s 2015 COS A</w:t>
      </w:r>
      <w:r w:rsidR="001B5962">
        <w:rPr>
          <w:rFonts w:ascii="Arial" w:hAnsi="Arial" w:cs="Arial"/>
          <w:sz w:val="24"/>
          <w:szCs w:val="24"/>
        </w:rPr>
        <w:t>pplication EB-2014-0013, a large GS&gt;50kW</w:t>
      </w:r>
      <w:r w:rsidR="00863EEE">
        <w:rPr>
          <w:rFonts w:ascii="Arial" w:hAnsi="Arial" w:cs="Arial"/>
          <w:sz w:val="24"/>
          <w:szCs w:val="24"/>
        </w:rPr>
        <w:t xml:space="preserve"> customer</w:t>
      </w:r>
      <w:r w:rsidR="00EB21D0">
        <w:rPr>
          <w:rFonts w:ascii="Arial" w:hAnsi="Arial" w:cs="Arial"/>
          <w:sz w:val="24"/>
          <w:szCs w:val="24"/>
        </w:rPr>
        <w:t xml:space="preserve"> “Timken”</w:t>
      </w:r>
      <w:r w:rsidR="00863EEE">
        <w:rPr>
          <w:rFonts w:ascii="Arial" w:hAnsi="Arial" w:cs="Arial"/>
          <w:sz w:val="24"/>
          <w:szCs w:val="24"/>
        </w:rPr>
        <w:t xml:space="preserve"> closed its manufacturing ope</w:t>
      </w:r>
      <w:r w:rsidR="001B5962">
        <w:rPr>
          <w:rFonts w:ascii="Arial" w:hAnsi="Arial" w:cs="Arial"/>
          <w:sz w:val="24"/>
          <w:szCs w:val="24"/>
        </w:rPr>
        <w:t>rations</w:t>
      </w:r>
      <w:r w:rsidR="00CE68FB">
        <w:rPr>
          <w:rFonts w:ascii="Arial" w:hAnsi="Arial" w:cs="Arial"/>
          <w:sz w:val="24"/>
          <w:szCs w:val="24"/>
        </w:rPr>
        <w:t xml:space="preserve"> in</w:t>
      </w:r>
      <w:r w:rsidR="001B5962">
        <w:rPr>
          <w:rFonts w:ascii="Arial" w:hAnsi="Arial" w:cs="Arial"/>
          <w:sz w:val="24"/>
          <w:szCs w:val="24"/>
        </w:rPr>
        <w:t xml:space="preserve"> 2013 which resulted in </w:t>
      </w:r>
      <w:r w:rsidR="00712372">
        <w:rPr>
          <w:rFonts w:ascii="Arial" w:hAnsi="Arial" w:cs="Arial"/>
          <w:sz w:val="24"/>
          <w:szCs w:val="24"/>
        </w:rPr>
        <w:t>decreased consumption and revenues.</w:t>
      </w:r>
      <w:r w:rsidR="00EB21D0">
        <w:rPr>
          <w:rFonts w:ascii="Arial" w:hAnsi="Arial" w:cs="Arial"/>
          <w:sz w:val="24"/>
          <w:szCs w:val="24"/>
        </w:rPr>
        <w:t xml:space="preserve"> </w:t>
      </w:r>
      <w:r w:rsidR="00712372">
        <w:rPr>
          <w:rFonts w:ascii="Arial" w:hAnsi="Arial" w:cs="Arial"/>
          <w:sz w:val="24"/>
          <w:szCs w:val="24"/>
        </w:rPr>
        <w:t xml:space="preserve"> Additionally</w:t>
      </w:r>
      <w:r w:rsidR="00381270">
        <w:rPr>
          <w:rFonts w:ascii="Arial" w:hAnsi="Arial" w:cs="Arial"/>
          <w:sz w:val="24"/>
          <w:szCs w:val="24"/>
        </w:rPr>
        <w:t>, there were</w:t>
      </w:r>
      <w:r w:rsidR="00712372">
        <w:rPr>
          <w:rFonts w:ascii="Arial" w:hAnsi="Arial" w:cs="Arial"/>
          <w:sz w:val="24"/>
          <w:szCs w:val="24"/>
        </w:rPr>
        <w:t xml:space="preserve"> material changes in the number of GS&gt;50kW customers as previously reported in STEI’s Reporting and Record Keeping Requirements (“RRR”). The table below summarizes the changes between the 2012 fiscal year and 2014 fiscal year:</w:t>
      </w:r>
    </w:p>
    <w:p w14:paraId="305C4E86" w14:textId="77777777" w:rsidR="00712372" w:rsidRDefault="00712372" w:rsidP="004E38AF">
      <w:pPr>
        <w:pStyle w:val="ListParagraph"/>
        <w:rPr>
          <w:rFonts w:ascii="Arial" w:hAnsi="Arial" w:cs="Arial"/>
          <w:sz w:val="24"/>
          <w:szCs w:val="24"/>
        </w:rPr>
      </w:pPr>
    </w:p>
    <w:p w14:paraId="603D49E9" w14:textId="77777777" w:rsidR="00712372" w:rsidRDefault="00712372" w:rsidP="004E38AF">
      <w:pPr>
        <w:pStyle w:val="ListParagraph"/>
        <w:rPr>
          <w:rFonts w:ascii="Arial" w:hAnsi="Arial" w:cs="Arial"/>
          <w:sz w:val="24"/>
          <w:szCs w:val="24"/>
        </w:rPr>
      </w:pPr>
      <w:r w:rsidRPr="00712372"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 wp14:anchorId="69F2B4CE" wp14:editId="1F0F2691">
            <wp:extent cx="5943600" cy="1941374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96AAE" w14:textId="77777777" w:rsidR="00C57069" w:rsidRDefault="00C57069" w:rsidP="004E38AF">
      <w:pPr>
        <w:pStyle w:val="ListParagraph"/>
        <w:rPr>
          <w:rFonts w:ascii="Arial" w:hAnsi="Arial" w:cs="Arial"/>
          <w:sz w:val="24"/>
          <w:szCs w:val="24"/>
        </w:rPr>
      </w:pPr>
    </w:p>
    <w:p w14:paraId="37FD08CC" w14:textId="6A67C833" w:rsidR="00986709" w:rsidRPr="004369C2" w:rsidRDefault="00381270" w:rsidP="004369C2">
      <w:pPr>
        <w:pStyle w:val="CommentText"/>
      </w:pPr>
      <w:r>
        <w:rPr>
          <w:rFonts w:ascii="Arial" w:hAnsi="Arial" w:cs="Arial"/>
          <w:sz w:val="24"/>
          <w:szCs w:val="24"/>
        </w:rPr>
        <w:t>T</w:t>
      </w:r>
      <w:r w:rsidR="007F5843">
        <w:rPr>
          <w:rFonts w:ascii="Arial" w:hAnsi="Arial" w:cs="Arial"/>
          <w:sz w:val="24"/>
          <w:szCs w:val="24"/>
        </w:rPr>
        <w:t xml:space="preserve">he remaining balances in accounts </w:t>
      </w:r>
      <w:r>
        <w:rPr>
          <w:rFonts w:ascii="Arial" w:hAnsi="Arial" w:cs="Arial"/>
          <w:sz w:val="24"/>
          <w:szCs w:val="24"/>
        </w:rPr>
        <w:t>1595-2010 credit balance of $105, account 1595-2012</w:t>
      </w:r>
      <w:r w:rsidR="007F5843">
        <w:rPr>
          <w:rFonts w:ascii="Arial" w:hAnsi="Arial" w:cs="Arial"/>
          <w:sz w:val="24"/>
          <w:szCs w:val="24"/>
        </w:rPr>
        <w:t xml:space="preserve"> debit balance of $33</w:t>
      </w:r>
      <w:r>
        <w:rPr>
          <w:rFonts w:ascii="Arial" w:hAnsi="Arial" w:cs="Arial"/>
          <w:sz w:val="24"/>
          <w:szCs w:val="24"/>
        </w:rPr>
        <w:t>, account 1595-2015 debit balance $12,034 and account 1595-2016</w:t>
      </w:r>
      <w:r w:rsidRPr="009072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debit balance $12</w:t>
      </w:r>
      <w:r w:rsidRPr="004369C2">
        <w:rPr>
          <w:rFonts w:ascii="Arial" w:hAnsi="Arial" w:cs="Arial"/>
          <w:sz w:val="24"/>
          <w:szCs w:val="24"/>
        </w:rPr>
        <w:t>,918</w:t>
      </w:r>
      <w:r w:rsidR="007F5843" w:rsidRPr="004369C2">
        <w:rPr>
          <w:rFonts w:ascii="Arial" w:hAnsi="Arial" w:cs="Arial"/>
          <w:sz w:val="24"/>
          <w:szCs w:val="24"/>
        </w:rPr>
        <w:t xml:space="preserve"> are due to small residual balances </w:t>
      </w:r>
      <w:r w:rsidR="004369C2" w:rsidRPr="004369C2">
        <w:rPr>
          <w:rFonts w:ascii="Arial" w:hAnsi="Arial" w:cs="Arial"/>
          <w:sz w:val="24"/>
          <w:szCs w:val="24"/>
        </w:rPr>
        <w:t>based on typical volumetric billing determinant variances (e.g. number of customers and usage).”</w:t>
      </w:r>
    </w:p>
    <w:p w14:paraId="014754DA" w14:textId="77777777" w:rsidR="0087710C" w:rsidRPr="00907297" w:rsidRDefault="00F46F68" w:rsidP="00907297">
      <w:pPr>
        <w:rPr>
          <w:rFonts w:ascii="Arial" w:hAnsi="Arial" w:cs="Arial"/>
          <w:sz w:val="24"/>
          <w:szCs w:val="24"/>
        </w:rPr>
      </w:pPr>
      <w:r w:rsidRPr="00907297">
        <w:rPr>
          <w:rFonts w:ascii="Arial" w:hAnsi="Arial" w:cs="Arial"/>
          <w:b/>
          <w:sz w:val="24"/>
          <w:szCs w:val="24"/>
        </w:rPr>
        <w:t>Staff Question-2</w:t>
      </w:r>
    </w:p>
    <w:p w14:paraId="288EE166" w14:textId="77777777" w:rsidR="0087710C" w:rsidRDefault="0087710C" w:rsidP="008771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Ref: A portion of Tab 3. Continuity Schedule is reproduced below.  </w:t>
      </w:r>
    </w:p>
    <w:p w14:paraId="0C69D45C" w14:textId="77777777" w:rsidR="0087710C" w:rsidRDefault="00530CB7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3475973" wp14:editId="033F6347">
            <wp:extent cx="5943600" cy="37420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48548" w14:textId="77777777" w:rsidR="00D31CA2" w:rsidRDefault="00D31CA2">
      <w:pPr>
        <w:rPr>
          <w:rFonts w:ascii="Arial" w:hAnsi="Arial" w:cs="Arial"/>
          <w:sz w:val="24"/>
          <w:szCs w:val="24"/>
        </w:rPr>
      </w:pPr>
    </w:p>
    <w:p w14:paraId="6F79F1A9" w14:textId="77777777" w:rsidR="0087710C" w:rsidRDefault="00367490" w:rsidP="0036749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67490">
        <w:rPr>
          <w:rFonts w:ascii="Arial" w:hAnsi="Arial" w:cs="Arial"/>
          <w:sz w:val="24"/>
          <w:szCs w:val="24"/>
        </w:rPr>
        <w:t>O</w:t>
      </w:r>
      <w:r w:rsidR="003E0D7E">
        <w:rPr>
          <w:rFonts w:ascii="Arial" w:hAnsi="Arial" w:cs="Arial"/>
          <w:sz w:val="24"/>
          <w:szCs w:val="24"/>
        </w:rPr>
        <w:t xml:space="preserve">EB staff notes that there are no </w:t>
      </w:r>
      <w:r w:rsidR="004A4BF9">
        <w:rPr>
          <w:rFonts w:ascii="Arial" w:hAnsi="Arial" w:cs="Arial"/>
          <w:sz w:val="24"/>
          <w:szCs w:val="24"/>
        </w:rPr>
        <w:t>un</w:t>
      </w:r>
      <w:r w:rsidR="003E0D7E">
        <w:rPr>
          <w:rFonts w:ascii="Arial" w:hAnsi="Arial" w:cs="Arial"/>
          <w:sz w:val="24"/>
          <w:szCs w:val="24"/>
        </w:rPr>
        <w:t>explained variances with RRR</w:t>
      </w:r>
      <w:r w:rsidRPr="00367490">
        <w:rPr>
          <w:rFonts w:ascii="Arial" w:hAnsi="Arial" w:cs="Arial"/>
          <w:sz w:val="24"/>
          <w:szCs w:val="24"/>
        </w:rPr>
        <w:t>. Please explain each</w:t>
      </w:r>
      <w:r w:rsidR="003E0D7E">
        <w:rPr>
          <w:rFonts w:ascii="Arial" w:hAnsi="Arial" w:cs="Arial"/>
          <w:sz w:val="24"/>
          <w:szCs w:val="24"/>
        </w:rPr>
        <w:t xml:space="preserve"> of the adjustments in column AV and BA</w:t>
      </w:r>
      <w:r w:rsidRPr="00367490">
        <w:rPr>
          <w:rFonts w:ascii="Arial" w:hAnsi="Arial" w:cs="Arial"/>
          <w:sz w:val="24"/>
          <w:szCs w:val="24"/>
        </w:rPr>
        <w:t xml:space="preserve">. </w:t>
      </w:r>
    </w:p>
    <w:p w14:paraId="3438C21A" w14:textId="77777777" w:rsidR="004C014D" w:rsidRPr="004C014D" w:rsidRDefault="004C014D" w:rsidP="004C01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confirm these are not adjustments to previously disposed of balances. </w:t>
      </w:r>
    </w:p>
    <w:p w14:paraId="007B33E5" w14:textId="77777777" w:rsidR="003E0D7E" w:rsidRDefault="004C014D" w:rsidP="0036749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explain why column AT</w:t>
      </w:r>
      <w:r w:rsidR="003E0D7E">
        <w:rPr>
          <w:rFonts w:ascii="Arial" w:hAnsi="Arial" w:cs="Arial"/>
          <w:sz w:val="24"/>
          <w:szCs w:val="24"/>
        </w:rPr>
        <w:t xml:space="preserve"> transaction column is not filled out. </w:t>
      </w:r>
    </w:p>
    <w:p w14:paraId="11828082" w14:textId="77777777" w:rsidR="00F46F68" w:rsidRDefault="00F46F68" w:rsidP="00F46F68">
      <w:pPr>
        <w:pStyle w:val="ListParagraph"/>
        <w:rPr>
          <w:rFonts w:ascii="Arial" w:hAnsi="Arial" w:cs="Arial"/>
          <w:sz w:val="24"/>
          <w:szCs w:val="24"/>
        </w:rPr>
      </w:pPr>
    </w:p>
    <w:p w14:paraId="5688A410" w14:textId="77777777" w:rsidR="000D21C1" w:rsidRPr="008C4A5E" w:rsidRDefault="000D21C1" w:rsidP="000D21C1">
      <w:pPr>
        <w:rPr>
          <w:rFonts w:ascii="Arial" w:hAnsi="Arial" w:cs="Arial"/>
          <w:b/>
          <w:sz w:val="24"/>
          <w:szCs w:val="24"/>
          <w:u w:val="single"/>
        </w:rPr>
      </w:pPr>
      <w:r w:rsidRPr="008C4A5E">
        <w:rPr>
          <w:rFonts w:ascii="Arial" w:hAnsi="Arial" w:cs="Arial"/>
          <w:b/>
          <w:sz w:val="24"/>
          <w:szCs w:val="24"/>
          <w:u w:val="single"/>
        </w:rPr>
        <w:t xml:space="preserve">STEI Response </w:t>
      </w:r>
    </w:p>
    <w:p w14:paraId="530ADEED" w14:textId="77777777" w:rsidR="0016298C" w:rsidRPr="0016298C" w:rsidRDefault="006A1D85" w:rsidP="0016298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STEI has updated the 2015 continuity </w:t>
      </w:r>
      <w:r w:rsidR="00192569">
        <w:rPr>
          <w:rFonts w:ascii="Arial" w:hAnsi="Arial" w:cs="Arial"/>
          <w:sz w:val="24"/>
          <w:szCs w:val="24"/>
        </w:rPr>
        <w:t>schedule to agree to the 2017</w:t>
      </w:r>
      <w:r>
        <w:rPr>
          <w:rFonts w:ascii="Arial" w:hAnsi="Arial" w:cs="Arial"/>
          <w:sz w:val="24"/>
          <w:szCs w:val="24"/>
        </w:rPr>
        <w:t xml:space="preserve"> IRM Application EB</w:t>
      </w:r>
      <w:r w:rsidR="00FE233E">
        <w:rPr>
          <w:rFonts w:ascii="Arial" w:hAnsi="Arial" w:cs="Arial"/>
          <w:sz w:val="24"/>
          <w:szCs w:val="24"/>
        </w:rPr>
        <w:t xml:space="preserve">-2016-0104. </w:t>
      </w:r>
      <w:r w:rsidR="0016298C">
        <w:rPr>
          <w:rFonts w:ascii="Arial" w:hAnsi="Arial" w:cs="Arial"/>
          <w:sz w:val="24"/>
          <w:szCs w:val="24"/>
        </w:rPr>
        <w:t>The 2015 balances were inadvertently recorded in the wrong columns.</w:t>
      </w:r>
    </w:p>
    <w:p w14:paraId="63171BD6" w14:textId="77777777" w:rsidR="00FE233E" w:rsidRDefault="00FE233E" w:rsidP="006A1D85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STEI confirms that no adjustments were made to the previously disposed of balances.</w:t>
      </w:r>
    </w:p>
    <w:p w14:paraId="0893D69C" w14:textId="77777777" w:rsidR="00050D4A" w:rsidRDefault="00FE233E" w:rsidP="00F46F6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noted above, please refer to the revised 2015 continuity schedule. </w:t>
      </w:r>
    </w:p>
    <w:p w14:paraId="2A9CC76F" w14:textId="77777777" w:rsidR="00FE233E" w:rsidRPr="00FE233E" w:rsidRDefault="00FE233E" w:rsidP="00FE233E">
      <w:pPr>
        <w:pStyle w:val="ListParagraph"/>
        <w:rPr>
          <w:rFonts w:ascii="Arial" w:hAnsi="Arial" w:cs="Arial"/>
          <w:sz w:val="24"/>
          <w:szCs w:val="24"/>
        </w:rPr>
      </w:pPr>
    </w:p>
    <w:p w14:paraId="5B9BBFF8" w14:textId="77777777" w:rsidR="00F46F68" w:rsidRPr="0087710C" w:rsidRDefault="00F46F68" w:rsidP="00F46F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Question-3</w:t>
      </w:r>
    </w:p>
    <w:p w14:paraId="01207459" w14:textId="77777777" w:rsidR="003E0D7E" w:rsidRPr="00F4495D" w:rsidRDefault="00F46F68" w:rsidP="00F46F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Ref: </w:t>
      </w:r>
      <w:r w:rsidR="003E0D7E">
        <w:rPr>
          <w:rFonts w:ascii="Arial" w:hAnsi="Arial" w:cs="Arial"/>
          <w:sz w:val="24"/>
          <w:szCs w:val="24"/>
        </w:rPr>
        <w:t>St. Thomas Decision EB-2016-0104</w:t>
      </w:r>
    </w:p>
    <w:p w14:paraId="551C3959" w14:textId="77777777" w:rsidR="00700AD7" w:rsidRDefault="006F43AD" w:rsidP="00374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the </w:t>
      </w:r>
      <w:r w:rsidR="007365AC">
        <w:rPr>
          <w:rFonts w:ascii="Arial" w:hAnsi="Arial" w:cs="Arial"/>
          <w:sz w:val="24"/>
          <w:szCs w:val="24"/>
        </w:rPr>
        <w:t xml:space="preserve">OEB </w:t>
      </w:r>
      <w:r>
        <w:rPr>
          <w:rFonts w:ascii="Arial" w:hAnsi="Arial" w:cs="Arial"/>
          <w:sz w:val="24"/>
          <w:szCs w:val="24"/>
        </w:rPr>
        <w:t>has</w:t>
      </w:r>
      <w:r w:rsidR="007365AC">
        <w:rPr>
          <w:rFonts w:ascii="Arial" w:hAnsi="Arial" w:cs="Arial"/>
          <w:sz w:val="24"/>
          <w:szCs w:val="24"/>
        </w:rPr>
        <w:t xml:space="preserve"> not conduct</w:t>
      </w:r>
      <w:r>
        <w:rPr>
          <w:rFonts w:ascii="Arial" w:hAnsi="Arial" w:cs="Arial"/>
          <w:sz w:val="24"/>
          <w:szCs w:val="24"/>
        </w:rPr>
        <w:t>ed</w:t>
      </w:r>
      <w:r w:rsidR="007365AC">
        <w:rPr>
          <w:rFonts w:ascii="Arial" w:hAnsi="Arial" w:cs="Arial"/>
          <w:sz w:val="24"/>
          <w:szCs w:val="24"/>
        </w:rPr>
        <w:t xml:space="preserve"> an audit of St. Thomas’s Accounts 1588 and 1589 </w:t>
      </w:r>
      <w:r>
        <w:rPr>
          <w:rFonts w:ascii="Arial" w:hAnsi="Arial" w:cs="Arial"/>
          <w:sz w:val="24"/>
          <w:szCs w:val="24"/>
        </w:rPr>
        <w:t>yet, p</w:t>
      </w:r>
      <w:r w:rsidR="003D4A1A" w:rsidRPr="004C014D">
        <w:rPr>
          <w:rFonts w:ascii="Arial" w:hAnsi="Arial" w:cs="Arial"/>
          <w:sz w:val="24"/>
          <w:szCs w:val="24"/>
        </w:rPr>
        <w:t xml:space="preserve">lease </w:t>
      </w:r>
      <w:r w:rsidR="007365AC" w:rsidRPr="004C014D">
        <w:rPr>
          <w:rFonts w:ascii="Arial" w:hAnsi="Arial" w:cs="Arial"/>
          <w:sz w:val="24"/>
          <w:szCs w:val="24"/>
        </w:rPr>
        <w:t xml:space="preserve">explain the rationale for requesting disposition of Accounts </w:t>
      </w:r>
      <w:r w:rsidR="003742D2">
        <w:rPr>
          <w:rFonts w:ascii="Arial" w:hAnsi="Arial" w:cs="Arial"/>
          <w:sz w:val="24"/>
          <w:szCs w:val="24"/>
        </w:rPr>
        <w:t>Group 1 accounts</w:t>
      </w:r>
      <w:r w:rsidR="007365AC" w:rsidRPr="004C014D">
        <w:rPr>
          <w:rFonts w:ascii="Arial" w:hAnsi="Arial" w:cs="Arial"/>
          <w:sz w:val="24"/>
          <w:szCs w:val="24"/>
        </w:rPr>
        <w:t xml:space="preserve"> before the audit has been completed.</w:t>
      </w:r>
      <w:r w:rsidR="006C7430" w:rsidRPr="006C7430">
        <w:rPr>
          <w:noProof/>
          <w:lang w:val="en-US"/>
        </w:rPr>
        <w:t xml:space="preserve"> </w:t>
      </w:r>
      <w:r w:rsidR="006C7430">
        <w:rPr>
          <w:noProof/>
          <w:lang w:val="en-US"/>
        </w:rPr>
        <w:drawing>
          <wp:inline distT="0" distB="0" distL="0" distR="0" wp14:anchorId="31D04DBF" wp14:editId="1F435FA6">
            <wp:extent cx="5943600" cy="16154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0DBF5" w14:textId="77777777" w:rsidR="00700AD7" w:rsidRDefault="00700AD7" w:rsidP="00F4495D">
      <w:pPr>
        <w:ind w:firstLine="720"/>
        <w:rPr>
          <w:rFonts w:ascii="Arial" w:hAnsi="Arial" w:cs="Arial"/>
          <w:b/>
          <w:sz w:val="24"/>
          <w:szCs w:val="24"/>
          <w:u w:val="single"/>
        </w:rPr>
      </w:pPr>
      <w:r w:rsidRPr="00700AD7">
        <w:rPr>
          <w:rFonts w:ascii="Arial" w:hAnsi="Arial" w:cs="Arial"/>
          <w:b/>
          <w:sz w:val="24"/>
          <w:szCs w:val="24"/>
          <w:u w:val="single"/>
        </w:rPr>
        <w:t>STEI Response</w:t>
      </w:r>
    </w:p>
    <w:p w14:paraId="05931608" w14:textId="77777777" w:rsidR="006C7430" w:rsidRDefault="006C7430" w:rsidP="00F4495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indicated above in</w:t>
      </w:r>
      <w:r w:rsidR="00F4495D">
        <w:rPr>
          <w:rFonts w:ascii="Arial" w:hAnsi="Arial" w:cs="Arial"/>
          <w:sz w:val="24"/>
          <w:szCs w:val="24"/>
        </w:rPr>
        <w:t xml:space="preserve"> STEI’s</w:t>
      </w:r>
      <w:r>
        <w:rPr>
          <w:rFonts w:ascii="Arial" w:hAnsi="Arial" w:cs="Arial"/>
          <w:sz w:val="24"/>
          <w:szCs w:val="24"/>
        </w:rPr>
        <w:t xml:space="preserve"> EB-2016-0104 D</w:t>
      </w:r>
      <w:r w:rsidR="00F4495D">
        <w:rPr>
          <w:rFonts w:ascii="Arial" w:hAnsi="Arial" w:cs="Arial"/>
          <w:sz w:val="24"/>
          <w:szCs w:val="24"/>
        </w:rPr>
        <w:t xml:space="preserve">ecision and Rate Order </w:t>
      </w:r>
      <w:r w:rsidR="00A91BE0">
        <w:rPr>
          <w:rFonts w:ascii="Arial" w:hAnsi="Arial" w:cs="Arial"/>
          <w:sz w:val="24"/>
          <w:szCs w:val="24"/>
        </w:rPr>
        <w:t>the OEB noted:</w:t>
      </w:r>
      <w:r>
        <w:rPr>
          <w:rFonts w:ascii="Arial" w:hAnsi="Arial" w:cs="Arial"/>
          <w:sz w:val="24"/>
          <w:szCs w:val="24"/>
        </w:rPr>
        <w:t xml:space="preserve"> </w:t>
      </w:r>
      <w:r w:rsidRPr="006C7430">
        <w:rPr>
          <w:rFonts w:ascii="Arial" w:hAnsi="Arial" w:cs="Arial"/>
          <w:i/>
          <w:sz w:val="24"/>
          <w:szCs w:val="24"/>
        </w:rPr>
        <w:t>“The results of this audit would be expected to be available for consideration in the applicant’s next rate application”.</w:t>
      </w:r>
      <w:r>
        <w:rPr>
          <w:rFonts w:ascii="Arial" w:hAnsi="Arial" w:cs="Arial"/>
          <w:sz w:val="24"/>
          <w:szCs w:val="24"/>
        </w:rPr>
        <w:t xml:space="preserve"> </w:t>
      </w:r>
      <w:r w:rsidR="00A91BE0">
        <w:rPr>
          <w:rFonts w:ascii="Arial" w:hAnsi="Arial" w:cs="Arial"/>
          <w:sz w:val="24"/>
          <w:szCs w:val="24"/>
        </w:rPr>
        <w:t xml:space="preserve">As a result of this, STEI was optimistic that the DVA audit would be completed before the 2018 IRM </w:t>
      </w:r>
      <w:r w:rsidR="006B3812">
        <w:rPr>
          <w:rFonts w:ascii="Arial" w:hAnsi="Arial" w:cs="Arial"/>
          <w:sz w:val="24"/>
          <w:szCs w:val="24"/>
        </w:rPr>
        <w:t>Decision and Rate Order</w:t>
      </w:r>
      <w:r w:rsidR="004E4773">
        <w:rPr>
          <w:rFonts w:ascii="Arial" w:hAnsi="Arial" w:cs="Arial"/>
          <w:sz w:val="24"/>
          <w:szCs w:val="24"/>
        </w:rPr>
        <w:t xml:space="preserve"> Application EB-2017-0074</w:t>
      </w:r>
      <w:r w:rsidR="006B3812">
        <w:rPr>
          <w:rFonts w:ascii="Arial" w:hAnsi="Arial" w:cs="Arial"/>
          <w:sz w:val="24"/>
          <w:szCs w:val="24"/>
        </w:rPr>
        <w:t xml:space="preserve">. As such, STEI </w:t>
      </w:r>
      <w:r w:rsidR="004E4773">
        <w:rPr>
          <w:rFonts w:ascii="Arial" w:hAnsi="Arial" w:cs="Arial"/>
          <w:sz w:val="24"/>
          <w:szCs w:val="24"/>
        </w:rPr>
        <w:t>requested the disposition of its</w:t>
      </w:r>
      <w:r w:rsidR="00DC456F">
        <w:rPr>
          <w:rFonts w:ascii="Arial" w:hAnsi="Arial" w:cs="Arial"/>
          <w:sz w:val="24"/>
          <w:szCs w:val="24"/>
        </w:rPr>
        <w:t xml:space="preserve"> Group 1 account balances</w:t>
      </w:r>
      <w:r w:rsidR="006B3812">
        <w:rPr>
          <w:rFonts w:ascii="Arial" w:hAnsi="Arial" w:cs="Arial"/>
          <w:sz w:val="24"/>
          <w:szCs w:val="24"/>
        </w:rPr>
        <w:t xml:space="preserve">. </w:t>
      </w:r>
    </w:p>
    <w:p w14:paraId="76C0E414" w14:textId="77777777" w:rsidR="006B3812" w:rsidRPr="00A91BE0" w:rsidRDefault="004E4773" w:rsidP="00F4495D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OEB’s</w:t>
      </w:r>
      <w:r w:rsidR="006B3812">
        <w:rPr>
          <w:rFonts w:ascii="Arial" w:hAnsi="Arial" w:cs="Arial"/>
          <w:sz w:val="24"/>
          <w:szCs w:val="24"/>
        </w:rPr>
        <w:t xml:space="preserve"> DVA audit on STEI’s 2015 and 2016 1588 and 1589 Accounts is currently on-going. </w:t>
      </w:r>
      <w:r w:rsidR="00DC456F"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z w:val="24"/>
          <w:szCs w:val="24"/>
        </w:rPr>
        <w:t xml:space="preserve"> </w:t>
      </w:r>
      <w:r w:rsidR="00F4495D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audit is not completed at the</w:t>
      </w:r>
      <w:r w:rsidR="00DC456F">
        <w:rPr>
          <w:rFonts w:ascii="Arial" w:hAnsi="Arial" w:cs="Arial"/>
          <w:sz w:val="24"/>
          <w:szCs w:val="24"/>
        </w:rPr>
        <w:t xml:space="preserve"> time </w:t>
      </w:r>
      <w:r>
        <w:rPr>
          <w:rFonts w:ascii="Arial" w:hAnsi="Arial" w:cs="Arial"/>
          <w:sz w:val="24"/>
          <w:szCs w:val="24"/>
        </w:rPr>
        <w:t>the final Decision and Rate Order</w:t>
      </w:r>
      <w:r w:rsidR="00DC456F">
        <w:rPr>
          <w:rFonts w:ascii="Arial" w:hAnsi="Arial" w:cs="Arial"/>
          <w:sz w:val="24"/>
          <w:szCs w:val="24"/>
        </w:rPr>
        <w:t xml:space="preserve"> is made on STEI’s EB-2017-0074 Application</w:t>
      </w:r>
      <w:r>
        <w:rPr>
          <w:rFonts w:ascii="Arial" w:hAnsi="Arial" w:cs="Arial"/>
          <w:sz w:val="24"/>
          <w:szCs w:val="24"/>
        </w:rPr>
        <w:t xml:space="preserve"> STEI understands that the disposition of the Group 1 account balances </w:t>
      </w:r>
      <w:r w:rsidR="00DC456F">
        <w:rPr>
          <w:rFonts w:ascii="Arial" w:hAnsi="Arial" w:cs="Arial"/>
          <w:sz w:val="24"/>
          <w:szCs w:val="24"/>
        </w:rPr>
        <w:t xml:space="preserve">will be deferred until the audit has been completed. </w:t>
      </w:r>
    </w:p>
    <w:p w14:paraId="60FAD5CA" w14:textId="77777777" w:rsidR="0086149C" w:rsidRPr="0086149C" w:rsidRDefault="0086149C" w:rsidP="007365AC">
      <w:pPr>
        <w:pStyle w:val="ListParagraph"/>
        <w:rPr>
          <w:rFonts w:ascii="Arial" w:hAnsi="Arial" w:cs="Arial"/>
          <w:sz w:val="24"/>
          <w:szCs w:val="24"/>
        </w:rPr>
      </w:pPr>
    </w:p>
    <w:sectPr w:rsidR="0086149C" w:rsidRPr="0086149C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6891"/>
    <w:multiLevelType w:val="hybridMultilevel"/>
    <w:tmpl w:val="F9E69E80"/>
    <w:lvl w:ilvl="0" w:tplc="3E4C35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07542"/>
    <w:multiLevelType w:val="hybridMultilevel"/>
    <w:tmpl w:val="49E2ED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6578E"/>
    <w:multiLevelType w:val="hybridMultilevel"/>
    <w:tmpl w:val="3762FD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72B3E"/>
    <w:multiLevelType w:val="hybridMultilevel"/>
    <w:tmpl w:val="35CE7FC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26305"/>
    <w:multiLevelType w:val="hybridMultilevel"/>
    <w:tmpl w:val="F2589B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D7B40"/>
    <w:multiLevelType w:val="hybridMultilevel"/>
    <w:tmpl w:val="11BA69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54A18"/>
    <w:multiLevelType w:val="hybridMultilevel"/>
    <w:tmpl w:val="A52065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A726D"/>
    <w:multiLevelType w:val="hybridMultilevel"/>
    <w:tmpl w:val="034E384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D778E"/>
    <w:multiLevelType w:val="hybridMultilevel"/>
    <w:tmpl w:val="AE186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D0ABD"/>
    <w:multiLevelType w:val="hybridMultilevel"/>
    <w:tmpl w:val="032E5D7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A1"/>
    <w:rsid w:val="00050D4A"/>
    <w:rsid w:val="00082AD7"/>
    <w:rsid w:val="000D21C1"/>
    <w:rsid w:val="000F3B73"/>
    <w:rsid w:val="0016298C"/>
    <w:rsid w:val="00192569"/>
    <w:rsid w:val="00193C94"/>
    <w:rsid w:val="001B532B"/>
    <w:rsid w:val="001B5962"/>
    <w:rsid w:val="00244807"/>
    <w:rsid w:val="0025658F"/>
    <w:rsid w:val="00292AD2"/>
    <w:rsid w:val="002B0EBE"/>
    <w:rsid w:val="002D043C"/>
    <w:rsid w:val="002F4C94"/>
    <w:rsid w:val="0033242E"/>
    <w:rsid w:val="003562EE"/>
    <w:rsid w:val="00367490"/>
    <w:rsid w:val="003742D2"/>
    <w:rsid w:val="00381270"/>
    <w:rsid w:val="003963A0"/>
    <w:rsid w:val="003D1D5B"/>
    <w:rsid w:val="003D4A1A"/>
    <w:rsid w:val="003D5FD0"/>
    <w:rsid w:val="003E0D7E"/>
    <w:rsid w:val="00412DC6"/>
    <w:rsid w:val="004369C2"/>
    <w:rsid w:val="00453F40"/>
    <w:rsid w:val="004A4BF9"/>
    <w:rsid w:val="004B3B3C"/>
    <w:rsid w:val="004C014D"/>
    <w:rsid w:val="004D4A3C"/>
    <w:rsid w:val="004E2CA1"/>
    <w:rsid w:val="004E38AF"/>
    <w:rsid w:val="004E4773"/>
    <w:rsid w:val="005129F6"/>
    <w:rsid w:val="005153BD"/>
    <w:rsid w:val="005216C4"/>
    <w:rsid w:val="00530CB7"/>
    <w:rsid w:val="00533701"/>
    <w:rsid w:val="00562518"/>
    <w:rsid w:val="0057782A"/>
    <w:rsid w:val="006102E1"/>
    <w:rsid w:val="00667608"/>
    <w:rsid w:val="00675764"/>
    <w:rsid w:val="006A1D85"/>
    <w:rsid w:val="006B3812"/>
    <w:rsid w:val="006C7430"/>
    <w:rsid w:val="006F39DD"/>
    <w:rsid w:val="006F43AD"/>
    <w:rsid w:val="006F6148"/>
    <w:rsid w:val="00700AD7"/>
    <w:rsid w:val="00712372"/>
    <w:rsid w:val="007365AC"/>
    <w:rsid w:val="00746080"/>
    <w:rsid w:val="00776C1B"/>
    <w:rsid w:val="007C7362"/>
    <w:rsid w:val="007F422B"/>
    <w:rsid w:val="007F5843"/>
    <w:rsid w:val="008440E2"/>
    <w:rsid w:val="0085738E"/>
    <w:rsid w:val="0086149C"/>
    <w:rsid w:val="00863EEE"/>
    <w:rsid w:val="0087103D"/>
    <w:rsid w:val="00875BAD"/>
    <w:rsid w:val="0087710C"/>
    <w:rsid w:val="00877861"/>
    <w:rsid w:val="008C4A5E"/>
    <w:rsid w:val="008E1B05"/>
    <w:rsid w:val="00907297"/>
    <w:rsid w:val="00952496"/>
    <w:rsid w:val="00986709"/>
    <w:rsid w:val="009B029E"/>
    <w:rsid w:val="009D2D4A"/>
    <w:rsid w:val="009E7752"/>
    <w:rsid w:val="00A31614"/>
    <w:rsid w:val="00A345F8"/>
    <w:rsid w:val="00A91BE0"/>
    <w:rsid w:val="00AA06D9"/>
    <w:rsid w:val="00AB0889"/>
    <w:rsid w:val="00AB652C"/>
    <w:rsid w:val="00AB7DA0"/>
    <w:rsid w:val="00AE4EA7"/>
    <w:rsid w:val="00B23D6D"/>
    <w:rsid w:val="00B25576"/>
    <w:rsid w:val="00C317BD"/>
    <w:rsid w:val="00C41170"/>
    <w:rsid w:val="00C57069"/>
    <w:rsid w:val="00CA7690"/>
    <w:rsid w:val="00CB63BF"/>
    <w:rsid w:val="00CE68FB"/>
    <w:rsid w:val="00D31CA2"/>
    <w:rsid w:val="00D37C04"/>
    <w:rsid w:val="00D37C96"/>
    <w:rsid w:val="00D862AF"/>
    <w:rsid w:val="00D90308"/>
    <w:rsid w:val="00DA673B"/>
    <w:rsid w:val="00DC456F"/>
    <w:rsid w:val="00DE08F5"/>
    <w:rsid w:val="00E9120F"/>
    <w:rsid w:val="00EA0919"/>
    <w:rsid w:val="00EB21D0"/>
    <w:rsid w:val="00EC3DE2"/>
    <w:rsid w:val="00EC65C6"/>
    <w:rsid w:val="00F256DB"/>
    <w:rsid w:val="00F4209D"/>
    <w:rsid w:val="00F4495D"/>
    <w:rsid w:val="00F46F68"/>
    <w:rsid w:val="00F60C62"/>
    <w:rsid w:val="00F647E3"/>
    <w:rsid w:val="00F76DB7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0B29"/>
  <w15:docId w15:val="{4B49364C-73DC-4A84-8324-F78055F0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C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71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674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94AE2-4C97-4D0C-AE98-2CC9E155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Benincasa</dc:creator>
  <cp:lastModifiedBy>Lisa Barker</cp:lastModifiedBy>
  <cp:revision>4</cp:revision>
  <cp:lastPrinted>2017-10-18T14:42:00Z</cp:lastPrinted>
  <dcterms:created xsi:type="dcterms:W3CDTF">2017-10-20T16:18:00Z</dcterms:created>
  <dcterms:modified xsi:type="dcterms:W3CDTF">2017-10-20T17:35:00Z</dcterms:modified>
</cp:coreProperties>
</file>