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80" w:rsidRPr="00394351" w:rsidRDefault="00E8235A" w:rsidP="00D0773D">
      <w:pPr>
        <w:jc w:val="center"/>
        <w:rPr>
          <w:rFonts w:ascii="Arial" w:hAnsi="Arial" w:cs="Arial"/>
          <w:b/>
          <w:sz w:val="28"/>
          <w:szCs w:val="28"/>
        </w:rPr>
      </w:pPr>
      <w:r>
        <w:rPr>
          <w:rFonts w:ascii="Arial" w:hAnsi="Arial" w:cs="Arial"/>
          <w:b/>
          <w:sz w:val="28"/>
          <w:szCs w:val="28"/>
        </w:rPr>
        <w:t>Brantford Power Inc.</w:t>
      </w:r>
    </w:p>
    <w:p w:rsidR="00394351" w:rsidRDefault="00E8235A" w:rsidP="00394351">
      <w:pPr>
        <w:jc w:val="center"/>
        <w:rPr>
          <w:rFonts w:ascii="Arial" w:hAnsi="Arial" w:cs="Arial"/>
          <w:b/>
          <w:sz w:val="28"/>
          <w:szCs w:val="28"/>
        </w:rPr>
      </w:pPr>
      <w:r>
        <w:rPr>
          <w:rFonts w:ascii="Arial" w:hAnsi="Arial" w:cs="Arial"/>
          <w:b/>
          <w:sz w:val="28"/>
          <w:szCs w:val="28"/>
        </w:rPr>
        <w:t>2018</w:t>
      </w:r>
      <w:r w:rsidR="00394351">
        <w:rPr>
          <w:rFonts w:ascii="Arial" w:hAnsi="Arial" w:cs="Arial"/>
          <w:b/>
          <w:sz w:val="28"/>
          <w:szCs w:val="28"/>
        </w:rPr>
        <w:t xml:space="preserve"> Price Cap IR Application </w:t>
      </w:r>
      <w:r w:rsidR="00D0773D">
        <w:rPr>
          <w:rFonts w:ascii="Arial" w:hAnsi="Arial" w:cs="Arial"/>
          <w:b/>
          <w:sz w:val="28"/>
          <w:szCs w:val="28"/>
        </w:rPr>
        <w:t>(EB-201</w:t>
      </w:r>
      <w:r>
        <w:rPr>
          <w:rFonts w:ascii="Arial" w:hAnsi="Arial" w:cs="Arial"/>
          <w:b/>
          <w:sz w:val="28"/>
          <w:szCs w:val="28"/>
        </w:rPr>
        <w:t>7-0028</w:t>
      </w:r>
      <w:r w:rsidR="006125B7">
        <w:rPr>
          <w:rFonts w:ascii="Arial" w:hAnsi="Arial" w:cs="Arial"/>
          <w:b/>
          <w:sz w:val="28"/>
          <w:szCs w:val="28"/>
        </w:rPr>
        <w:t>)</w:t>
      </w:r>
      <w:r w:rsidR="00B20109">
        <w:rPr>
          <w:rFonts w:ascii="Arial" w:hAnsi="Arial" w:cs="Arial"/>
          <w:b/>
          <w:sz w:val="28"/>
          <w:szCs w:val="28"/>
        </w:rPr>
        <w:t xml:space="preserve">                                                                                                                                                                                                                                                                                                                                                      </w:t>
      </w:r>
      <w:r w:rsidR="006125B7">
        <w:rPr>
          <w:rFonts w:ascii="Arial" w:hAnsi="Arial" w:cs="Arial"/>
          <w:b/>
          <w:sz w:val="28"/>
          <w:szCs w:val="28"/>
        </w:rPr>
        <w:t xml:space="preserve">                             </w:t>
      </w:r>
    </w:p>
    <w:p w:rsidR="00304228" w:rsidRDefault="004B218E" w:rsidP="00CC447E">
      <w:pPr>
        <w:jc w:val="center"/>
        <w:rPr>
          <w:rFonts w:ascii="Arial" w:hAnsi="Arial" w:cs="Arial"/>
          <w:b/>
          <w:sz w:val="28"/>
          <w:szCs w:val="28"/>
        </w:rPr>
      </w:pPr>
      <w:r>
        <w:rPr>
          <w:rFonts w:ascii="Arial" w:hAnsi="Arial" w:cs="Arial"/>
          <w:b/>
          <w:sz w:val="28"/>
          <w:szCs w:val="28"/>
        </w:rPr>
        <w:t xml:space="preserve">Follow-up </w:t>
      </w:r>
      <w:r w:rsidR="00304228">
        <w:rPr>
          <w:rFonts w:ascii="Arial" w:hAnsi="Arial" w:cs="Arial"/>
          <w:b/>
          <w:sz w:val="28"/>
          <w:szCs w:val="28"/>
        </w:rPr>
        <w:t>Questions</w:t>
      </w:r>
    </w:p>
    <w:p w:rsidR="00E6651E" w:rsidRPr="00304228" w:rsidRDefault="008737C8" w:rsidP="00304228">
      <w:pPr>
        <w:jc w:val="center"/>
        <w:rPr>
          <w:rFonts w:ascii="Arial" w:hAnsi="Arial" w:cs="Arial"/>
          <w:b/>
          <w:sz w:val="24"/>
          <w:szCs w:val="28"/>
        </w:rPr>
      </w:pPr>
      <w:r w:rsidRPr="0081277D">
        <w:rPr>
          <w:rFonts w:ascii="Arial" w:hAnsi="Arial" w:cs="Arial"/>
          <w:b/>
          <w:sz w:val="24"/>
          <w:szCs w:val="28"/>
        </w:rPr>
        <w:t>October 1</w:t>
      </w:r>
      <w:r w:rsidR="0081277D" w:rsidRPr="0081277D">
        <w:rPr>
          <w:rFonts w:ascii="Arial" w:hAnsi="Arial" w:cs="Arial"/>
          <w:b/>
          <w:sz w:val="24"/>
          <w:szCs w:val="28"/>
        </w:rPr>
        <w:t>8</w:t>
      </w:r>
      <w:r w:rsidR="00E8235A" w:rsidRPr="0081277D">
        <w:rPr>
          <w:rFonts w:ascii="Arial" w:hAnsi="Arial" w:cs="Arial"/>
          <w:b/>
          <w:sz w:val="24"/>
          <w:szCs w:val="28"/>
        </w:rPr>
        <w:t>, 2017</w:t>
      </w:r>
    </w:p>
    <w:p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rsidR="00F72F89" w:rsidRDefault="006125B7" w:rsidP="0001354E">
      <w:pPr>
        <w:rPr>
          <w:rFonts w:ascii="Arial" w:hAnsi="Arial" w:cs="Arial"/>
          <w:b/>
          <w:sz w:val="24"/>
          <w:szCs w:val="24"/>
        </w:rPr>
      </w:pPr>
      <w:r>
        <w:rPr>
          <w:rFonts w:ascii="Arial" w:hAnsi="Arial" w:cs="Arial"/>
          <w:b/>
          <w:sz w:val="24"/>
          <w:szCs w:val="24"/>
        </w:rPr>
        <w:t xml:space="preserve">Ref: </w:t>
      </w:r>
      <w:r w:rsidR="009D5143">
        <w:rPr>
          <w:rFonts w:ascii="Arial" w:hAnsi="Arial" w:cs="Arial"/>
          <w:b/>
          <w:sz w:val="24"/>
          <w:szCs w:val="24"/>
        </w:rPr>
        <w:t xml:space="preserve">IRM Model </w:t>
      </w:r>
      <w:r w:rsidR="00DD09DC">
        <w:rPr>
          <w:rFonts w:ascii="Arial" w:hAnsi="Arial" w:cs="Arial"/>
          <w:b/>
          <w:sz w:val="24"/>
          <w:szCs w:val="24"/>
        </w:rPr>
        <w:t>Ta</w:t>
      </w:r>
      <w:r w:rsidR="00EC26AE">
        <w:rPr>
          <w:rFonts w:ascii="Arial" w:hAnsi="Arial" w:cs="Arial"/>
          <w:b/>
          <w:sz w:val="24"/>
          <w:szCs w:val="24"/>
        </w:rPr>
        <w:t xml:space="preserve">b </w:t>
      </w:r>
      <w:r w:rsidR="00B20109">
        <w:rPr>
          <w:rFonts w:ascii="Arial" w:hAnsi="Arial" w:cs="Arial"/>
          <w:b/>
          <w:sz w:val="24"/>
          <w:szCs w:val="24"/>
        </w:rPr>
        <w:t>3</w:t>
      </w:r>
      <w:r w:rsidR="00EC26AE">
        <w:rPr>
          <w:rFonts w:ascii="Arial" w:hAnsi="Arial" w:cs="Arial"/>
          <w:b/>
          <w:sz w:val="24"/>
          <w:szCs w:val="24"/>
        </w:rPr>
        <w:t xml:space="preserve">: </w:t>
      </w:r>
      <w:r w:rsidR="009D5143">
        <w:rPr>
          <w:rFonts w:ascii="Arial" w:hAnsi="Arial" w:cs="Arial"/>
          <w:b/>
          <w:sz w:val="24"/>
          <w:szCs w:val="24"/>
        </w:rPr>
        <w:t>Account 1588</w:t>
      </w:r>
      <w:r>
        <w:rPr>
          <w:rFonts w:ascii="Arial" w:hAnsi="Arial" w:cs="Arial"/>
          <w:b/>
          <w:sz w:val="24"/>
          <w:szCs w:val="24"/>
        </w:rPr>
        <w:t xml:space="preserve"> </w:t>
      </w:r>
      <w:r w:rsidR="009D5143">
        <w:rPr>
          <w:rFonts w:ascii="Arial" w:hAnsi="Arial" w:cs="Arial"/>
          <w:b/>
          <w:sz w:val="24"/>
          <w:szCs w:val="24"/>
        </w:rPr>
        <w:t xml:space="preserve">RSVA Power – 2015 OEB-approved interest disposition </w:t>
      </w:r>
    </w:p>
    <w:p w:rsidR="00601C3B" w:rsidRDefault="00E70B6A" w:rsidP="00601C3B">
      <w:pPr>
        <w:rPr>
          <w:rFonts w:ascii="Arial" w:hAnsi="Arial" w:cs="Arial"/>
          <w:sz w:val="24"/>
          <w:szCs w:val="24"/>
        </w:rPr>
      </w:pPr>
      <w:r>
        <w:rPr>
          <w:rFonts w:ascii="Arial" w:hAnsi="Arial" w:cs="Arial"/>
          <w:sz w:val="24"/>
          <w:szCs w:val="24"/>
        </w:rPr>
        <w:t>On tab 3 of the 2018</w:t>
      </w:r>
      <w:r w:rsidR="006125B7">
        <w:rPr>
          <w:rFonts w:ascii="Arial" w:hAnsi="Arial" w:cs="Arial"/>
          <w:sz w:val="24"/>
          <w:szCs w:val="24"/>
        </w:rPr>
        <w:t xml:space="preserve"> IRM model, </w:t>
      </w:r>
      <w:r>
        <w:rPr>
          <w:rFonts w:ascii="Arial" w:hAnsi="Arial" w:cs="Arial"/>
          <w:sz w:val="24"/>
          <w:szCs w:val="24"/>
        </w:rPr>
        <w:t xml:space="preserve">Brantford Power entered a </w:t>
      </w:r>
      <w:r w:rsidRPr="00E70B6A">
        <w:rPr>
          <w:rFonts w:ascii="Arial" w:hAnsi="Arial" w:cs="Arial"/>
          <w:sz w:val="24"/>
          <w:szCs w:val="24"/>
          <w:u w:val="single"/>
        </w:rPr>
        <w:t>debit</w:t>
      </w:r>
      <w:r>
        <w:rPr>
          <w:rFonts w:ascii="Arial" w:hAnsi="Arial" w:cs="Arial"/>
          <w:sz w:val="24"/>
          <w:szCs w:val="24"/>
        </w:rPr>
        <w:t xml:space="preserve"> balance of $53,320 in A</w:t>
      </w:r>
      <w:r w:rsidR="00E45775">
        <w:rPr>
          <w:rFonts w:ascii="Arial" w:hAnsi="Arial" w:cs="Arial"/>
          <w:sz w:val="24"/>
          <w:szCs w:val="24"/>
        </w:rPr>
        <w:t>ccount 158</w:t>
      </w:r>
      <w:r>
        <w:rPr>
          <w:rFonts w:ascii="Arial" w:hAnsi="Arial" w:cs="Arial"/>
          <w:sz w:val="24"/>
          <w:szCs w:val="24"/>
        </w:rPr>
        <w:t>8</w:t>
      </w:r>
      <w:r w:rsidR="00E45775">
        <w:rPr>
          <w:rFonts w:ascii="Arial" w:hAnsi="Arial" w:cs="Arial"/>
          <w:sz w:val="24"/>
          <w:szCs w:val="24"/>
        </w:rPr>
        <w:t xml:space="preserve"> </w:t>
      </w:r>
      <w:r>
        <w:rPr>
          <w:rFonts w:ascii="Arial" w:hAnsi="Arial" w:cs="Arial"/>
          <w:sz w:val="24"/>
          <w:szCs w:val="24"/>
        </w:rPr>
        <w:t xml:space="preserve">Power as the OEB-approved interest disposition amount in 2015. As per the Decision and Rate Order issued for Brantford Power’s 2015 IRM application, EB-2014-0187, the interest balance that was approved for disposition in 2015 was a </w:t>
      </w:r>
      <w:r w:rsidRPr="00E70B6A">
        <w:rPr>
          <w:rFonts w:ascii="Arial" w:hAnsi="Arial" w:cs="Arial"/>
          <w:sz w:val="24"/>
          <w:szCs w:val="24"/>
          <w:u w:val="single"/>
        </w:rPr>
        <w:t>credit</w:t>
      </w:r>
      <w:r>
        <w:rPr>
          <w:rFonts w:ascii="Arial" w:hAnsi="Arial" w:cs="Arial"/>
          <w:sz w:val="24"/>
          <w:szCs w:val="24"/>
        </w:rPr>
        <w:t xml:space="preserve"> balance of $53,310.</w:t>
      </w:r>
    </w:p>
    <w:p w:rsidR="00003BE1" w:rsidRDefault="00601C3B" w:rsidP="00003BE1">
      <w:pPr>
        <w:pStyle w:val="ListParagraph"/>
        <w:numPr>
          <w:ilvl w:val="0"/>
          <w:numId w:val="3"/>
        </w:numPr>
        <w:rPr>
          <w:rFonts w:ascii="Arial" w:hAnsi="Arial" w:cs="Arial"/>
          <w:sz w:val="24"/>
          <w:szCs w:val="24"/>
        </w:rPr>
      </w:pPr>
      <w:r w:rsidRPr="006125B7">
        <w:rPr>
          <w:rFonts w:ascii="Arial" w:hAnsi="Arial" w:cs="Arial"/>
          <w:sz w:val="24"/>
          <w:szCs w:val="24"/>
        </w:rPr>
        <w:t xml:space="preserve">Please confirm </w:t>
      </w:r>
      <w:r w:rsidR="00513825">
        <w:rPr>
          <w:rFonts w:ascii="Arial" w:hAnsi="Arial" w:cs="Arial"/>
          <w:sz w:val="24"/>
          <w:szCs w:val="24"/>
        </w:rPr>
        <w:t>whether or not</w:t>
      </w:r>
      <w:r w:rsidR="00003BE1">
        <w:rPr>
          <w:rFonts w:ascii="Arial" w:hAnsi="Arial" w:cs="Arial"/>
          <w:sz w:val="24"/>
          <w:szCs w:val="24"/>
        </w:rPr>
        <w:t xml:space="preserve"> </w:t>
      </w:r>
      <w:r w:rsidR="00E70B6A">
        <w:rPr>
          <w:rFonts w:ascii="Arial" w:hAnsi="Arial" w:cs="Arial"/>
          <w:sz w:val="24"/>
          <w:szCs w:val="24"/>
        </w:rPr>
        <w:t>this amount should be corrected to a credit balance of $53,310 in the continuity schedule in the IRM model</w:t>
      </w:r>
      <w:r w:rsidR="00003BE1">
        <w:rPr>
          <w:rFonts w:ascii="Arial" w:hAnsi="Arial" w:cs="Arial"/>
          <w:sz w:val="24"/>
          <w:szCs w:val="24"/>
        </w:rPr>
        <w:t>.</w:t>
      </w:r>
      <w:r w:rsidR="00E70B6A">
        <w:rPr>
          <w:rFonts w:ascii="Arial" w:hAnsi="Arial" w:cs="Arial"/>
          <w:sz w:val="24"/>
          <w:szCs w:val="24"/>
        </w:rPr>
        <w:t xml:space="preserve"> If not, please provide explanation for the discrepancy noted above.</w:t>
      </w:r>
    </w:p>
    <w:p w:rsidR="00003BE1" w:rsidRDefault="009D5143" w:rsidP="009D5143">
      <w:pPr>
        <w:rPr>
          <w:rFonts w:ascii="Arial" w:hAnsi="Arial" w:cs="Arial"/>
          <w:sz w:val="24"/>
          <w:szCs w:val="24"/>
        </w:rPr>
      </w:pPr>
      <w:r>
        <w:rPr>
          <w:noProof/>
          <w:lang w:val="en-US"/>
        </w:rPr>
        <w:drawing>
          <wp:inline distT="0" distB="0" distL="0" distR="0" wp14:anchorId="0AC1C77A" wp14:editId="0799CA7C">
            <wp:extent cx="4733334" cy="312381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33334" cy="3123810"/>
                    </a:xfrm>
                    <a:prstGeom prst="rect">
                      <a:avLst/>
                    </a:prstGeom>
                  </pic:spPr>
                </pic:pic>
              </a:graphicData>
            </a:graphic>
          </wp:inline>
        </w:drawing>
      </w:r>
    </w:p>
    <w:p w:rsidR="009D5143" w:rsidRPr="009D5143" w:rsidRDefault="009D5143" w:rsidP="009D5143">
      <w:pPr>
        <w:rPr>
          <w:rFonts w:ascii="Arial" w:hAnsi="Arial" w:cs="Arial"/>
          <w:sz w:val="24"/>
          <w:szCs w:val="24"/>
        </w:rPr>
      </w:pPr>
      <w:r>
        <w:rPr>
          <w:noProof/>
          <w:lang w:val="en-US"/>
        </w:rPr>
        <w:lastRenderedPageBreak/>
        <w:drawing>
          <wp:inline distT="0" distB="0" distL="0" distR="0" wp14:anchorId="393E54AB" wp14:editId="4D5DF756">
            <wp:extent cx="5943600" cy="28968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896870"/>
                    </a:xfrm>
                    <a:prstGeom prst="rect">
                      <a:avLst/>
                    </a:prstGeom>
                  </pic:spPr>
                </pic:pic>
              </a:graphicData>
            </a:graphic>
          </wp:inline>
        </w:drawing>
      </w:r>
    </w:p>
    <w:p w:rsidR="004B218E" w:rsidRPr="004B218E" w:rsidRDefault="004B218E" w:rsidP="004B218E">
      <w:pPr>
        <w:pStyle w:val="Default"/>
        <w:rPr>
          <w:color w:val="1F497D" w:themeColor="text2"/>
          <w:sz w:val="23"/>
          <w:szCs w:val="23"/>
        </w:rPr>
      </w:pPr>
      <w:r w:rsidRPr="004B218E">
        <w:rPr>
          <w:b/>
          <w:bCs/>
          <w:color w:val="1F497D" w:themeColor="text2"/>
          <w:sz w:val="23"/>
          <w:szCs w:val="23"/>
        </w:rPr>
        <w:t xml:space="preserve">BPI Response: </w:t>
      </w:r>
    </w:p>
    <w:p w:rsidR="004B218E" w:rsidRPr="004B218E" w:rsidRDefault="004B218E" w:rsidP="004B218E">
      <w:pPr>
        <w:pStyle w:val="Default"/>
        <w:rPr>
          <w:color w:val="1F497D" w:themeColor="text2"/>
          <w:sz w:val="23"/>
          <w:szCs w:val="23"/>
        </w:rPr>
      </w:pPr>
      <w:r w:rsidRPr="004B218E">
        <w:rPr>
          <w:color w:val="1F497D" w:themeColor="text2"/>
          <w:sz w:val="23"/>
          <w:szCs w:val="23"/>
        </w:rPr>
        <w:t xml:space="preserve">BPI confirms that the amount approved for disposition in 2018 for interest in 1588-RSVA Power was a credit balance. However, BPI has determined that there is an offsetting adjustment required to the entry in column “Interest Adjustments during 2015”, of ($15,928) which brings the ending balance to the same ending interest balance total of ($23,467) for 2015. </w:t>
      </w:r>
    </w:p>
    <w:p w:rsidR="004B218E" w:rsidRPr="004B218E" w:rsidRDefault="004B218E" w:rsidP="004B218E">
      <w:pPr>
        <w:pStyle w:val="Default"/>
        <w:rPr>
          <w:color w:val="1F497D" w:themeColor="text2"/>
          <w:sz w:val="23"/>
          <w:szCs w:val="23"/>
        </w:rPr>
      </w:pPr>
      <w:r w:rsidRPr="004B218E">
        <w:rPr>
          <w:color w:val="1F497D" w:themeColor="text2"/>
          <w:sz w:val="23"/>
          <w:szCs w:val="23"/>
        </w:rPr>
        <w:t xml:space="preserve">BPI requests that board staff make a further adjustment to the continuity as below: </w:t>
      </w:r>
    </w:p>
    <w:p w:rsidR="00347AE0" w:rsidRDefault="004B218E" w:rsidP="004B218E">
      <w:pPr>
        <w:rPr>
          <w:rFonts w:ascii="Arial" w:hAnsi="Arial" w:cs="Arial"/>
          <w:b/>
          <w:sz w:val="24"/>
          <w:szCs w:val="24"/>
        </w:rPr>
      </w:pPr>
      <w:r>
        <w:rPr>
          <w:noProof/>
          <w:lang w:val="en-US"/>
        </w:rPr>
        <w:drawing>
          <wp:inline distT="0" distB="0" distL="0" distR="0" wp14:anchorId="5422783A" wp14:editId="753E1A35">
            <wp:extent cx="5943600" cy="1817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817370"/>
                    </a:xfrm>
                    <a:prstGeom prst="rect">
                      <a:avLst/>
                    </a:prstGeom>
                  </pic:spPr>
                </pic:pic>
              </a:graphicData>
            </a:graphic>
          </wp:inline>
        </w:drawing>
      </w:r>
    </w:p>
    <w:p w:rsidR="004B218E" w:rsidRPr="00325973" w:rsidRDefault="004B218E" w:rsidP="004B218E">
      <w:pPr>
        <w:rPr>
          <w:rFonts w:ascii="Arial" w:hAnsi="Arial" w:cs="Arial"/>
          <w:b/>
          <w:color w:val="4F6228" w:themeColor="accent3" w:themeShade="80"/>
          <w:sz w:val="24"/>
          <w:szCs w:val="24"/>
        </w:rPr>
      </w:pPr>
      <w:r w:rsidRPr="00325973">
        <w:rPr>
          <w:rFonts w:ascii="Arial" w:hAnsi="Arial" w:cs="Arial"/>
          <w:b/>
          <w:color w:val="4F6228" w:themeColor="accent3" w:themeShade="80"/>
          <w:sz w:val="24"/>
          <w:szCs w:val="24"/>
        </w:rPr>
        <w:t>OEB Staff:</w:t>
      </w:r>
    </w:p>
    <w:p w:rsidR="004B218E" w:rsidRPr="00325973" w:rsidRDefault="004B218E" w:rsidP="004B218E">
      <w:pPr>
        <w:pStyle w:val="ListParagraph"/>
        <w:numPr>
          <w:ilvl w:val="0"/>
          <w:numId w:val="32"/>
        </w:numPr>
        <w:rPr>
          <w:rFonts w:ascii="Arial" w:hAnsi="Arial" w:cs="Arial"/>
          <w:color w:val="4F6228" w:themeColor="accent3" w:themeShade="80"/>
          <w:sz w:val="24"/>
          <w:szCs w:val="24"/>
        </w:rPr>
      </w:pPr>
      <w:r w:rsidRPr="00325973">
        <w:rPr>
          <w:rFonts w:ascii="Arial" w:hAnsi="Arial" w:cs="Arial"/>
          <w:color w:val="4F6228" w:themeColor="accent3" w:themeShade="80"/>
          <w:sz w:val="24"/>
          <w:szCs w:val="24"/>
        </w:rPr>
        <w:t xml:space="preserve">In the above table the Brantford Power provided, </w:t>
      </w:r>
      <w:r w:rsidR="00325973" w:rsidRPr="00325973">
        <w:rPr>
          <w:rFonts w:ascii="Arial" w:hAnsi="Arial" w:cs="Arial"/>
          <w:color w:val="4F6228" w:themeColor="accent3" w:themeShade="80"/>
          <w:sz w:val="24"/>
          <w:szCs w:val="24"/>
        </w:rPr>
        <w:t xml:space="preserve"> please confirm </w:t>
      </w:r>
      <w:r w:rsidRPr="00325973">
        <w:rPr>
          <w:rFonts w:ascii="Arial" w:hAnsi="Arial" w:cs="Arial"/>
          <w:color w:val="4F6228" w:themeColor="accent3" w:themeShade="80"/>
          <w:sz w:val="24"/>
          <w:szCs w:val="24"/>
        </w:rPr>
        <w:t xml:space="preserve">the title of the column with cell reference AY28 should be “Interest Jan 1 to Dec 31 2015” (i.e. the </w:t>
      </w:r>
      <w:r w:rsidR="00325973" w:rsidRPr="00325973">
        <w:rPr>
          <w:rFonts w:ascii="Arial" w:hAnsi="Arial" w:cs="Arial"/>
          <w:color w:val="4F6228" w:themeColor="accent3" w:themeShade="80"/>
          <w:sz w:val="24"/>
          <w:szCs w:val="24"/>
        </w:rPr>
        <w:t xml:space="preserve">interest </w:t>
      </w:r>
      <w:r w:rsidRPr="00325973">
        <w:rPr>
          <w:rFonts w:ascii="Arial" w:hAnsi="Arial" w:cs="Arial"/>
          <w:color w:val="4F6228" w:themeColor="accent3" w:themeShade="80"/>
          <w:sz w:val="24"/>
          <w:szCs w:val="24"/>
        </w:rPr>
        <w:t>transaction column in the continuity schedule</w:t>
      </w:r>
      <w:r w:rsidR="00325973" w:rsidRPr="00325973">
        <w:rPr>
          <w:rFonts w:ascii="Arial" w:hAnsi="Arial" w:cs="Arial"/>
          <w:color w:val="4F6228" w:themeColor="accent3" w:themeShade="80"/>
          <w:sz w:val="24"/>
          <w:szCs w:val="24"/>
        </w:rPr>
        <w:t>); and the title of the column with cell reference AZ28 should be “OEB Approved Disposition During 2015”.</w:t>
      </w:r>
    </w:p>
    <w:p w:rsidR="00325973" w:rsidRDefault="00325973" w:rsidP="004B218E">
      <w:pPr>
        <w:pStyle w:val="ListParagraph"/>
        <w:numPr>
          <w:ilvl w:val="0"/>
          <w:numId w:val="32"/>
        </w:numPr>
        <w:rPr>
          <w:rFonts w:ascii="Arial" w:hAnsi="Arial" w:cs="Arial"/>
          <w:color w:val="4F6228" w:themeColor="accent3" w:themeShade="80"/>
          <w:sz w:val="24"/>
          <w:szCs w:val="24"/>
        </w:rPr>
      </w:pPr>
      <w:r w:rsidRPr="00325973">
        <w:rPr>
          <w:rFonts w:ascii="Arial" w:hAnsi="Arial" w:cs="Arial"/>
          <w:color w:val="4F6228" w:themeColor="accent3" w:themeShade="80"/>
          <w:sz w:val="24"/>
          <w:szCs w:val="24"/>
        </w:rPr>
        <w:t>Please confirm the credit balance of $15,928 (the as adjusted amount in Brantford Power’s request) is the actual interest calc</w:t>
      </w:r>
      <w:r w:rsidR="008737C8">
        <w:rPr>
          <w:rFonts w:ascii="Arial" w:hAnsi="Arial" w:cs="Arial"/>
          <w:color w:val="4F6228" w:themeColor="accent3" w:themeShade="80"/>
          <w:sz w:val="24"/>
          <w:szCs w:val="24"/>
        </w:rPr>
        <w:t>ulated for Account 1588 in 2015</w:t>
      </w:r>
      <w:r w:rsidRPr="00325973">
        <w:rPr>
          <w:rFonts w:ascii="Arial" w:hAnsi="Arial" w:cs="Arial"/>
          <w:color w:val="4F6228" w:themeColor="accent3" w:themeShade="80"/>
          <w:sz w:val="24"/>
          <w:szCs w:val="24"/>
        </w:rPr>
        <w:t>.</w:t>
      </w:r>
    </w:p>
    <w:p w:rsidR="004F3585" w:rsidRPr="004F3585" w:rsidRDefault="004F3585" w:rsidP="004F3585">
      <w:pPr>
        <w:rPr>
          <w:rFonts w:ascii="Arial" w:hAnsi="Arial" w:cs="Arial"/>
          <w:b/>
          <w:color w:val="C0504D" w:themeColor="accent2"/>
          <w:sz w:val="24"/>
          <w:szCs w:val="24"/>
        </w:rPr>
      </w:pPr>
      <w:r w:rsidRPr="004F3585">
        <w:rPr>
          <w:rFonts w:ascii="Arial" w:hAnsi="Arial" w:cs="Arial"/>
          <w:b/>
          <w:color w:val="C0504D" w:themeColor="accent2"/>
          <w:sz w:val="24"/>
          <w:szCs w:val="24"/>
        </w:rPr>
        <w:lastRenderedPageBreak/>
        <w:t xml:space="preserve">Brantford Power Response: </w:t>
      </w:r>
    </w:p>
    <w:p w:rsidR="004F3585" w:rsidRDefault="004F3585" w:rsidP="004F3585">
      <w:pPr>
        <w:rPr>
          <w:rFonts w:ascii="Arial" w:hAnsi="Arial" w:cs="Arial"/>
          <w:color w:val="C0504D" w:themeColor="accent2"/>
          <w:sz w:val="24"/>
          <w:szCs w:val="24"/>
        </w:rPr>
      </w:pPr>
      <w:r w:rsidRPr="004F3585">
        <w:rPr>
          <w:rFonts w:ascii="Arial" w:hAnsi="Arial" w:cs="Arial"/>
          <w:color w:val="C0504D" w:themeColor="accent2"/>
          <w:sz w:val="24"/>
          <w:szCs w:val="24"/>
        </w:rPr>
        <w:t xml:space="preserve"> a)</w:t>
      </w:r>
      <w:r w:rsidR="004C1A95">
        <w:rPr>
          <w:rFonts w:ascii="Arial" w:hAnsi="Arial" w:cs="Arial"/>
          <w:color w:val="C0504D" w:themeColor="accent2"/>
          <w:sz w:val="24"/>
          <w:szCs w:val="24"/>
        </w:rPr>
        <w:t xml:space="preserve"> BPI confirms and provides the following updated table, which also h</w:t>
      </w:r>
      <w:r w:rsidR="00EA5C4C">
        <w:rPr>
          <w:rFonts w:ascii="Arial" w:hAnsi="Arial" w:cs="Arial"/>
          <w:color w:val="C0504D" w:themeColor="accent2"/>
          <w:sz w:val="24"/>
          <w:szCs w:val="24"/>
        </w:rPr>
        <w:t xml:space="preserve">as a corrected interest amount </w:t>
      </w:r>
      <w:r w:rsidR="004C1A95">
        <w:rPr>
          <w:rFonts w:ascii="Arial" w:hAnsi="Arial" w:cs="Arial"/>
          <w:color w:val="C0504D" w:themeColor="accent2"/>
          <w:sz w:val="24"/>
          <w:szCs w:val="24"/>
        </w:rPr>
        <w:t>and closing interest balance below.</w:t>
      </w:r>
    </w:p>
    <w:p w:rsidR="004C1A95" w:rsidRDefault="004C1A95" w:rsidP="004F3585">
      <w:pPr>
        <w:rPr>
          <w:rFonts w:ascii="Arial" w:hAnsi="Arial" w:cs="Arial"/>
          <w:color w:val="C0504D" w:themeColor="accent2"/>
          <w:sz w:val="24"/>
          <w:szCs w:val="24"/>
        </w:rPr>
      </w:pPr>
      <w:r w:rsidRPr="004C1A95">
        <w:rPr>
          <w:noProof/>
          <w:lang w:val="en-US"/>
        </w:rPr>
        <w:drawing>
          <wp:inline distT="0" distB="0" distL="0" distR="0" wp14:anchorId="5A9FA353" wp14:editId="3949839D">
            <wp:extent cx="5943600" cy="1005831"/>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005831"/>
                    </a:xfrm>
                    <a:prstGeom prst="rect">
                      <a:avLst/>
                    </a:prstGeom>
                    <a:noFill/>
                    <a:ln>
                      <a:noFill/>
                    </a:ln>
                  </pic:spPr>
                </pic:pic>
              </a:graphicData>
            </a:graphic>
          </wp:inline>
        </w:drawing>
      </w:r>
    </w:p>
    <w:p w:rsidR="004C1A95" w:rsidRDefault="004F3585" w:rsidP="0001354E">
      <w:pPr>
        <w:rPr>
          <w:rFonts w:ascii="Arial" w:hAnsi="Arial" w:cs="Arial"/>
          <w:color w:val="C0504D" w:themeColor="accent2"/>
          <w:sz w:val="24"/>
          <w:szCs w:val="24"/>
        </w:rPr>
      </w:pPr>
      <w:r w:rsidRPr="004C1A95">
        <w:rPr>
          <w:rFonts w:ascii="Arial" w:hAnsi="Arial" w:cs="Arial"/>
          <w:color w:val="C0504D" w:themeColor="accent2"/>
          <w:sz w:val="24"/>
          <w:szCs w:val="24"/>
        </w:rPr>
        <w:t xml:space="preserve">b) </w:t>
      </w:r>
      <w:r w:rsidR="004C1A95">
        <w:rPr>
          <w:rFonts w:ascii="Arial" w:hAnsi="Arial" w:cs="Arial"/>
          <w:color w:val="C0504D" w:themeColor="accent2"/>
          <w:sz w:val="24"/>
          <w:szCs w:val="24"/>
        </w:rPr>
        <w:t xml:space="preserve">BPI has provided an updated interest amount of a credit balance of $15,918 in the table above. </w:t>
      </w:r>
    </w:p>
    <w:p w:rsidR="00B314F3" w:rsidRPr="004C1A95" w:rsidRDefault="00304228" w:rsidP="0001354E">
      <w:pPr>
        <w:rPr>
          <w:rFonts w:ascii="Arial" w:hAnsi="Arial" w:cs="Arial"/>
          <w:color w:val="C0504D" w:themeColor="accent2"/>
          <w:sz w:val="24"/>
          <w:szCs w:val="24"/>
        </w:rPr>
      </w:pPr>
      <w:r>
        <w:rPr>
          <w:rFonts w:ascii="Arial" w:hAnsi="Arial" w:cs="Arial"/>
          <w:b/>
          <w:sz w:val="24"/>
          <w:szCs w:val="24"/>
        </w:rPr>
        <w:t>Question</w:t>
      </w:r>
      <w:r w:rsidR="008539D9">
        <w:rPr>
          <w:rFonts w:ascii="Arial" w:hAnsi="Arial" w:cs="Arial"/>
          <w:b/>
          <w:sz w:val="24"/>
          <w:szCs w:val="24"/>
        </w:rPr>
        <w:t xml:space="preserve"> #</w:t>
      </w:r>
      <w:r w:rsidR="003F7D01">
        <w:rPr>
          <w:rFonts w:ascii="Arial" w:hAnsi="Arial" w:cs="Arial"/>
          <w:b/>
          <w:sz w:val="24"/>
          <w:szCs w:val="24"/>
        </w:rPr>
        <w:t>2</w:t>
      </w:r>
    </w:p>
    <w:p w:rsidR="00B314F3" w:rsidRDefault="002B7C64" w:rsidP="0001354E">
      <w:pPr>
        <w:rPr>
          <w:rFonts w:ascii="Arial" w:hAnsi="Arial" w:cs="Arial"/>
          <w:b/>
          <w:sz w:val="24"/>
          <w:szCs w:val="24"/>
        </w:rPr>
      </w:pPr>
      <w:r>
        <w:rPr>
          <w:rFonts w:ascii="Arial" w:hAnsi="Arial" w:cs="Arial"/>
          <w:b/>
          <w:sz w:val="24"/>
          <w:szCs w:val="24"/>
        </w:rPr>
        <w:t>Ref:</w:t>
      </w:r>
      <w:r w:rsidR="00513825">
        <w:rPr>
          <w:rFonts w:ascii="Arial" w:hAnsi="Arial" w:cs="Arial"/>
          <w:b/>
          <w:sz w:val="24"/>
          <w:szCs w:val="24"/>
        </w:rPr>
        <w:t xml:space="preserve"> IRM Model Tab 3: Entr</w:t>
      </w:r>
      <w:r w:rsidR="001E179B">
        <w:rPr>
          <w:rFonts w:ascii="Arial" w:hAnsi="Arial" w:cs="Arial"/>
          <w:b/>
          <w:sz w:val="24"/>
          <w:szCs w:val="24"/>
        </w:rPr>
        <w:t>ies for 2016 RPP Settlement True-up Claims</w:t>
      </w:r>
    </w:p>
    <w:p w:rsidR="00F4375E" w:rsidRPr="00F4375E" w:rsidRDefault="00F4375E" w:rsidP="0001354E">
      <w:pPr>
        <w:rPr>
          <w:rFonts w:ascii="Arial" w:hAnsi="Arial" w:cs="Arial"/>
          <w:sz w:val="24"/>
          <w:szCs w:val="24"/>
        </w:rPr>
      </w:pPr>
      <w:r>
        <w:rPr>
          <w:rFonts w:ascii="Arial" w:hAnsi="Arial" w:cs="Arial"/>
          <w:sz w:val="24"/>
          <w:szCs w:val="24"/>
        </w:rPr>
        <w:t>In the continuity s</w:t>
      </w:r>
      <w:r w:rsidR="00513825">
        <w:rPr>
          <w:rFonts w:ascii="Arial" w:hAnsi="Arial" w:cs="Arial"/>
          <w:sz w:val="24"/>
          <w:szCs w:val="24"/>
        </w:rPr>
        <w:t>chedule of the IRM model, Brantford Power included</w:t>
      </w:r>
      <w:r>
        <w:rPr>
          <w:rFonts w:ascii="Arial" w:hAnsi="Arial" w:cs="Arial"/>
          <w:sz w:val="24"/>
          <w:szCs w:val="24"/>
        </w:rPr>
        <w:t xml:space="preserve"> a debit adjustment amount of $14,408 in account 1588 – RSVA Power for the year of 2016.</w:t>
      </w:r>
    </w:p>
    <w:p w:rsidR="00F4375E" w:rsidRDefault="00F4375E" w:rsidP="00F4375E">
      <w:pPr>
        <w:rPr>
          <w:rFonts w:ascii="Arial" w:hAnsi="Arial" w:cs="Arial"/>
          <w:sz w:val="24"/>
          <w:szCs w:val="24"/>
        </w:rPr>
      </w:pPr>
      <w:r>
        <w:rPr>
          <w:noProof/>
          <w:lang w:val="en-US"/>
        </w:rPr>
        <w:drawing>
          <wp:inline distT="0" distB="0" distL="0" distR="0" wp14:anchorId="4CEF78B3" wp14:editId="19F63E93">
            <wp:extent cx="5885715" cy="2990476"/>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85715" cy="2990476"/>
                    </a:xfrm>
                    <a:prstGeom prst="rect">
                      <a:avLst/>
                    </a:prstGeom>
                  </pic:spPr>
                </pic:pic>
              </a:graphicData>
            </a:graphic>
          </wp:inline>
        </w:drawing>
      </w:r>
    </w:p>
    <w:p w:rsidR="00F4375E" w:rsidRPr="00F4375E" w:rsidRDefault="00F4375E" w:rsidP="00F4375E">
      <w:pPr>
        <w:rPr>
          <w:rFonts w:ascii="Arial" w:hAnsi="Arial" w:cs="Arial"/>
          <w:sz w:val="24"/>
          <w:szCs w:val="24"/>
        </w:rPr>
      </w:pPr>
      <w:r w:rsidRPr="00F4375E">
        <w:rPr>
          <w:rFonts w:ascii="Arial" w:hAnsi="Arial" w:cs="Arial"/>
          <w:sz w:val="24"/>
          <w:szCs w:val="24"/>
        </w:rPr>
        <w:t>With regards to the Dec. 31 balance in Account 1588:</w:t>
      </w:r>
    </w:p>
    <w:p w:rsidR="00F4375E" w:rsidRDefault="00F4375E" w:rsidP="00F4375E">
      <w:pPr>
        <w:pStyle w:val="ListParagraph"/>
        <w:numPr>
          <w:ilvl w:val="1"/>
          <w:numId w:val="28"/>
        </w:numPr>
        <w:ind w:left="851" w:hanging="567"/>
        <w:rPr>
          <w:rFonts w:ascii="Arial" w:hAnsi="Arial" w:cs="Arial"/>
          <w:sz w:val="24"/>
          <w:szCs w:val="24"/>
        </w:rPr>
      </w:pPr>
      <w:r>
        <w:rPr>
          <w:rFonts w:ascii="Arial" w:hAnsi="Arial" w:cs="Arial"/>
          <w:sz w:val="24"/>
          <w:szCs w:val="24"/>
        </w:rPr>
        <w:t>P</w:t>
      </w:r>
      <w:r w:rsidRPr="000162D6">
        <w:rPr>
          <w:rFonts w:ascii="Arial" w:hAnsi="Arial" w:cs="Arial"/>
          <w:sz w:val="24"/>
          <w:szCs w:val="24"/>
        </w:rPr>
        <w:t>lease indicate whether the following items that flow into the account are based on estimates/</w:t>
      </w:r>
      <w:r>
        <w:rPr>
          <w:rFonts w:ascii="Arial" w:hAnsi="Arial" w:cs="Arial"/>
          <w:sz w:val="24"/>
          <w:szCs w:val="24"/>
        </w:rPr>
        <w:t xml:space="preserve">accruals or actuals at year end. </w:t>
      </w:r>
    </w:p>
    <w:p w:rsidR="00F4375E" w:rsidRDefault="00F4375E" w:rsidP="00F4375E">
      <w:pPr>
        <w:pStyle w:val="ListParagraph"/>
        <w:ind w:left="851"/>
        <w:rPr>
          <w:rFonts w:ascii="Arial" w:hAnsi="Arial" w:cs="Arial"/>
          <w:sz w:val="24"/>
          <w:szCs w:val="24"/>
        </w:rPr>
      </w:pPr>
    </w:p>
    <w:p w:rsidR="00F4375E" w:rsidRPr="00CA78F5" w:rsidRDefault="00F4375E" w:rsidP="00F4375E">
      <w:pPr>
        <w:pStyle w:val="ListParagraph"/>
        <w:numPr>
          <w:ilvl w:val="1"/>
          <w:numId w:val="28"/>
        </w:numPr>
        <w:ind w:left="851" w:hanging="567"/>
        <w:rPr>
          <w:rFonts w:ascii="Arial" w:hAnsi="Arial" w:cs="Arial"/>
          <w:sz w:val="24"/>
          <w:szCs w:val="24"/>
        </w:rPr>
      </w:pPr>
      <w:r w:rsidRPr="00CA78F5">
        <w:rPr>
          <w:rFonts w:ascii="Arial" w:hAnsi="Arial" w:cs="Arial"/>
          <w:sz w:val="24"/>
          <w:szCs w:val="24"/>
        </w:rPr>
        <w:lastRenderedPageBreak/>
        <w:t xml:space="preserve">If there are any proposed adjustments </w:t>
      </w:r>
      <w:r>
        <w:rPr>
          <w:rFonts w:ascii="Arial" w:hAnsi="Arial" w:cs="Arial"/>
          <w:sz w:val="24"/>
          <w:szCs w:val="24"/>
        </w:rPr>
        <w:t xml:space="preserve">to Account 1588 </w:t>
      </w:r>
      <w:r w:rsidRPr="00CA78F5">
        <w:rPr>
          <w:rFonts w:ascii="Arial" w:hAnsi="Arial" w:cs="Arial"/>
          <w:sz w:val="24"/>
          <w:szCs w:val="24"/>
        </w:rPr>
        <w:t xml:space="preserve">in the DVA Continuity Schedule </w:t>
      </w:r>
      <w:r>
        <w:rPr>
          <w:rFonts w:ascii="Arial" w:hAnsi="Arial" w:cs="Arial"/>
          <w:sz w:val="24"/>
          <w:szCs w:val="24"/>
        </w:rPr>
        <w:t>for the impacts of RPP settlement true up</w:t>
      </w:r>
      <w:r w:rsidRPr="00CA78F5">
        <w:rPr>
          <w:rFonts w:ascii="Arial" w:hAnsi="Arial" w:cs="Arial"/>
          <w:sz w:val="24"/>
          <w:szCs w:val="24"/>
        </w:rPr>
        <w:t>, please quantify the adjustment that relate to each of the following items.</w:t>
      </w:r>
    </w:p>
    <w:p w:rsidR="00F4375E" w:rsidRDefault="00F4375E" w:rsidP="00F4375E">
      <w:pPr>
        <w:pStyle w:val="ListParagraph"/>
        <w:numPr>
          <w:ilvl w:val="0"/>
          <w:numId w:val="29"/>
        </w:numPr>
        <w:rPr>
          <w:rFonts w:ascii="Arial" w:hAnsi="Arial" w:cs="Arial"/>
          <w:sz w:val="24"/>
          <w:szCs w:val="24"/>
        </w:rPr>
      </w:pPr>
      <w:r w:rsidRPr="000162D6">
        <w:rPr>
          <w:rFonts w:ascii="Arial" w:hAnsi="Arial" w:cs="Arial"/>
          <w:sz w:val="24"/>
          <w:szCs w:val="24"/>
        </w:rPr>
        <w:t xml:space="preserve">Revenues (i.e. is unbilled revenues trued up) </w:t>
      </w:r>
    </w:p>
    <w:p w:rsidR="00F4375E" w:rsidRDefault="00F4375E" w:rsidP="00F4375E">
      <w:pPr>
        <w:pStyle w:val="ListParagraph"/>
        <w:numPr>
          <w:ilvl w:val="0"/>
          <w:numId w:val="29"/>
        </w:numPr>
        <w:rPr>
          <w:rFonts w:ascii="Arial" w:hAnsi="Arial" w:cs="Arial"/>
          <w:sz w:val="24"/>
          <w:szCs w:val="24"/>
        </w:rPr>
      </w:pPr>
      <w:r w:rsidRPr="000162D6">
        <w:rPr>
          <w:rFonts w:ascii="Arial" w:hAnsi="Arial" w:cs="Arial"/>
          <w:sz w:val="24"/>
          <w:szCs w:val="24"/>
        </w:rPr>
        <w:t>Expenses - Commodity (Charge Type 101)</w:t>
      </w:r>
    </w:p>
    <w:p w:rsidR="00F4375E" w:rsidRPr="00F4375E" w:rsidRDefault="00F4375E" w:rsidP="009A4440">
      <w:pPr>
        <w:pStyle w:val="ListParagraph"/>
        <w:numPr>
          <w:ilvl w:val="0"/>
          <w:numId w:val="29"/>
        </w:numPr>
        <w:rPr>
          <w:rFonts w:ascii="Arial" w:hAnsi="Arial" w:cs="Arial"/>
          <w:sz w:val="24"/>
          <w:szCs w:val="24"/>
        </w:rPr>
      </w:pPr>
      <w:r w:rsidRPr="000162D6">
        <w:rPr>
          <w:rFonts w:ascii="Arial" w:hAnsi="Arial" w:cs="Arial"/>
          <w:sz w:val="24"/>
          <w:szCs w:val="24"/>
        </w:rPr>
        <w:t>Expenses - GA RPP  (Charge Type 148) with respect to the quantum dollar amount</w:t>
      </w:r>
      <w:r>
        <w:rPr>
          <w:rFonts w:ascii="Arial" w:hAnsi="Arial" w:cs="Arial"/>
          <w:sz w:val="24"/>
          <w:szCs w:val="24"/>
        </w:rPr>
        <w:t xml:space="preserve"> and</w:t>
      </w:r>
      <w:r w:rsidRPr="0067142E">
        <w:rPr>
          <w:rFonts w:ascii="Arial" w:hAnsi="Arial" w:cs="Arial"/>
          <w:sz w:val="24"/>
          <w:szCs w:val="24"/>
        </w:rPr>
        <w:t xml:space="preserve"> RPP/non-RPP pro-ration percentages</w:t>
      </w:r>
    </w:p>
    <w:p w:rsidR="007064C7" w:rsidRPr="007064C7" w:rsidRDefault="007064C7" w:rsidP="007064C7">
      <w:pPr>
        <w:rPr>
          <w:rFonts w:ascii="Arial" w:hAnsi="Arial" w:cs="Arial"/>
          <w:b/>
          <w:color w:val="1F497D" w:themeColor="text2"/>
          <w:sz w:val="24"/>
          <w:szCs w:val="24"/>
        </w:rPr>
      </w:pPr>
      <w:r w:rsidRPr="007064C7">
        <w:rPr>
          <w:rFonts w:ascii="Arial" w:hAnsi="Arial" w:cs="Arial"/>
          <w:b/>
          <w:color w:val="1F497D" w:themeColor="text2"/>
          <w:sz w:val="24"/>
          <w:szCs w:val="24"/>
        </w:rPr>
        <w:t>BPI Response:</w:t>
      </w:r>
    </w:p>
    <w:p w:rsidR="007064C7" w:rsidRPr="007064C7" w:rsidRDefault="007064C7" w:rsidP="007064C7">
      <w:pPr>
        <w:rPr>
          <w:rFonts w:ascii="Arial" w:hAnsi="Arial" w:cs="Arial"/>
          <w:color w:val="1F497D" w:themeColor="text2"/>
          <w:sz w:val="24"/>
          <w:szCs w:val="24"/>
        </w:rPr>
      </w:pPr>
      <w:r w:rsidRPr="007064C7">
        <w:rPr>
          <w:rFonts w:ascii="Arial" w:hAnsi="Arial" w:cs="Arial"/>
          <w:color w:val="1F497D" w:themeColor="text2"/>
          <w:sz w:val="24"/>
          <w:szCs w:val="24"/>
        </w:rPr>
        <w:t>a) BPI’s accounting treatment with respect to the following items that flow into account 1588 is as follows:</w:t>
      </w:r>
    </w:p>
    <w:p w:rsidR="007064C7" w:rsidRPr="007064C7" w:rsidRDefault="007064C7" w:rsidP="007064C7">
      <w:pPr>
        <w:rPr>
          <w:rFonts w:ascii="Arial" w:hAnsi="Arial" w:cs="Arial"/>
          <w:color w:val="1F497D" w:themeColor="text2"/>
          <w:sz w:val="24"/>
          <w:szCs w:val="24"/>
        </w:rPr>
      </w:pPr>
      <w:proofErr w:type="spellStart"/>
      <w:r w:rsidRPr="007064C7">
        <w:rPr>
          <w:rFonts w:ascii="Arial" w:hAnsi="Arial" w:cs="Arial"/>
          <w:color w:val="1F497D" w:themeColor="text2"/>
          <w:sz w:val="24"/>
          <w:szCs w:val="24"/>
        </w:rPr>
        <w:t>i</w:t>
      </w:r>
      <w:proofErr w:type="spellEnd"/>
      <w:r w:rsidRPr="007064C7">
        <w:rPr>
          <w:rFonts w:ascii="Arial" w:hAnsi="Arial" w:cs="Arial"/>
          <w:color w:val="1F497D" w:themeColor="text2"/>
          <w:sz w:val="24"/>
          <w:szCs w:val="24"/>
        </w:rPr>
        <w:t>. Revenues are recorded based on actual billings with accruals for unbilled revenue made monthly. The unbilled revenue accrual is based on actual billings occurring in the subsequent months. Since some bills straddle months the unbilled accrual is based on the number of days in each month the bill covers.</w:t>
      </w:r>
    </w:p>
    <w:p w:rsidR="007064C7" w:rsidRPr="007064C7" w:rsidRDefault="007064C7" w:rsidP="007064C7">
      <w:pPr>
        <w:rPr>
          <w:rFonts w:ascii="Arial" w:hAnsi="Arial" w:cs="Arial"/>
          <w:color w:val="1F497D" w:themeColor="text2"/>
          <w:sz w:val="24"/>
          <w:szCs w:val="24"/>
        </w:rPr>
      </w:pPr>
      <w:r w:rsidRPr="007064C7">
        <w:rPr>
          <w:rFonts w:ascii="Arial" w:hAnsi="Arial" w:cs="Arial"/>
          <w:color w:val="1F497D" w:themeColor="text2"/>
          <w:sz w:val="24"/>
          <w:szCs w:val="24"/>
        </w:rPr>
        <w:t>ii. Expenses – Commodity (Charge Type 101) – Amounts are accrued to the appropriate period based on actual IESO invoices.</w:t>
      </w:r>
    </w:p>
    <w:p w:rsidR="007064C7" w:rsidRPr="007064C7" w:rsidRDefault="007064C7" w:rsidP="007064C7">
      <w:pPr>
        <w:rPr>
          <w:rFonts w:ascii="Arial" w:hAnsi="Arial" w:cs="Arial"/>
          <w:color w:val="1F497D" w:themeColor="text2"/>
          <w:sz w:val="24"/>
          <w:szCs w:val="24"/>
        </w:rPr>
      </w:pPr>
      <w:r w:rsidRPr="007064C7">
        <w:rPr>
          <w:rFonts w:ascii="Arial" w:hAnsi="Arial" w:cs="Arial"/>
          <w:color w:val="1F497D" w:themeColor="text2"/>
          <w:sz w:val="24"/>
          <w:szCs w:val="24"/>
        </w:rPr>
        <w:t>iii. Expenses - GA RPP (Charge Type 148) –GA for RPP customers is accrued in the appropriate period based on actual invoices from the IESO. The RPP portion is recorded based on an estimated percentage of RPP consumption vs non-RPP consumption. Subsequently, the GA for RPP customers is trued up based on actual billed consumption (taking into consideration the accrual for unbilled revenue at the end of the period).</w:t>
      </w:r>
    </w:p>
    <w:p w:rsidR="00347AE0" w:rsidRDefault="007064C7" w:rsidP="007064C7">
      <w:pPr>
        <w:rPr>
          <w:rFonts w:ascii="Arial" w:hAnsi="Arial" w:cs="Arial"/>
          <w:b/>
          <w:sz w:val="24"/>
          <w:szCs w:val="24"/>
        </w:rPr>
      </w:pPr>
      <w:r w:rsidRPr="007064C7">
        <w:rPr>
          <w:rFonts w:ascii="Arial" w:hAnsi="Arial" w:cs="Arial"/>
          <w:color w:val="1F497D" w:themeColor="text2"/>
          <w:sz w:val="24"/>
          <w:szCs w:val="24"/>
        </w:rPr>
        <w:t>b) The proposed adjustments to Account 1588 in the DVA Continuity Schedule for the impacts of RPP settlement true up, $14,408 is related to expenses- GA RPP (charge type 148).</w:t>
      </w:r>
    </w:p>
    <w:p w:rsidR="007064C7" w:rsidRPr="00325973" w:rsidRDefault="007064C7" w:rsidP="007064C7">
      <w:pPr>
        <w:rPr>
          <w:rFonts w:ascii="Arial" w:hAnsi="Arial" w:cs="Arial"/>
          <w:b/>
          <w:color w:val="4F6228" w:themeColor="accent3" w:themeShade="80"/>
          <w:sz w:val="24"/>
          <w:szCs w:val="24"/>
        </w:rPr>
      </w:pPr>
      <w:r w:rsidRPr="00325973">
        <w:rPr>
          <w:rFonts w:ascii="Arial" w:hAnsi="Arial" w:cs="Arial"/>
          <w:b/>
          <w:color w:val="4F6228" w:themeColor="accent3" w:themeShade="80"/>
          <w:sz w:val="24"/>
          <w:szCs w:val="24"/>
        </w:rPr>
        <w:t>OEB Staff:</w:t>
      </w:r>
    </w:p>
    <w:p w:rsidR="0058522F" w:rsidRDefault="0058522F" w:rsidP="0058522F">
      <w:pPr>
        <w:spacing w:after="160" w:line="259" w:lineRule="auto"/>
        <w:contextualSpacing/>
        <w:rPr>
          <w:rFonts w:ascii="Arial" w:eastAsia="Calibri" w:hAnsi="Arial" w:cs="Arial"/>
          <w:color w:val="4F6228" w:themeColor="accent3" w:themeShade="80"/>
          <w:sz w:val="24"/>
          <w:szCs w:val="24"/>
          <w:lang w:val="en-US"/>
        </w:rPr>
      </w:pPr>
      <w:r>
        <w:rPr>
          <w:rFonts w:ascii="Arial" w:eastAsia="Calibri" w:hAnsi="Arial" w:cs="Arial"/>
          <w:color w:val="4F6228" w:themeColor="accent3" w:themeShade="80"/>
          <w:sz w:val="24"/>
          <w:szCs w:val="24"/>
          <w:lang w:val="en-US"/>
        </w:rPr>
        <w:t xml:space="preserve">Brantford Power indicates that the $14K adjustment to Accounts 1588 and 1589 it made in the DVA Continuity Schedule for 2016 relates to the true-up of RPP Settlements. </w:t>
      </w:r>
    </w:p>
    <w:p w:rsidR="0058522F" w:rsidRPr="00C775E7" w:rsidRDefault="0058522F" w:rsidP="0058522F">
      <w:pPr>
        <w:pStyle w:val="ListParagraph"/>
        <w:numPr>
          <w:ilvl w:val="1"/>
          <w:numId w:val="33"/>
        </w:numPr>
        <w:rPr>
          <w:rFonts w:ascii="Arial" w:eastAsia="Calibri" w:hAnsi="Arial" w:cs="Arial"/>
          <w:color w:val="4F6228" w:themeColor="accent3" w:themeShade="80"/>
          <w:sz w:val="24"/>
          <w:szCs w:val="24"/>
          <w:lang w:val="en-US"/>
        </w:rPr>
      </w:pPr>
      <w:r w:rsidRPr="00C24905">
        <w:rPr>
          <w:rFonts w:ascii="Arial" w:eastAsia="Calibri" w:hAnsi="Arial" w:cs="Arial"/>
          <w:color w:val="4F6228" w:themeColor="accent3" w:themeShade="80"/>
          <w:sz w:val="24"/>
          <w:szCs w:val="24"/>
          <w:lang w:val="en-US"/>
        </w:rPr>
        <w:t>Adjustments are required for all elements of RPP Settlement where estimated values were used.</w:t>
      </w:r>
      <w:r>
        <w:rPr>
          <w:rFonts w:ascii="Arial" w:eastAsia="Calibri" w:hAnsi="Arial" w:cs="Arial"/>
          <w:color w:val="4F6228" w:themeColor="accent3" w:themeShade="80"/>
          <w:sz w:val="24"/>
          <w:szCs w:val="24"/>
          <w:lang w:val="en-US"/>
        </w:rPr>
        <w:t xml:space="preserve"> </w:t>
      </w:r>
      <w:r w:rsidRPr="00C775E7">
        <w:rPr>
          <w:rFonts w:ascii="Arial" w:eastAsia="Calibri" w:hAnsi="Arial" w:cs="Arial"/>
          <w:color w:val="4F6228" w:themeColor="accent3" w:themeShade="80"/>
          <w:sz w:val="24"/>
          <w:szCs w:val="24"/>
          <w:lang w:val="en-US"/>
        </w:rPr>
        <w:t xml:space="preserve">Please confirm that this adjustment trues up each of the components below for the relevant months: </w:t>
      </w:r>
    </w:p>
    <w:p w:rsidR="0058522F" w:rsidRDefault="0058522F" w:rsidP="0058522F">
      <w:pPr>
        <w:pStyle w:val="ListParagraph"/>
        <w:numPr>
          <w:ilvl w:val="2"/>
          <w:numId w:val="33"/>
        </w:numPr>
        <w:spacing w:after="160" w:line="259" w:lineRule="auto"/>
        <w:rPr>
          <w:rFonts w:ascii="Arial" w:eastAsia="Calibri" w:hAnsi="Arial" w:cs="Arial"/>
          <w:color w:val="4F6228" w:themeColor="accent3" w:themeShade="80"/>
          <w:sz w:val="24"/>
          <w:szCs w:val="24"/>
          <w:lang w:val="en-US"/>
        </w:rPr>
      </w:pPr>
      <w:r w:rsidRPr="00C775E7">
        <w:rPr>
          <w:rFonts w:ascii="Arial" w:eastAsia="Calibri" w:hAnsi="Arial" w:cs="Arial"/>
          <w:color w:val="4F6228" w:themeColor="accent3" w:themeShade="80"/>
          <w:sz w:val="24"/>
          <w:szCs w:val="24"/>
          <w:lang w:val="en-US"/>
        </w:rPr>
        <w:t xml:space="preserve">Revenues, </w:t>
      </w:r>
    </w:p>
    <w:p w:rsidR="0058522F" w:rsidRDefault="0058522F" w:rsidP="0058522F">
      <w:pPr>
        <w:pStyle w:val="ListParagraph"/>
        <w:numPr>
          <w:ilvl w:val="2"/>
          <w:numId w:val="33"/>
        </w:numPr>
        <w:spacing w:after="160" w:line="259" w:lineRule="auto"/>
        <w:rPr>
          <w:rFonts w:ascii="Arial" w:eastAsia="Calibri" w:hAnsi="Arial" w:cs="Arial"/>
          <w:color w:val="4F6228" w:themeColor="accent3" w:themeShade="80"/>
          <w:sz w:val="24"/>
          <w:szCs w:val="24"/>
          <w:lang w:val="en-US"/>
        </w:rPr>
      </w:pPr>
      <w:r w:rsidRPr="00C775E7">
        <w:rPr>
          <w:rFonts w:ascii="Arial" w:eastAsia="Calibri" w:hAnsi="Arial" w:cs="Arial"/>
          <w:color w:val="4F6228" w:themeColor="accent3" w:themeShade="80"/>
          <w:sz w:val="24"/>
          <w:szCs w:val="24"/>
          <w:lang w:val="en-US"/>
        </w:rPr>
        <w:t>Commodity Expenses (Charge Type 101),</w:t>
      </w:r>
    </w:p>
    <w:p w:rsidR="0058522F" w:rsidRPr="000B6011" w:rsidRDefault="0058522F" w:rsidP="000B6011">
      <w:pPr>
        <w:pStyle w:val="ListParagraph"/>
        <w:numPr>
          <w:ilvl w:val="2"/>
          <w:numId w:val="33"/>
        </w:numPr>
        <w:spacing w:after="160" w:line="259" w:lineRule="auto"/>
        <w:rPr>
          <w:rFonts w:ascii="Arial" w:eastAsia="Calibri" w:hAnsi="Arial" w:cs="Arial"/>
          <w:color w:val="4F6228" w:themeColor="accent3" w:themeShade="80"/>
          <w:sz w:val="24"/>
          <w:szCs w:val="24"/>
          <w:lang w:val="en-US"/>
        </w:rPr>
      </w:pPr>
      <w:r w:rsidRPr="00C775E7">
        <w:rPr>
          <w:rFonts w:ascii="Arial" w:eastAsia="Calibri" w:hAnsi="Arial" w:cs="Arial"/>
          <w:color w:val="4F6228" w:themeColor="accent3" w:themeShade="80"/>
          <w:sz w:val="24"/>
          <w:szCs w:val="24"/>
          <w:lang w:val="en-US"/>
        </w:rPr>
        <w:t>GA RPP  Expenses (Charge Type 148) with respect to the quantum dollar amount, an</w:t>
      </w:r>
      <w:r w:rsidRPr="000B6011">
        <w:rPr>
          <w:rFonts w:ascii="Arial" w:eastAsia="Calibri" w:hAnsi="Arial" w:cs="Arial"/>
          <w:color w:val="4F6228" w:themeColor="accent3" w:themeShade="80"/>
          <w:sz w:val="24"/>
          <w:szCs w:val="24"/>
          <w:lang w:val="en-US"/>
        </w:rPr>
        <w:t>d</w:t>
      </w:r>
    </w:p>
    <w:p w:rsidR="0058522F" w:rsidRDefault="0058522F" w:rsidP="0058522F">
      <w:pPr>
        <w:pStyle w:val="ListParagraph"/>
        <w:numPr>
          <w:ilvl w:val="2"/>
          <w:numId w:val="33"/>
        </w:numPr>
        <w:spacing w:after="160" w:line="259" w:lineRule="auto"/>
        <w:rPr>
          <w:rFonts w:ascii="Arial" w:eastAsia="Calibri" w:hAnsi="Arial" w:cs="Arial"/>
          <w:color w:val="4F6228" w:themeColor="accent3" w:themeShade="80"/>
          <w:sz w:val="24"/>
          <w:szCs w:val="24"/>
          <w:lang w:val="en-US"/>
        </w:rPr>
      </w:pPr>
      <w:r w:rsidRPr="00C775E7">
        <w:rPr>
          <w:rFonts w:ascii="Arial" w:eastAsia="Calibri" w:hAnsi="Arial" w:cs="Arial"/>
          <w:color w:val="4F6228" w:themeColor="accent3" w:themeShade="80"/>
          <w:sz w:val="24"/>
          <w:szCs w:val="24"/>
          <w:lang w:val="en-US"/>
        </w:rPr>
        <w:lastRenderedPageBreak/>
        <w:t>GA RPP/non-RPP with respect to the pro-ration percentages,</w:t>
      </w:r>
    </w:p>
    <w:p w:rsidR="0058522F" w:rsidRPr="00C775E7" w:rsidRDefault="000B6011" w:rsidP="0058522F">
      <w:pPr>
        <w:pStyle w:val="ListParagraph"/>
        <w:numPr>
          <w:ilvl w:val="2"/>
          <w:numId w:val="33"/>
        </w:numPr>
        <w:spacing w:after="160" w:line="259" w:lineRule="auto"/>
        <w:rPr>
          <w:rFonts w:ascii="Arial" w:eastAsia="Calibri" w:hAnsi="Arial" w:cs="Arial"/>
          <w:color w:val="4F6228" w:themeColor="accent3" w:themeShade="80"/>
          <w:sz w:val="24"/>
          <w:szCs w:val="24"/>
          <w:lang w:val="en-US"/>
        </w:rPr>
      </w:pPr>
      <w:r>
        <w:rPr>
          <w:rFonts w:ascii="Arial" w:eastAsia="Calibri" w:hAnsi="Arial" w:cs="Arial"/>
          <w:color w:val="4F6228" w:themeColor="accent3" w:themeShade="80"/>
          <w:sz w:val="24"/>
          <w:szCs w:val="24"/>
          <w:lang w:val="en-US"/>
        </w:rPr>
        <w:t>RPP Settlement (Charge Type 11</w:t>
      </w:r>
      <w:r w:rsidR="0058522F" w:rsidRPr="00C775E7">
        <w:rPr>
          <w:rFonts w:ascii="Arial" w:eastAsia="Calibri" w:hAnsi="Arial" w:cs="Arial"/>
          <w:color w:val="4F6228" w:themeColor="accent3" w:themeShade="80"/>
          <w:sz w:val="24"/>
          <w:szCs w:val="24"/>
          <w:lang w:val="en-US"/>
        </w:rPr>
        <w:t xml:space="preserve">42) based on the actuals for items noted above in </w:t>
      </w:r>
      <w:proofErr w:type="spellStart"/>
      <w:r w:rsidR="0058522F" w:rsidRPr="00C775E7">
        <w:rPr>
          <w:rFonts w:ascii="Arial" w:eastAsia="Calibri" w:hAnsi="Arial" w:cs="Arial"/>
          <w:color w:val="4F6228" w:themeColor="accent3" w:themeShade="80"/>
          <w:sz w:val="24"/>
          <w:szCs w:val="24"/>
          <w:lang w:val="en-US"/>
        </w:rPr>
        <w:t>i</w:t>
      </w:r>
      <w:proofErr w:type="spellEnd"/>
      <w:r w:rsidR="0058522F" w:rsidRPr="00C775E7">
        <w:rPr>
          <w:rFonts w:ascii="Arial" w:eastAsia="Calibri" w:hAnsi="Arial" w:cs="Arial"/>
          <w:color w:val="4F6228" w:themeColor="accent3" w:themeShade="80"/>
          <w:sz w:val="24"/>
          <w:szCs w:val="24"/>
          <w:lang w:val="en-US"/>
        </w:rPr>
        <w:t xml:space="preserve">. to </w:t>
      </w:r>
      <w:proofErr w:type="gramStart"/>
      <w:r w:rsidR="0058522F" w:rsidRPr="00C775E7">
        <w:rPr>
          <w:rFonts w:ascii="Arial" w:eastAsia="Calibri" w:hAnsi="Arial" w:cs="Arial"/>
          <w:color w:val="4F6228" w:themeColor="accent3" w:themeShade="80"/>
          <w:sz w:val="24"/>
          <w:szCs w:val="24"/>
          <w:lang w:val="en-US"/>
        </w:rPr>
        <w:t>iv</w:t>
      </w:r>
      <w:proofErr w:type="gramEnd"/>
      <w:r w:rsidR="0058522F" w:rsidRPr="00C775E7">
        <w:rPr>
          <w:rFonts w:ascii="Arial" w:eastAsia="Calibri" w:hAnsi="Arial" w:cs="Arial"/>
          <w:color w:val="4F6228" w:themeColor="accent3" w:themeShade="80"/>
          <w:sz w:val="24"/>
          <w:szCs w:val="24"/>
          <w:lang w:val="en-US"/>
        </w:rPr>
        <w:t>.</w:t>
      </w:r>
    </w:p>
    <w:p w:rsidR="0058522F" w:rsidRDefault="0058522F" w:rsidP="0058522F">
      <w:pPr>
        <w:numPr>
          <w:ilvl w:val="1"/>
          <w:numId w:val="33"/>
        </w:numPr>
        <w:spacing w:after="160" w:line="259" w:lineRule="auto"/>
        <w:contextualSpacing/>
        <w:rPr>
          <w:rFonts w:ascii="Arial" w:eastAsia="Calibri" w:hAnsi="Arial" w:cs="Arial"/>
          <w:color w:val="4F6228" w:themeColor="accent3" w:themeShade="80"/>
          <w:sz w:val="24"/>
          <w:szCs w:val="24"/>
          <w:lang w:val="en-US"/>
        </w:rPr>
      </w:pPr>
      <w:r w:rsidRPr="007064C7">
        <w:rPr>
          <w:rFonts w:ascii="Arial" w:eastAsia="Calibri" w:hAnsi="Arial" w:cs="Arial"/>
          <w:color w:val="4F6228" w:themeColor="accent3" w:themeShade="80"/>
          <w:sz w:val="24"/>
          <w:szCs w:val="24"/>
          <w:lang w:val="en-US"/>
        </w:rPr>
        <w:t xml:space="preserve">If </w:t>
      </w:r>
      <w:r>
        <w:rPr>
          <w:rFonts w:ascii="Arial" w:eastAsia="Calibri" w:hAnsi="Arial" w:cs="Arial"/>
          <w:color w:val="4F6228" w:themeColor="accent3" w:themeShade="80"/>
          <w:sz w:val="24"/>
          <w:szCs w:val="24"/>
          <w:lang w:val="en-US"/>
        </w:rPr>
        <w:t xml:space="preserve">part a. </w:t>
      </w:r>
      <w:r w:rsidRPr="007064C7">
        <w:rPr>
          <w:rFonts w:ascii="Arial" w:eastAsia="Calibri" w:hAnsi="Arial" w:cs="Arial"/>
          <w:color w:val="4F6228" w:themeColor="accent3" w:themeShade="80"/>
          <w:sz w:val="24"/>
          <w:szCs w:val="24"/>
          <w:lang w:val="en-US"/>
        </w:rPr>
        <w:t xml:space="preserve">confirmed, please quantify </w:t>
      </w:r>
      <w:r>
        <w:rPr>
          <w:rFonts w:ascii="Arial" w:eastAsia="Calibri" w:hAnsi="Arial" w:cs="Arial"/>
          <w:color w:val="4F6228" w:themeColor="accent3" w:themeShade="80"/>
          <w:sz w:val="24"/>
          <w:szCs w:val="24"/>
          <w:lang w:val="en-US"/>
        </w:rPr>
        <w:t xml:space="preserve">each of </w:t>
      </w:r>
      <w:r w:rsidRPr="007064C7">
        <w:rPr>
          <w:rFonts w:ascii="Arial" w:eastAsia="Calibri" w:hAnsi="Arial" w:cs="Arial"/>
          <w:color w:val="4F6228" w:themeColor="accent3" w:themeShade="80"/>
          <w:sz w:val="24"/>
          <w:szCs w:val="24"/>
          <w:lang w:val="en-US"/>
        </w:rPr>
        <w:t xml:space="preserve">the </w:t>
      </w:r>
      <w:r>
        <w:rPr>
          <w:rFonts w:ascii="Arial" w:eastAsia="Calibri" w:hAnsi="Arial" w:cs="Arial"/>
          <w:color w:val="4F6228" w:themeColor="accent3" w:themeShade="80"/>
          <w:sz w:val="24"/>
          <w:szCs w:val="24"/>
          <w:lang w:val="en-US"/>
        </w:rPr>
        <w:t xml:space="preserve">components of the $14K RPP Settlement </w:t>
      </w:r>
      <w:r w:rsidRPr="007064C7">
        <w:rPr>
          <w:rFonts w:ascii="Arial" w:eastAsia="Calibri" w:hAnsi="Arial" w:cs="Arial"/>
          <w:color w:val="4F6228" w:themeColor="accent3" w:themeShade="80"/>
          <w:sz w:val="24"/>
          <w:szCs w:val="24"/>
          <w:lang w:val="en-US"/>
        </w:rPr>
        <w:t xml:space="preserve">true up adjustment </w:t>
      </w:r>
      <w:r>
        <w:rPr>
          <w:rFonts w:ascii="Arial" w:eastAsia="Calibri" w:hAnsi="Arial" w:cs="Arial"/>
          <w:color w:val="4F6228" w:themeColor="accent3" w:themeShade="80"/>
          <w:sz w:val="24"/>
          <w:szCs w:val="24"/>
          <w:lang w:val="en-US"/>
        </w:rPr>
        <w:t xml:space="preserve">made to accounts 1588 and 1589 as of </w:t>
      </w:r>
      <w:r w:rsidRPr="007064C7">
        <w:rPr>
          <w:rFonts w:ascii="Arial" w:eastAsia="Calibri" w:hAnsi="Arial" w:cs="Arial"/>
          <w:color w:val="4F6228" w:themeColor="accent3" w:themeShade="80"/>
          <w:sz w:val="24"/>
          <w:szCs w:val="24"/>
          <w:lang w:val="en-US"/>
        </w:rPr>
        <w:t>December 2016</w:t>
      </w:r>
      <w:r>
        <w:rPr>
          <w:rFonts w:ascii="Arial" w:eastAsia="Calibri" w:hAnsi="Arial" w:cs="Arial"/>
          <w:color w:val="4F6228" w:themeColor="accent3" w:themeShade="80"/>
          <w:sz w:val="24"/>
          <w:szCs w:val="24"/>
          <w:lang w:val="en-US"/>
        </w:rPr>
        <w:t>, for relevant months where settlement hadn’t been trued-up with the IESO, by end of year.</w:t>
      </w:r>
    </w:p>
    <w:p w:rsidR="0058522F" w:rsidRDefault="0058522F" w:rsidP="0058522F">
      <w:pPr>
        <w:numPr>
          <w:ilvl w:val="1"/>
          <w:numId w:val="33"/>
        </w:numPr>
        <w:spacing w:after="160" w:line="259" w:lineRule="auto"/>
        <w:contextualSpacing/>
        <w:rPr>
          <w:rFonts w:ascii="Arial" w:eastAsia="Calibri" w:hAnsi="Arial" w:cs="Arial"/>
          <w:color w:val="4F6228" w:themeColor="accent3" w:themeShade="80"/>
          <w:sz w:val="24"/>
          <w:szCs w:val="24"/>
          <w:lang w:val="en-US"/>
        </w:rPr>
      </w:pPr>
      <w:r>
        <w:rPr>
          <w:rFonts w:ascii="Arial" w:eastAsia="Calibri" w:hAnsi="Arial" w:cs="Arial"/>
          <w:color w:val="4F6228" w:themeColor="accent3" w:themeShade="80"/>
          <w:sz w:val="24"/>
          <w:szCs w:val="24"/>
          <w:lang w:val="en-US"/>
        </w:rPr>
        <w:t xml:space="preserve">If part a. not confirmed, please update RPP settlement true up adjustments to accounts 1588 and 1589 and </w:t>
      </w:r>
      <w:r w:rsidRPr="007064C7">
        <w:rPr>
          <w:rFonts w:ascii="Arial" w:eastAsia="Calibri" w:hAnsi="Arial" w:cs="Arial"/>
          <w:color w:val="4F6228" w:themeColor="accent3" w:themeShade="80"/>
          <w:sz w:val="24"/>
          <w:szCs w:val="24"/>
          <w:lang w:val="en-US"/>
        </w:rPr>
        <w:t xml:space="preserve">quantify </w:t>
      </w:r>
      <w:r>
        <w:rPr>
          <w:rFonts w:ascii="Arial" w:eastAsia="Calibri" w:hAnsi="Arial" w:cs="Arial"/>
          <w:color w:val="4F6228" w:themeColor="accent3" w:themeShade="80"/>
          <w:sz w:val="24"/>
          <w:szCs w:val="24"/>
          <w:lang w:val="en-US"/>
        </w:rPr>
        <w:t xml:space="preserve">each of </w:t>
      </w:r>
      <w:r w:rsidRPr="007064C7">
        <w:rPr>
          <w:rFonts w:ascii="Arial" w:eastAsia="Calibri" w:hAnsi="Arial" w:cs="Arial"/>
          <w:color w:val="4F6228" w:themeColor="accent3" w:themeShade="80"/>
          <w:sz w:val="24"/>
          <w:szCs w:val="24"/>
          <w:lang w:val="en-US"/>
        </w:rPr>
        <w:t xml:space="preserve">the </w:t>
      </w:r>
      <w:r>
        <w:rPr>
          <w:rFonts w:ascii="Arial" w:eastAsia="Calibri" w:hAnsi="Arial" w:cs="Arial"/>
          <w:color w:val="4F6228" w:themeColor="accent3" w:themeShade="80"/>
          <w:sz w:val="24"/>
          <w:szCs w:val="24"/>
          <w:lang w:val="en-US"/>
        </w:rPr>
        <w:t xml:space="preserve">components of the RPP Settlement </w:t>
      </w:r>
      <w:r w:rsidRPr="007064C7">
        <w:rPr>
          <w:rFonts w:ascii="Arial" w:eastAsia="Calibri" w:hAnsi="Arial" w:cs="Arial"/>
          <w:color w:val="4F6228" w:themeColor="accent3" w:themeShade="80"/>
          <w:sz w:val="24"/>
          <w:szCs w:val="24"/>
          <w:lang w:val="en-US"/>
        </w:rPr>
        <w:t xml:space="preserve">true up adjustment </w:t>
      </w:r>
      <w:r>
        <w:rPr>
          <w:rFonts w:ascii="Arial" w:eastAsia="Calibri" w:hAnsi="Arial" w:cs="Arial"/>
          <w:color w:val="4F6228" w:themeColor="accent3" w:themeShade="80"/>
          <w:sz w:val="24"/>
          <w:szCs w:val="24"/>
          <w:lang w:val="en-US"/>
        </w:rPr>
        <w:t xml:space="preserve">to be made to accounts 1588 and 1589 as of </w:t>
      </w:r>
      <w:r w:rsidRPr="007064C7">
        <w:rPr>
          <w:rFonts w:ascii="Arial" w:eastAsia="Calibri" w:hAnsi="Arial" w:cs="Arial"/>
          <w:color w:val="4F6228" w:themeColor="accent3" w:themeShade="80"/>
          <w:sz w:val="24"/>
          <w:szCs w:val="24"/>
          <w:lang w:val="en-US"/>
        </w:rPr>
        <w:t>December 2016</w:t>
      </w:r>
      <w:r>
        <w:rPr>
          <w:rFonts w:ascii="Arial" w:eastAsia="Calibri" w:hAnsi="Arial" w:cs="Arial"/>
          <w:color w:val="4F6228" w:themeColor="accent3" w:themeShade="80"/>
          <w:sz w:val="24"/>
          <w:szCs w:val="24"/>
          <w:lang w:val="en-US"/>
        </w:rPr>
        <w:t>, for relevant months where settlement hadn’t been trued-up with the IESO, by end of year.</w:t>
      </w:r>
    </w:p>
    <w:p w:rsidR="00CD690F" w:rsidRPr="00CD690F" w:rsidRDefault="00CD690F" w:rsidP="00CD690F">
      <w:pPr>
        <w:rPr>
          <w:rFonts w:ascii="Arial" w:hAnsi="Arial" w:cs="Arial"/>
          <w:b/>
          <w:color w:val="C0504D" w:themeColor="accent2"/>
          <w:sz w:val="24"/>
          <w:szCs w:val="24"/>
        </w:rPr>
      </w:pPr>
      <w:r w:rsidRPr="00CD690F">
        <w:rPr>
          <w:rFonts w:ascii="Arial" w:hAnsi="Arial" w:cs="Arial"/>
          <w:b/>
          <w:color w:val="C0504D" w:themeColor="accent2"/>
          <w:sz w:val="24"/>
          <w:szCs w:val="24"/>
        </w:rPr>
        <w:t>BPI Response:</w:t>
      </w:r>
    </w:p>
    <w:p w:rsidR="00C70B97" w:rsidRPr="00C70B97" w:rsidRDefault="00C70B97" w:rsidP="00CD690F">
      <w:pPr>
        <w:pStyle w:val="ListParagraph"/>
        <w:numPr>
          <w:ilvl w:val="0"/>
          <w:numId w:val="34"/>
        </w:numPr>
        <w:rPr>
          <w:rFonts w:ascii="Arial" w:hAnsi="Arial" w:cs="Arial"/>
          <w:b/>
          <w:color w:val="C0504D" w:themeColor="accent2"/>
          <w:sz w:val="24"/>
          <w:szCs w:val="24"/>
        </w:rPr>
      </w:pPr>
      <w:r>
        <w:rPr>
          <w:rFonts w:ascii="Arial" w:eastAsia="Calibri" w:hAnsi="Arial" w:cs="Arial"/>
          <w:color w:val="C0504D" w:themeColor="accent2"/>
          <w:sz w:val="24"/>
          <w:szCs w:val="24"/>
          <w:lang w:val="en-US"/>
        </w:rPr>
        <w:t xml:space="preserve">No, </w:t>
      </w:r>
      <w:r w:rsidR="00CD690F" w:rsidRPr="00C70B97">
        <w:rPr>
          <w:rFonts w:ascii="Arial" w:eastAsia="Calibri" w:hAnsi="Arial" w:cs="Arial"/>
          <w:color w:val="C0504D" w:themeColor="accent2"/>
          <w:sz w:val="24"/>
          <w:szCs w:val="24"/>
          <w:lang w:val="en-US"/>
        </w:rPr>
        <w:t>the adjustment</w:t>
      </w:r>
      <w:r>
        <w:rPr>
          <w:rFonts w:ascii="Arial" w:eastAsia="Calibri" w:hAnsi="Arial" w:cs="Arial"/>
          <w:color w:val="C0504D" w:themeColor="accent2"/>
          <w:sz w:val="24"/>
          <w:szCs w:val="24"/>
          <w:lang w:val="en-US"/>
        </w:rPr>
        <w:t xml:space="preserve"> only trues up</w:t>
      </w:r>
      <w:r w:rsidR="00CD690F" w:rsidRPr="00C70B97">
        <w:rPr>
          <w:rFonts w:ascii="Arial" w:eastAsia="Calibri" w:hAnsi="Arial" w:cs="Arial"/>
          <w:color w:val="C0504D" w:themeColor="accent2"/>
          <w:sz w:val="24"/>
          <w:szCs w:val="24"/>
          <w:lang w:val="en-US"/>
        </w:rPr>
        <w:t xml:space="preserve"> item iv - GA RPP/non-RPP with respect to the pro-ration percentages</w:t>
      </w:r>
      <w:r w:rsidR="000F6DAE">
        <w:rPr>
          <w:rFonts w:ascii="Arial" w:eastAsia="Calibri" w:hAnsi="Arial" w:cs="Arial"/>
          <w:color w:val="C0504D" w:themeColor="accent2"/>
          <w:sz w:val="24"/>
          <w:szCs w:val="24"/>
          <w:lang w:val="en-US"/>
        </w:rPr>
        <w:t>, impacting the split of charge type 148 (Global Adjustment Class B) between the power purchase accounts 4705 (Power Purchased) and 4707(Charges-Global Adjustment), ultimately impacting the balances in 1588 and 1589</w:t>
      </w:r>
      <w:r w:rsidR="00CD690F" w:rsidRPr="00C70B97">
        <w:rPr>
          <w:rFonts w:ascii="Arial" w:eastAsia="Calibri" w:hAnsi="Arial" w:cs="Arial"/>
          <w:color w:val="C0504D" w:themeColor="accent2"/>
          <w:sz w:val="24"/>
          <w:szCs w:val="24"/>
          <w:lang w:val="en-US"/>
        </w:rPr>
        <w:t xml:space="preserve">.  </w:t>
      </w:r>
    </w:p>
    <w:p w:rsidR="00505B06" w:rsidRPr="00505B06" w:rsidRDefault="00CD690F" w:rsidP="00505B06">
      <w:pPr>
        <w:pStyle w:val="ListParagraph"/>
        <w:numPr>
          <w:ilvl w:val="0"/>
          <w:numId w:val="34"/>
        </w:numPr>
        <w:rPr>
          <w:rFonts w:ascii="Arial" w:hAnsi="Arial" w:cs="Arial"/>
          <w:b/>
          <w:color w:val="C0504D" w:themeColor="accent2"/>
          <w:sz w:val="24"/>
          <w:szCs w:val="24"/>
        </w:rPr>
      </w:pPr>
      <w:r w:rsidRPr="00C70B97">
        <w:rPr>
          <w:rFonts w:ascii="Arial" w:eastAsia="Calibri" w:hAnsi="Arial" w:cs="Arial"/>
          <w:color w:val="C0504D" w:themeColor="accent2"/>
          <w:sz w:val="24"/>
          <w:szCs w:val="24"/>
          <w:lang w:val="en-US"/>
        </w:rPr>
        <w:t xml:space="preserve">The $14,408 true up is only between the two accounts (1588 and 1589) in order to adjust the pro-ration percentage between GA related to RPP and </w:t>
      </w:r>
      <w:r w:rsidR="00C70B97">
        <w:rPr>
          <w:rFonts w:ascii="Arial" w:eastAsia="Calibri" w:hAnsi="Arial" w:cs="Arial"/>
          <w:color w:val="C0504D" w:themeColor="accent2"/>
          <w:sz w:val="24"/>
          <w:szCs w:val="24"/>
          <w:lang w:val="en-US"/>
        </w:rPr>
        <w:t xml:space="preserve">GA related to </w:t>
      </w:r>
      <w:r w:rsidRPr="00C70B97">
        <w:rPr>
          <w:rFonts w:ascii="Arial" w:eastAsia="Calibri" w:hAnsi="Arial" w:cs="Arial"/>
          <w:color w:val="C0504D" w:themeColor="accent2"/>
          <w:sz w:val="24"/>
          <w:szCs w:val="24"/>
          <w:lang w:val="en-US"/>
        </w:rPr>
        <w:t>non-RPP. All dollar amounts</w:t>
      </w:r>
      <w:r w:rsidR="00C70B97">
        <w:rPr>
          <w:rFonts w:ascii="Arial" w:eastAsia="Calibri" w:hAnsi="Arial" w:cs="Arial"/>
          <w:color w:val="C0504D" w:themeColor="accent2"/>
          <w:sz w:val="24"/>
          <w:szCs w:val="24"/>
          <w:lang w:val="en-US"/>
        </w:rPr>
        <w:t xml:space="preserve"> related to the </w:t>
      </w:r>
      <w:r w:rsidR="00C70B97" w:rsidRPr="00C70B97">
        <w:rPr>
          <w:rFonts w:ascii="Arial" w:eastAsia="Calibri" w:hAnsi="Arial" w:cs="Arial"/>
          <w:color w:val="C0504D" w:themeColor="accent2"/>
          <w:sz w:val="24"/>
          <w:szCs w:val="24"/>
          <w:u w:val="single"/>
          <w:lang w:val="en-US"/>
        </w:rPr>
        <w:t>total</w:t>
      </w:r>
      <w:r w:rsidR="00C70B97">
        <w:rPr>
          <w:rFonts w:ascii="Arial" w:eastAsia="Calibri" w:hAnsi="Arial" w:cs="Arial"/>
          <w:color w:val="C0504D" w:themeColor="accent2"/>
          <w:sz w:val="24"/>
          <w:szCs w:val="24"/>
          <w:lang w:val="en-US"/>
        </w:rPr>
        <w:t xml:space="preserve"> quantum of charge type 148- Global Adjustment Class B</w:t>
      </w:r>
      <w:r w:rsidRPr="00C70B97">
        <w:rPr>
          <w:rFonts w:ascii="Arial" w:eastAsia="Calibri" w:hAnsi="Arial" w:cs="Arial"/>
          <w:color w:val="C0504D" w:themeColor="accent2"/>
          <w:sz w:val="24"/>
          <w:szCs w:val="24"/>
          <w:lang w:val="en-US"/>
        </w:rPr>
        <w:t xml:space="preserve"> were settled with the IESO and reflected in 2016.</w:t>
      </w:r>
    </w:p>
    <w:p w:rsidR="00CD690F" w:rsidRPr="00EA5C4C" w:rsidRDefault="00505B06" w:rsidP="00CD690F">
      <w:pPr>
        <w:pStyle w:val="ListParagraph"/>
        <w:numPr>
          <w:ilvl w:val="0"/>
          <w:numId w:val="34"/>
        </w:numPr>
        <w:rPr>
          <w:rFonts w:ascii="Arial" w:hAnsi="Arial" w:cs="Arial"/>
          <w:b/>
          <w:color w:val="C0504D" w:themeColor="accent2"/>
          <w:sz w:val="24"/>
          <w:szCs w:val="24"/>
        </w:rPr>
      </w:pPr>
      <w:r>
        <w:rPr>
          <w:rFonts w:ascii="Arial" w:eastAsia="Calibri" w:hAnsi="Arial" w:cs="Arial"/>
          <w:color w:val="C0504D" w:themeColor="accent2"/>
          <w:sz w:val="24"/>
          <w:szCs w:val="24"/>
          <w:lang w:val="en-US"/>
        </w:rPr>
        <w:t xml:space="preserve">No further settlement adjustments have been made associated with 2016.  </w:t>
      </w:r>
      <w:r w:rsidR="00EA5C4C">
        <w:rPr>
          <w:rFonts w:ascii="Arial" w:eastAsia="Calibri" w:hAnsi="Arial" w:cs="Arial"/>
          <w:color w:val="C0504D" w:themeColor="accent2"/>
          <w:sz w:val="24"/>
          <w:szCs w:val="24"/>
          <w:lang w:val="en-US"/>
        </w:rPr>
        <w:t>As a result of the continuing investigation and analysis being completed with respect to account</w:t>
      </w:r>
      <w:r w:rsidR="000B6011">
        <w:rPr>
          <w:rFonts w:ascii="Arial" w:eastAsia="Calibri" w:hAnsi="Arial" w:cs="Arial"/>
          <w:color w:val="C0504D" w:themeColor="accent2"/>
          <w:sz w:val="24"/>
          <w:szCs w:val="24"/>
          <w:lang w:val="en-US"/>
        </w:rPr>
        <w:t>s</w:t>
      </w:r>
      <w:r w:rsidR="00EA5C4C">
        <w:rPr>
          <w:rFonts w:ascii="Arial" w:eastAsia="Calibri" w:hAnsi="Arial" w:cs="Arial"/>
          <w:color w:val="C0504D" w:themeColor="accent2"/>
          <w:sz w:val="24"/>
          <w:szCs w:val="24"/>
          <w:lang w:val="en-US"/>
        </w:rPr>
        <w:t xml:space="preserve"> 1588 and 1589, BPI cannot confirm definitively that no further updates are required with respect to</w:t>
      </w:r>
      <w:r>
        <w:rPr>
          <w:rFonts w:ascii="Arial" w:eastAsia="Calibri" w:hAnsi="Arial" w:cs="Arial"/>
          <w:color w:val="C0504D" w:themeColor="accent2"/>
          <w:sz w:val="24"/>
          <w:szCs w:val="24"/>
          <w:lang w:val="en-US"/>
        </w:rPr>
        <w:t xml:space="preserve"> items </w:t>
      </w:r>
      <w:proofErr w:type="spellStart"/>
      <w:r>
        <w:rPr>
          <w:rFonts w:ascii="Arial" w:eastAsia="Calibri" w:hAnsi="Arial" w:cs="Arial"/>
          <w:color w:val="C0504D" w:themeColor="accent2"/>
          <w:sz w:val="24"/>
          <w:szCs w:val="24"/>
          <w:lang w:val="en-US"/>
        </w:rPr>
        <w:t>i</w:t>
      </w:r>
      <w:proofErr w:type="spellEnd"/>
      <w:r>
        <w:rPr>
          <w:rFonts w:ascii="Arial" w:eastAsia="Calibri" w:hAnsi="Arial" w:cs="Arial"/>
          <w:color w:val="C0504D" w:themeColor="accent2"/>
          <w:sz w:val="24"/>
          <w:szCs w:val="24"/>
          <w:lang w:val="en-US"/>
        </w:rPr>
        <w:t xml:space="preserve">. through </w:t>
      </w:r>
      <w:proofErr w:type="gramStart"/>
      <w:r>
        <w:rPr>
          <w:rFonts w:ascii="Arial" w:eastAsia="Calibri" w:hAnsi="Arial" w:cs="Arial"/>
          <w:color w:val="C0504D" w:themeColor="accent2"/>
          <w:sz w:val="24"/>
          <w:szCs w:val="24"/>
          <w:lang w:val="en-US"/>
        </w:rPr>
        <w:t>iv</w:t>
      </w:r>
      <w:proofErr w:type="gramEnd"/>
      <w:r>
        <w:rPr>
          <w:rFonts w:ascii="Arial" w:eastAsia="Calibri" w:hAnsi="Arial" w:cs="Arial"/>
          <w:color w:val="C0504D" w:themeColor="accent2"/>
          <w:sz w:val="24"/>
          <w:szCs w:val="24"/>
          <w:lang w:val="en-US"/>
        </w:rPr>
        <w:t xml:space="preserve">. </w:t>
      </w:r>
      <w:proofErr w:type="gramStart"/>
      <w:r>
        <w:rPr>
          <w:rFonts w:ascii="Arial" w:eastAsia="Calibri" w:hAnsi="Arial" w:cs="Arial"/>
          <w:color w:val="C0504D" w:themeColor="accent2"/>
          <w:sz w:val="24"/>
          <w:szCs w:val="24"/>
          <w:lang w:val="en-US"/>
        </w:rPr>
        <w:t>above</w:t>
      </w:r>
      <w:proofErr w:type="gramEnd"/>
      <w:r w:rsidR="00EA5C4C">
        <w:rPr>
          <w:rFonts w:ascii="Arial" w:eastAsia="Calibri" w:hAnsi="Arial" w:cs="Arial"/>
          <w:color w:val="C0504D" w:themeColor="accent2"/>
          <w:sz w:val="24"/>
          <w:szCs w:val="24"/>
          <w:lang w:val="en-US"/>
        </w:rPr>
        <w:t>.</w:t>
      </w:r>
    </w:p>
    <w:p w:rsidR="0054418E" w:rsidRDefault="00513825" w:rsidP="00F27A5F">
      <w:pPr>
        <w:rPr>
          <w:rFonts w:ascii="Arial" w:hAnsi="Arial" w:cs="Arial"/>
          <w:b/>
          <w:sz w:val="24"/>
          <w:szCs w:val="24"/>
        </w:rPr>
      </w:pPr>
      <w:r>
        <w:rPr>
          <w:rFonts w:ascii="Arial" w:hAnsi="Arial" w:cs="Arial"/>
          <w:b/>
          <w:sz w:val="24"/>
          <w:szCs w:val="24"/>
        </w:rPr>
        <w:t>Question #3</w:t>
      </w:r>
    </w:p>
    <w:p w:rsidR="0054418E" w:rsidRDefault="00513825" w:rsidP="00513825">
      <w:pPr>
        <w:rPr>
          <w:rFonts w:ascii="Arial" w:hAnsi="Arial" w:cs="Arial"/>
          <w:b/>
          <w:sz w:val="24"/>
          <w:szCs w:val="24"/>
        </w:rPr>
      </w:pPr>
      <w:r>
        <w:rPr>
          <w:rFonts w:ascii="Arial" w:hAnsi="Arial" w:cs="Arial"/>
          <w:b/>
          <w:sz w:val="24"/>
          <w:szCs w:val="24"/>
        </w:rPr>
        <w:t>Ref: IRM Model Tab 3: Required adjustment amount of $451,461 between Account 1588 and Account 1589</w:t>
      </w:r>
    </w:p>
    <w:p w:rsidR="00E336E4" w:rsidRDefault="00E336E4" w:rsidP="00513825">
      <w:pPr>
        <w:rPr>
          <w:rFonts w:ascii="Arial" w:hAnsi="Arial" w:cs="Arial"/>
          <w:sz w:val="24"/>
          <w:szCs w:val="24"/>
        </w:rPr>
      </w:pPr>
      <w:r>
        <w:rPr>
          <w:rFonts w:ascii="Arial" w:hAnsi="Arial" w:cs="Arial"/>
          <w:sz w:val="24"/>
          <w:szCs w:val="24"/>
        </w:rPr>
        <w:t>As a result of discussion with OEB staff and further investigation, Brantford Power has determined and notified OEB staff that an adjustment is required to the continuity schedule. This adjustment, in amount of $451,461, is to correctly capture 2016 GA variance amounts associated with RPP customers in Account 158. OEB staff has updated the IRM model accordingly to include this adjustment (screenshot below).</w:t>
      </w:r>
    </w:p>
    <w:p w:rsidR="00E336E4" w:rsidRDefault="00E336E4" w:rsidP="00513825">
      <w:pPr>
        <w:rPr>
          <w:rFonts w:ascii="Arial" w:hAnsi="Arial" w:cs="Arial"/>
          <w:sz w:val="24"/>
          <w:szCs w:val="24"/>
        </w:rPr>
      </w:pPr>
      <w:r>
        <w:rPr>
          <w:rFonts w:ascii="Arial" w:hAnsi="Arial" w:cs="Arial"/>
          <w:sz w:val="24"/>
          <w:szCs w:val="24"/>
        </w:rPr>
        <w:t xml:space="preserve">As noted in Brantford Power’s responses to OEB staff questions (part 2) in relation to the GA analysis work form, this adjustment is required in order to correct an error in the </w:t>
      </w:r>
      <w:r>
        <w:rPr>
          <w:rFonts w:ascii="Arial" w:hAnsi="Arial" w:cs="Arial"/>
          <w:sz w:val="24"/>
          <w:szCs w:val="24"/>
        </w:rPr>
        <w:lastRenderedPageBreak/>
        <w:t>consumption data received from third party smart meter data provider</w:t>
      </w:r>
      <w:r w:rsidR="00347AE0">
        <w:rPr>
          <w:rFonts w:ascii="Arial" w:hAnsi="Arial" w:cs="Arial"/>
          <w:sz w:val="24"/>
          <w:szCs w:val="24"/>
        </w:rPr>
        <w:t>. Brantford Power is working to confirm that no other impacts from this issue exist.</w:t>
      </w:r>
    </w:p>
    <w:p w:rsidR="00E336E4" w:rsidRPr="00CE062C" w:rsidRDefault="00347AE0" w:rsidP="00513825">
      <w:pPr>
        <w:pStyle w:val="ListParagraph"/>
        <w:numPr>
          <w:ilvl w:val="0"/>
          <w:numId w:val="30"/>
        </w:numPr>
        <w:rPr>
          <w:rFonts w:ascii="Arial" w:hAnsi="Arial" w:cs="Arial"/>
          <w:sz w:val="24"/>
          <w:szCs w:val="24"/>
        </w:rPr>
      </w:pPr>
      <w:r>
        <w:rPr>
          <w:rFonts w:ascii="Arial" w:hAnsi="Arial" w:cs="Arial"/>
          <w:sz w:val="24"/>
          <w:szCs w:val="24"/>
        </w:rPr>
        <w:t>Please confirm whether or not there is any</w:t>
      </w:r>
      <w:r w:rsidR="00E336E4">
        <w:rPr>
          <w:rFonts w:ascii="Arial" w:hAnsi="Arial" w:cs="Arial"/>
          <w:sz w:val="24"/>
          <w:szCs w:val="24"/>
        </w:rPr>
        <w:t xml:space="preserve"> other impacts from this </w:t>
      </w:r>
      <w:r>
        <w:rPr>
          <w:rFonts w:ascii="Arial" w:hAnsi="Arial" w:cs="Arial"/>
          <w:sz w:val="24"/>
          <w:szCs w:val="24"/>
        </w:rPr>
        <w:t>issue.</w:t>
      </w:r>
    </w:p>
    <w:p w:rsidR="00E336E4" w:rsidRDefault="00E336E4" w:rsidP="00513825">
      <w:pPr>
        <w:rPr>
          <w:rFonts w:ascii="Arial" w:hAnsi="Arial" w:cs="Arial"/>
          <w:b/>
          <w:sz w:val="24"/>
          <w:szCs w:val="24"/>
        </w:rPr>
      </w:pPr>
      <w:r>
        <w:rPr>
          <w:noProof/>
          <w:lang w:val="en-US"/>
        </w:rPr>
        <w:drawing>
          <wp:inline distT="0" distB="0" distL="0" distR="0" wp14:anchorId="4565BEB7" wp14:editId="7A7A6078">
            <wp:extent cx="3913970" cy="2652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40148" cy="2670135"/>
                    </a:xfrm>
                    <a:prstGeom prst="rect">
                      <a:avLst/>
                    </a:prstGeom>
                  </pic:spPr>
                </pic:pic>
              </a:graphicData>
            </a:graphic>
          </wp:inline>
        </w:drawing>
      </w:r>
    </w:p>
    <w:p w:rsidR="00946CE1" w:rsidRPr="00946CE1" w:rsidRDefault="00946CE1" w:rsidP="00946CE1">
      <w:pPr>
        <w:rPr>
          <w:rFonts w:ascii="Arial" w:hAnsi="Arial" w:cs="Arial"/>
          <w:b/>
          <w:color w:val="1F497D" w:themeColor="text2"/>
          <w:sz w:val="24"/>
          <w:szCs w:val="24"/>
        </w:rPr>
      </w:pPr>
      <w:r w:rsidRPr="00946CE1">
        <w:rPr>
          <w:rFonts w:ascii="Arial" w:hAnsi="Arial" w:cs="Arial"/>
          <w:b/>
          <w:color w:val="1F497D" w:themeColor="text2"/>
          <w:sz w:val="24"/>
          <w:szCs w:val="24"/>
        </w:rPr>
        <w:t>BPI Response:</w:t>
      </w:r>
    </w:p>
    <w:p w:rsidR="00946CE1" w:rsidRPr="00946CE1" w:rsidRDefault="00946CE1" w:rsidP="00946CE1">
      <w:pPr>
        <w:rPr>
          <w:rFonts w:ascii="Arial" w:hAnsi="Arial" w:cs="Arial"/>
          <w:color w:val="1F497D" w:themeColor="text2"/>
          <w:sz w:val="24"/>
          <w:szCs w:val="24"/>
        </w:rPr>
      </w:pPr>
      <w:r w:rsidRPr="00946CE1">
        <w:rPr>
          <w:rFonts w:ascii="Arial" w:hAnsi="Arial" w:cs="Arial"/>
          <w:color w:val="1F497D" w:themeColor="text2"/>
          <w:sz w:val="24"/>
          <w:szCs w:val="24"/>
        </w:rPr>
        <w:t>a) BPI continues to work to determine whether other impacts related to this issue exist. BPI requires input from third party service providers in order to make this determination with confidence and is not able to confirm at this time.</w:t>
      </w:r>
    </w:p>
    <w:p w:rsidR="00946CE1" w:rsidRPr="00946CE1" w:rsidRDefault="00946CE1" w:rsidP="00946CE1">
      <w:pPr>
        <w:rPr>
          <w:rFonts w:ascii="Arial" w:hAnsi="Arial" w:cs="Arial"/>
          <w:color w:val="1F497D" w:themeColor="text2"/>
          <w:sz w:val="24"/>
          <w:szCs w:val="24"/>
        </w:rPr>
      </w:pPr>
      <w:r w:rsidRPr="00946CE1">
        <w:rPr>
          <w:rFonts w:ascii="Arial" w:hAnsi="Arial" w:cs="Arial"/>
          <w:color w:val="1F497D" w:themeColor="text2"/>
          <w:sz w:val="24"/>
          <w:szCs w:val="24"/>
        </w:rPr>
        <w:t>BPI has performed some further analysis to fine tune the amount associated with RPP customers, and determined the adjustment amount should be as set out below:</w:t>
      </w:r>
    </w:p>
    <w:p w:rsidR="00946CE1" w:rsidRPr="00946CE1" w:rsidRDefault="00946CE1" w:rsidP="00946CE1">
      <w:pPr>
        <w:rPr>
          <w:rFonts w:ascii="Arial" w:hAnsi="Arial" w:cs="Arial"/>
          <w:color w:val="1F497D" w:themeColor="text2"/>
          <w:sz w:val="24"/>
          <w:szCs w:val="24"/>
        </w:rPr>
      </w:pPr>
      <w:r w:rsidRPr="00946CE1">
        <w:rPr>
          <w:rFonts w:ascii="Arial" w:hAnsi="Arial" w:cs="Arial"/>
          <w:color w:val="1F497D" w:themeColor="text2"/>
          <w:sz w:val="24"/>
          <w:szCs w:val="24"/>
        </w:rPr>
        <w:t>Previous adjustment of $451,460.53 has been refined to $436,388.50. BPI requests that OEB staff update the adjustment to the following amounts:</w:t>
      </w:r>
    </w:p>
    <w:p w:rsidR="00946CE1" w:rsidRDefault="00946CE1" w:rsidP="00946CE1">
      <w:pPr>
        <w:rPr>
          <w:rFonts w:ascii="Arial" w:hAnsi="Arial" w:cs="Arial"/>
          <w:color w:val="1F497D" w:themeColor="text2"/>
          <w:sz w:val="24"/>
          <w:szCs w:val="24"/>
        </w:rPr>
      </w:pPr>
      <w:r>
        <w:rPr>
          <w:noProof/>
          <w:lang w:val="en-US"/>
        </w:rPr>
        <w:drawing>
          <wp:inline distT="0" distB="0" distL="0" distR="0" wp14:anchorId="4A9447DB" wp14:editId="44F9D58D">
            <wp:extent cx="4333333" cy="14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33333" cy="1400000"/>
                    </a:xfrm>
                    <a:prstGeom prst="rect">
                      <a:avLst/>
                    </a:prstGeom>
                  </pic:spPr>
                </pic:pic>
              </a:graphicData>
            </a:graphic>
          </wp:inline>
        </w:drawing>
      </w:r>
    </w:p>
    <w:p w:rsidR="00946CE1" w:rsidRPr="00946CE1" w:rsidRDefault="00946CE1" w:rsidP="00946CE1">
      <w:pPr>
        <w:rPr>
          <w:rFonts w:ascii="Arial" w:hAnsi="Arial" w:cs="Arial"/>
          <w:color w:val="1F497D" w:themeColor="text2"/>
          <w:sz w:val="24"/>
          <w:szCs w:val="24"/>
        </w:rPr>
      </w:pPr>
      <w:r w:rsidRPr="00946CE1">
        <w:rPr>
          <w:rFonts w:ascii="Arial" w:hAnsi="Arial" w:cs="Arial"/>
          <w:color w:val="1F497D" w:themeColor="text2"/>
          <w:sz w:val="24"/>
          <w:szCs w:val="24"/>
        </w:rPr>
        <w:t>BPI expects the updated continuity schedule to show the following:</w:t>
      </w:r>
    </w:p>
    <w:p w:rsidR="00347AE0" w:rsidRDefault="00946CE1" w:rsidP="00DA2484">
      <w:pPr>
        <w:rPr>
          <w:rFonts w:ascii="Arial" w:hAnsi="Arial" w:cs="Arial"/>
          <w:b/>
          <w:sz w:val="24"/>
          <w:szCs w:val="24"/>
        </w:rPr>
      </w:pPr>
      <w:r>
        <w:rPr>
          <w:noProof/>
          <w:lang w:val="en-US"/>
        </w:rPr>
        <w:lastRenderedPageBreak/>
        <w:drawing>
          <wp:inline distT="0" distB="0" distL="0" distR="0" wp14:anchorId="07A88FFD" wp14:editId="231A7396">
            <wp:extent cx="4057143" cy="1542857"/>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57143" cy="1542857"/>
                    </a:xfrm>
                    <a:prstGeom prst="rect">
                      <a:avLst/>
                    </a:prstGeom>
                  </pic:spPr>
                </pic:pic>
              </a:graphicData>
            </a:graphic>
          </wp:inline>
        </w:drawing>
      </w:r>
    </w:p>
    <w:p w:rsidR="00C926DF" w:rsidRDefault="00CE2E52" w:rsidP="00C926DF">
      <w:pPr>
        <w:rPr>
          <w:rFonts w:ascii="Arial" w:hAnsi="Arial" w:cs="Arial"/>
          <w:b/>
          <w:color w:val="4F6228" w:themeColor="accent3" w:themeShade="80"/>
          <w:sz w:val="24"/>
          <w:szCs w:val="24"/>
        </w:rPr>
      </w:pPr>
      <w:r w:rsidRPr="00CE2E52">
        <w:rPr>
          <w:rFonts w:ascii="Arial" w:hAnsi="Arial" w:cs="Arial"/>
          <w:b/>
          <w:color w:val="4F6228" w:themeColor="accent3" w:themeShade="80"/>
          <w:sz w:val="24"/>
          <w:szCs w:val="24"/>
        </w:rPr>
        <w:t>OEB Staff:</w:t>
      </w:r>
    </w:p>
    <w:p w:rsidR="004F27C1" w:rsidRDefault="004F27C1" w:rsidP="004F27C1">
      <w:pPr>
        <w:rPr>
          <w:rFonts w:ascii="Arial" w:hAnsi="Arial" w:cs="Arial"/>
          <w:color w:val="4F6228" w:themeColor="accent3" w:themeShade="80"/>
          <w:sz w:val="24"/>
          <w:szCs w:val="24"/>
        </w:rPr>
      </w:pPr>
      <w:r>
        <w:rPr>
          <w:rFonts w:ascii="Arial" w:hAnsi="Arial" w:cs="Arial"/>
          <w:color w:val="4F6228" w:themeColor="accent3" w:themeShade="80"/>
          <w:sz w:val="24"/>
          <w:szCs w:val="24"/>
        </w:rPr>
        <w:t xml:space="preserve">In the above response, Brantford Power required OEB staff to revise the adjustment amount </w:t>
      </w:r>
      <w:r w:rsidR="0058522F">
        <w:rPr>
          <w:rFonts w:ascii="Arial" w:hAnsi="Arial" w:cs="Arial"/>
          <w:color w:val="4F6228" w:themeColor="accent3" w:themeShade="80"/>
          <w:sz w:val="24"/>
          <w:szCs w:val="24"/>
        </w:rPr>
        <w:t xml:space="preserve">in account 1588 and account 1589 </w:t>
      </w:r>
      <w:r>
        <w:rPr>
          <w:rFonts w:ascii="Arial" w:hAnsi="Arial" w:cs="Arial"/>
          <w:color w:val="4F6228" w:themeColor="accent3" w:themeShade="80"/>
          <w:sz w:val="24"/>
          <w:szCs w:val="24"/>
        </w:rPr>
        <w:t>from $451,460.53 to $436,388.50. Brantford Power also noted that it continues to work to determine wheth</w:t>
      </w:r>
      <w:r w:rsidR="0058522F">
        <w:rPr>
          <w:rFonts w:ascii="Arial" w:hAnsi="Arial" w:cs="Arial"/>
          <w:color w:val="4F6228" w:themeColor="accent3" w:themeShade="80"/>
          <w:sz w:val="24"/>
          <w:szCs w:val="24"/>
        </w:rPr>
        <w:t>er other impacts related to the</w:t>
      </w:r>
      <w:r>
        <w:rPr>
          <w:rFonts w:ascii="Arial" w:hAnsi="Arial" w:cs="Arial"/>
          <w:color w:val="4F6228" w:themeColor="accent3" w:themeShade="80"/>
          <w:sz w:val="24"/>
          <w:szCs w:val="24"/>
        </w:rPr>
        <w:t xml:space="preserve"> issue exist. </w:t>
      </w:r>
    </w:p>
    <w:p w:rsidR="004F27C1" w:rsidRDefault="004F27C1" w:rsidP="004F27C1">
      <w:pPr>
        <w:rPr>
          <w:rFonts w:ascii="Arial" w:hAnsi="Arial" w:cs="Arial"/>
          <w:color w:val="4F6228" w:themeColor="accent3" w:themeShade="80"/>
          <w:sz w:val="24"/>
          <w:szCs w:val="24"/>
        </w:rPr>
      </w:pPr>
      <w:r>
        <w:rPr>
          <w:rFonts w:ascii="Arial" w:hAnsi="Arial" w:cs="Arial"/>
          <w:color w:val="4F6228" w:themeColor="accent3" w:themeShade="80"/>
          <w:sz w:val="24"/>
          <w:szCs w:val="24"/>
        </w:rPr>
        <w:t xml:space="preserve">Please confirm whether or not the balances in account 1588 and account 1589 could be further affected (updated) as a result of Brantford Power’s ongoing investigation and analysis on the issue. If yes, is Brantford Power going to withdraw </w:t>
      </w:r>
      <w:r w:rsidR="00D67131">
        <w:rPr>
          <w:rFonts w:ascii="Arial" w:hAnsi="Arial" w:cs="Arial"/>
          <w:color w:val="4F6228" w:themeColor="accent3" w:themeShade="80"/>
          <w:sz w:val="24"/>
          <w:szCs w:val="24"/>
        </w:rPr>
        <w:t>its</w:t>
      </w:r>
      <w:r>
        <w:rPr>
          <w:rFonts w:ascii="Arial" w:hAnsi="Arial" w:cs="Arial"/>
          <w:color w:val="4F6228" w:themeColor="accent3" w:themeShade="80"/>
          <w:sz w:val="24"/>
          <w:szCs w:val="24"/>
        </w:rPr>
        <w:t xml:space="preserve"> request </w:t>
      </w:r>
      <w:r w:rsidR="00D67131">
        <w:rPr>
          <w:rFonts w:ascii="Arial" w:hAnsi="Arial" w:cs="Arial"/>
          <w:color w:val="4F6228" w:themeColor="accent3" w:themeShade="80"/>
          <w:sz w:val="24"/>
          <w:szCs w:val="24"/>
        </w:rPr>
        <w:t>for</w:t>
      </w:r>
      <w:r>
        <w:rPr>
          <w:rFonts w:ascii="Arial" w:hAnsi="Arial" w:cs="Arial"/>
          <w:color w:val="4F6228" w:themeColor="accent3" w:themeShade="80"/>
          <w:sz w:val="24"/>
          <w:szCs w:val="24"/>
        </w:rPr>
        <w:t xml:space="preserve"> disposition of its Group 1 DVA accounts until it can make determination with confidence on the impacts to account 1588 and account 1589? </w:t>
      </w:r>
    </w:p>
    <w:p w:rsidR="004F27C1" w:rsidRPr="004F3585" w:rsidRDefault="004F3585" w:rsidP="004F27C1">
      <w:pPr>
        <w:rPr>
          <w:rFonts w:ascii="Arial" w:hAnsi="Arial" w:cs="Arial"/>
          <w:b/>
          <w:color w:val="C0504D" w:themeColor="accent2"/>
          <w:sz w:val="24"/>
          <w:szCs w:val="24"/>
        </w:rPr>
      </w:pPr>
      <w:r w:rsidRPr="004F3585">
        <w:rPr>
          <w:rFonts w:ascii="Arial" w:hAnsi="Arial" w:cs="Arial"/>
          <w:b/>
          <w:color w:val="C0504D" w:themeColor="accent2"/>
          <w:sz w:val="24"/>
          <w:szCs w:val="24"/>
        </w:rPr>
        <w:t>Brantford Power Response:</w:t>
      </w:r>
    </w:p>
    <w:p w:rsidR="00B076A5" w:rsidRDefault="004F3585" w:rsidP="004F3585">
      <w:pPr>
        <w:rPr>
          <w:rFonts w:ascii="Arial" w:hAnsi="Arial" w:cs="Arial"/>
          <w:b/>
          <w:sz w:val="24"/>
          <w:szCs w:val="24"/>
        </w:rPr>
      </w:pPr>
      <w:r w:rsidRPr="004F3585">
        <w:rPr>
          <w:rFonts w:ascii="Arial" w:hAnsi="Arial" w:cs="Arial"/>
          <w:color w:val="C0504D" w:themeColor="accent2"/>
          <w:sz w:val="24"/>
          <w:szCs w:val="24"/>
        </w:rPr>
        <w:t>BPI confirms that the balances in accounts 1588 and 1589 could be further affected by the results of the ongoing analysis of</w:t>
      </w:r>
      <w:r>
        <w:rPr>
          <w:rFonts w:ascii="Arial" w:hAnsi="Arial" w:cs="Arial"/>
          <w:color w:val="C0504D" w:themeColor="accent2"/>
          <w:sz w:val="24"/>
          <w:szCs w:val="24"/>
        </w:rPr>
        <w:t xml:space="preserve"> the issue. As a result, BPI confirms it is withdrawing its request for the disposition of its Gro</w:t>
      </w:r>
      <w:bookmarkStart w:id="0" w:name="_GoBack"/>
      <w:bookmarkEnd w:id="0"/>
      <w:r>
        <w:rPr>
          <w:rFonts w:ascii="Arial" w:hAnsi="Arial" w:cs="Arial"/>
          <w:color w:val="C0504D" w:themeColor="accent2"/>
          <w:sz w:val="24"/>
          <w:szCs w:val="24"/>
        </w:rPr>
        <w:t xml:space="preserve">up 1 DVA accounts until it can make a determination with confidence on the impacts to its DVAs. BPI would like to clarify that it is </w:t>
      </w:r>
      <w:r w:rsidR="00D043BA">
        <w:rPr>
          <w:rFonts w:ascii="Arial" w:hAnsi="Arial" w:cs="Arial"/>
          <w:color w:val="C0504D" w:themeColor="accent2"/>
          <w:sz w:val="24"/>
          <w:szCs w:val="24"/>
        </w:rPr>
        <w:t>keeping</w:t>
      </w:r>
      <w:r>
        <w:rPr>
          <w:rFonts w:ascii="Arial" w:hAnsi="Arial" w:cs="Arial"/>
          <w:color w:val="C0504D" w:themeColor="accent2"/>
          <w:sz w:val="24"/>
          <w:szCs w:val="24"/>
        </w:rPr>
        <w:t xml:space="preserve"> its request to dispose of the balance in its LRAMVA </w:t>
      </w:r>
      <w:r w:rsidR="00223C65">
        <w:rPr>
          <w:rFonts w:ascii="Arial" w:hAnsi="Arial" w:cs="Arial"/>
          <w:color w:val="C0504D" w:themeColor="accent2"/>
          <w:sz w:val="24"/>
          <w:szCs w:val="24"/>
        </w:rPr>
        <w:t xml:space="preserve">account. </w:t>
      </w:r>
      <w:r w:rsidR="00EA5C4C">
        <w:rPr>
          <w:rFonts w:ascii="Arial" w:hAnsi="Arial" w:cs="Arial"/>
          <w:color w:val="C0504D" w:themeColor="accent2"/>
          <w:sz w:val="24"/>
          <w:szCs w:val="24"/>
        </w:rPr>
        <w:t xml:space="preserve">BPI intends to dispose of the Group 1 DVA balances as </w:t>
      </w:r>
      <w:r w:rsidR="009547B0">
        <w:rPr>
          <w:rFonts w:ascii="Arial" w:hAnsi="Arial" w:cs="Arial"/>
          <w:color w:val="C0504D" w:themeColor="accent2"/>
          <w:sz w:val="24"/>
          <w:szCs w:val="24"/>
        </w:rPr>
        <w:t>at</w:t>
      </w:r>
      <w:r w:rsidR="00EA5C4C">
        <w:rPr>
          <w:rFonts w:ascii="Arial" w:hAnsi="Arial" w:cs="Arial"/>
          <w:color w:val="C0504D" w:themeColor="accent2"/>
          <w:sz w:val="24"/>
          <w:szCs w:val="24"/>
        </w:rPr>
        <w:t xml:space="preserve"> December 31, 2016 as part of a future IRM rate application. </w:t>
      </w:r>
    </w:p>
    <w:p w:rsidR="003F7D01" w:rsidRDefault="003F7D01" w:rsidP="00B076A5">
      <w:pPr>
        <w:pStyle w:val="ListParagraph"/>
        <w:rPr>
          <w:rFonts w:ascii="Arial" w:hAnsi="Arial" w:cs="Arial"/>
          <w:b/>
          <w:sz w:val="24"/>
          <w:szCs w:val="24"/>
        </w:rPr>
      </w:pPr>
    </w:p>
    <w:p w:rsidR="00145A2B" w:rsidRPr="00DA09D0" w:rsidRDefault="00DA09D0" w:rsidP="00DA09D0">
      <w:pPr>
        <w:ind w:left="720"/>
        <w:rPr>
          <w:rFonts w:ascii="Arial" w:hAnsi="Arial" w:cs="Arial"/>
          <w:sz w:val="24"/>
          <w:szCs w:val="24"/>
        </w:rPr>
      </w:pPr>
      <w:r>
        <w:rPr>
          <w:rFonts w:ascii="Arial" w:hAnsi="Arial" w:cs="Arial"/>
          <w:sz w:val="24"/>
          <w:szCs w:val="24"/>
        </w:rPr>
        <w:t xml:space="preserve"> </w:t>
      </w:r>
    </w:p>
    <w:sectPr w:rsidR="00145A2B" w:rsidRPr="00DA09D0" w:rsidSect="00EA0919">
      <w:headerReference w:type="default" r:id="rId17"/>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5BF" w:rsidRDefault="008255BF" w:rsidP="00851418">
      <w:pPr>
        <w:spacing w:after="0" w:line="240" w:lineRule="auto"/>
      </w:pPr>
      <w:r>
        <w:separator/>
      </w:r>
    </w:p>
  </w:endnote>
  <w:endnote w:type="continuationSeparator" w:id="0">
    <w:p w:rsidR="008255BF" w:rsidRDefault="008255BF"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5BF" w:rsidRDefault="008255BF" w:rsidP="00851418">
      <w:pPr>
        <w:spacing w:after="0" w:line="240" w:lineRule="auto"/>
      </w:pPr>
      <w:r>
        <w:separator/>
      </w:r>
    </w:p>
  </w:footnote>
  <w:footnote w:type="continuationSeparator" w:id="0">
    <w:p w:rsidR="008255BF" w:rsidRDefault="008255BF" w:rsidP="00851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18" w:rsidRDefault="00D5062F">
    <w:pPr>
      <w:pStyle w:val="Header"/>
    </w:pPr>
    <w:r>
      <w:ptab w:relativeTo="margin" w:alignment="center" w:leader="none"/>
    </w:r>
    <w:r>
      <w:ptab w:relativeTo="margin" w:alignment="right" w:leader="none"/>
    </w:r>
    <w:r w:rsidR="00E8235A">
      <w:t>Brantford Power Inc.</w:t>
    </w:r>
  </w:p>
  <w:p w:rsidR="00D5062F" w:rsidRDefault="00E8235A" w:rsidP="004B218E">
    <w:pPr>
      <w:pStyle w:val="Header"/>
    </w:pPr>
    <w:r>
      <w:tab/>
    </w:r>
    <w:r>
      <w:tab/>
      <w:t>EB-2017-0028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nsid w:val="35B34523"/>
    <w:multiLevelType w:val="hybridMultilevel"/>
    <w:tmpl w:val="2B3E40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0">
    <w:nsid w:val="40FC570F"/>
    <w:multiLevelType w:val="hybridMultilevel"/>
    <w:tmpl w:val="56AEC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2">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6">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7">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2991E23"/>
    <w:multiLevelType w:val="hybridMultilevel"/>
    <w:tmpl w:val="CA8ABA86"/>
    <w:lvl w:ilvl="0" w:tplc="04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2">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0"/>
  </w:num>
  <w:num w:numId="2">
    <w:abstractNumId w:val="8"/>
  </w:num>
  <w:num w:numId="3">
    <w:abstractNumId w:val="12"/>
  </w:num>
  <w:num w:numId="4">
    <w:abstractNumId w:val="10"/>
  </w:num>
  <w:num w:numId="5">
    <w:abstractNumId w:val="11"/>
  </w:num>
  <w:num w:numId="6">
    <w:abstractNumId w:val="17"/>
  </w:num>
  <w:num w:numId="7">
    <w:abstractNumId w:val="24"/>
  </w:num>
  <w:num w:numId="8">
    <w:abstractNumId w:val="27"/>
  </w:num>
  <w:num w:numId="9">
    <w:abstractNumId w:val="4"/>
  </w:num>
  <w:num w:numId="10">
    <w:abstractNumId w:val="0"/>
  </w:num>
  <w:num w:numId="11">
    <w:abstractNumId w:val="21"/>
  </w:num>
  <w:num w:numId="12">
    <w:abstractNumId w:val="13"/>
  </w:num>
  <w:num w:numId="13">
    <w:abstractNumId w:val="28"/>
  </w:num>
  <w:num w:numId="14">
    <w:abstractNumId w:val="5"/>
  </w:num>
  <w:num w:numId="15">
    <w:abstractNumId w:val="25"/>
  </w:num>
  <w:num w:numId="16">
    <w:abstractNumId w:val="1"/>
  </w:num>
  <w:num w:numId="17">
    <w:abstractNumId w:val="16"/>
  </w:num>
  <w:num w:numId="18">
    <w:abstractNumId w:val="2"/>
  </w:num>
  <w:num w:numId="19">
    <w:abstractNumId w:val="19"/>
  </w:num>
  <w:num w:numId="20">
    <w:abstractNumId w:val="26"/>
  </w:num>
  <w:num w:numId="21">
    <w:abstractNumId w:val="9"/>
  </w:num>
  <w:num w:numId="22">
    <w:abstractNumId w:val="3"/>
  </w:num>
  <w:num w:numId="23">
    <w:abstractNumId w:val="2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6"/>
  </w:num>
  <w:num w:numId="27">
    <w:abstractNumId w:val="23"/>
  </w:num>
  <w:num w:numId="28">
    <w:abstractNumId w:val="32"/>
  </w:num>
  <w:num w:numId="29">
    <w:abstractNumId w:val="7"/>
  </w:num>
  <w:num w:numId="30">
    <w:abstractNumId w:val="18"/>
  </w:num>
  <w:num w:numId="31">
    <w:abstractNumId w:val="22"/>
  </w:num>
  <w:num w:numId="32">
    <w:abstractNumId w:val="20"/>
  </w:num>
  <w:num w:numId="33">
    <w:abstractNumId w:val="1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8"/>
    <w:rsid w:val="00003BE1"/>
    <w:rsid w:val="0001354E"/>
    <w:rsid w:val="000414BC"/>
    <w:rsid w:val="00041BBD"/>
    <w:rsid w:val="000843ED"/>
    <w:rsid w:val="000A0898"/>
    <w:rsid w:val="000A5381"/>
    <w:rsid w:val="000B6011"/>
    <w:rsid w:val="000C035C"/>
    <w:rsid w:val="000D2EAF"/>
    <w:rsid w:val="000E1373"/>
    <w:rsid w:val="000E4C7B"/>
    <w:rsid w:val="000F6DAE"/>
    <w:rsid w:val="00112D88"/>
    <w:rsid w:val="00145A2B"/>
    <w:rsid w:val="00146770"/>
    <w:rsid w:val="00150BE5"/>
    <w:rsid w:val="001563E4"/>
    <w:rsid w:val="0016286E"/>
    <w:rsid w:val="00163BCB"/>
    <w:rsid w:val="00171C5D"/>
    <w:rsid w:val="001A7E57"/>
    <w:rsid w:val="001B1072"/>
    <w:rsid w:val="001B2AD3"/>
    <w:rsid w:val="001C7CA4"/>
    <w:rsid w:val="001D7086"/>
    <w:rsid w:val="001E069B"/>
    <w:rsid w:val="001E179B"/>
    <w:rsid w:val="00204A40"/>
    <w:rsid w:val="00223C65"/>
    <w:rsid w:val="0023076C"/>
    <w:rsid w:val="002363C3"/>
    <w:rsid w:val="00293086"/>
    <w:rsid w:val="002A72E9"/>
    <w:rsid w:val="002B0F06"/>
    <w:rsid w:val="002B7C64"/>
    <w:rsid w:val="002D2F55"/>
    <w:rsid w:val="00303671"/>
    <w:rsid w:val="00304228"/>
    <w:rsid w:val="00323BCB"/>
    <w:rsid w:val="0032442F"/>
    <w:rsid w:val="00325973"/>
    <w:rsid w:val="00347AE0"/>
    <w:rsid w:val="0035397C"/>
    <w:rsid w:val="00354A5F"/>
    <w:rsid w:val="00370D5B"/>
    <w:rsid w:val="0037285F"/>
    <w:rsid w:val="003856F8"/>
    <w:rsid w:val="00394351"/>
    <w:rsid w:val="0039687D"/>
    <w:rsid w:val="003A7960"/>
    <w:rsid w:val="003E076C"/>
    <w:rsid w:val="003E7D1C"/>
    <w:rsid w:val="003F7D01"/>
    <w:rsid w:val="00412DC6"/>
    <w:rsid w:val="00464D00"/>
    <w:rsid w:val="00471B90"/>
    <w:rsid w:val="0047404F"/>
    <w:rsid w:val="004A2FF4"/>
    <w:rsid w:val="004A5F89"/>
    <w:rsid w:val="004B218E"/>
    <w:rsid w:val="004C1A95"/>
    <w:rsid w:val="004C1F32"/>
    <w:rsid w:val="004D46E0"/>
    <w:rsid w:val="004F27C1"/>
    <w:rsid w:val="004F3585"/>
    <w:rsid w:val="00505B06"/>
    <w:rsid w:val="00511282"/>
    <w:rsid w:val="005117CF"/>
    <w:rsid w:val="00513825"/>
    <w:rsid w:val="005216D6"/>
    <w:rsid w:val="0054418E"/>
    <w:rsid w:val="005473D2"/>
    <w:rsid w:val="00553935"/>
    <w:rsid w:val="00585122"/>
    <w:rsid w:val="0058522F"/>
    <w:rsid w:val="005B0481"/>
    <w:rsid w:val="005B4C39"/>
    <w:rsid w:val="005C5C6B"/>
    <w:rsid w:val="00601C3B"/>
    <w:rsid w:val="0060662D"/>
    <w:rsid w:val="006125B7"/>
    <w:rsid w:val="00634992"/>
    <w:rsid w:val="006546FF"/>
    <w:rsid w:val="006561C4"/>
    <w:rsid w:val="006604B5"/>
    <w:rsid w:val="0069057C"/>
    <w:rsid w:val="00691C29"/>
    <w:rsid w:val="00692FC5"/>
    <w:rsid w:val="006A6B6B"/>
    <w:rsid w:val="006D17C1"/>
    <w:rsid w:val="007064C7"/>
    <w:rsid w:val="00746080"/>
    <w:rsid w:val="00776FED"/>
    <w:rsid w:val="00777F09"/>
    <w:rsid w:val="00806D93"/>
    <w:rsid w:val="008122B1"/>
    <w:rsid w:val="0081277D"/>
    <w:rsid w:val="008147CB"/>
    <w:rsid w:val="008255BF"/>
    <w:rsid w:val="00832A00"/>
    <w:rsid w:val="00834E7C"/>
    <w:rsid w:val="00850053"/>
    <w:rsid w:val="00851418"/>
    <w:rsid w:val="008539D9"/>
    <w:rsid w:val="008737C8"/>
    <w:rsid w:val="0087639C"/>
    <w:rsid w:val="008A5D3A"/>
    <w:rsid w:val="008C74E3"/>
    <w:rsid w:val="008F688C"/>
    <w:rsid w:val="008F73E8"/>
    <w:rsid w:val="00937121"/>
    <w:rsid w:val="00946CE1"/>
    <w:rsid w:val="009545D3"/>
    <w:rsid w:val="009547B0"/>
    <w:rsid w:val="009643D1"/>
    <w:rsid w:val="00983A06"/>
    <w:rsid w:val="009A4440"/>
    <w:rsid w:val="009D5143"/>
    <w:rsid w:val="00A102CC"/>
    <w:rsid w:val="00A56508"/>
    <w:rsid w:val="00A704BA"/>
    <w:rsid w:val="00A72296"/>
    <w:rsid w:val="00AA06D9"/>
    <w:rsid w:val="00AD5311"/>
    <w:rsid w:val="00AF288A"/>
    <w:rsid w:val="00B076A5"/>
    <w:rsid w:val="00B20109"/>
    <w:rsid w:val="00B247C1"/>
    <w:rsid w:val="00B25576"/>
    <w:rsid w:val="00B314F3"/>
    <w:rsid w:val="00B76EA7"/>
    <w:rsid w:val="00BC07A7"/>
    <w:rsid w:val="00BC1A68"/>
    <w:rsid w:val="00BD4512"/>
    <w:rsid w:val="00BE1A92"/>
    <w:rsid w:val="00C23F96"/>
    <w:rsid w:val="00C5100D"/>
    <w:rsid w:val="00C63C8D"/>
    <w:rsid w:val="00C70B97"/>
    <w:rsid w:val="00C81361"/>
    <w:rsid w:val="00C818E2"/>
    <w:rsid w:val="00C911F9"/>
    <w:rsid w:val="00C926DF"/>
    <w:rsid w:val="00CA06BD"/>
    <w:rsid w:val="00CA0B82"/>
    <w:rsid w:val="00CB168B"/>
    <w:rsid w:val="00CC447E"/>
    <w:rsid w:val="00CC6D11"/>
    <w:rsid w:val="00CD690F"/>
    <w:rsid w:val="00CE062C"/>
    <w:rsid w:val="00CE2E52"/>
    <w:rsid w:val="00CF0F7C"/>
    <w:rsid w:val="00D02D7F"/>
    <w:rsid w:val="00D043BA"/>
    <w:rsid w:val="00D0773D"/>
    <w:rsid w:val="00D21A42"/>
    <w:rsid w:val="00D36BBE"/>
    <w:rsid w:val="00D5062F"/>
    <w:rsid w:val="00D55F43"/>
    <w:rsid w:val="00D56A27"/>
    <w:rsid w:val="00D621FC"/>
    <w:rsid w:val="00D67131"/>
    <w:rsid w:val="00D91B73"/>
    <w:rsid w:val="00D958A6"/>
    <w:rsid w:val="00D95CAA"/>
    <w:rsid w:val="00D95F3E"/>
    <w:rsid w:val="00D974D5"/>
    <w:rsid w:val="00D975C5"/>
    <w:rsid w:val="00DA09D0"/>
    <w:rsid w:val="00DA2484"/>
    <w:rsid w:val="00DA6D08"/>
    <w:rsid w:val="00DC3F8F"/>
    <w:rsid w:val="00DD09DC"/>
    <w:rsid w:val="00DF6932"/>
    <w:rsid w:val="00E12988"/>
    <w:rsid w:val="00E23ECF"/>
    <w:rsid w:val="00E261A1"/>
    <w:rsid w:val="00E2683A"/>
    <w:rsid w:val="00E3191C"/>
    <w:rsid w:val="00E336E4"/>
    <w:rsid w:val="00E45775"/>
    <w:rsid w:val="00E63408"/>
    <w:rsid w:val="00E6651E"/>
    <w:rsid w:val="00E70B6A"/>
    <w:rsid w:val="00E7523D"/>
    <w:rsid w:val="00E8235A"/>
    <w:rsid w:val="00E86280"/>
    <w:rsid w:val="00E9387D"/>
    <w:rsid w:val="00EA0919"/>
    <w:rsid w:val="00EA5C4C"/>
    <w:rsid w:val="00EB4E97"/>
    <w:rsid w:val="00EB68C4"/>
    <w:rsid w:val="00EC0C97"/>
    <w:rsid w:val="00EC26AE"/>
    <w:rsid w:val="00EE450C"/>
    <w:rsid w:val="00F213C1"/>
    <w:rsid w:val="00F27A5F"/>
    <w:rsid w:val="00F4375E"/>
    <w:rsid w:val="00F452D5"/>
    <w:rsid w:val="00F72F89"/>
    <w:rsid w:val="00F9113C"/>
    <w:rsid w:val="00F92F12"/>
    <w:rsid w:val="00FB3A11"/>
    <w:rsid w:val="00FD41FB"/>
    <w:rsid w:val="00FD5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4B218E"/>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4B218E"/>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 w:id="187580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D858E-4752-4736-9AF6-BC14DC5F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Oana Stefan</cp:lastModifiedBy>
  <cp:revision>9</cp:revision>
  <cp:lastPrinted>2016-10-21T17:54:00Z</cp:lastPrinted>
  <dcterms:created xsi:type="dcterms:W3CDTF">2017-10-20T17:39:00Z</dcterms:created>
  <dcterms:modified xsi:type="dcterms:W3CDTF">2017-10-23T20:30:00Z</dcterms:modified>
</cp:coreProperties>
</file>