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37" w:rsidRDefault="00703C37" w:rsidP="00703C37">
      <w:pPr>
        <w:pStyle w:val="ListParagraph"/>
        <w:numPr>
          <w:ilvl w:val="0"/>
          <w:numId w:val="2"/>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 xml:space="preserve">ec. 31 balance in Account 1589, </w:t>
      </w:r>
      <w:r w:rsidR="00360DCD">
        <w:rPr>
          <w:rFonts w:ascii="Arial" w:hAnsi="Arial" w:cs="Arial"/>
          <w:sz w:val="24"/>
          <w:szCs w:val="24"/>
        </w:rPr>
        <w:t xml:space="preserve">expense </w:t>
      </w:r>
      <w:r>
        <w:rPr>
          <w:rFonts w:ascii="Arial" w:hAnsi="Arial" w:cs="Arial"/>
          <w:sz w:val="24"/>
          <w:szCs w:val="24"/>
        </w:rPr>
        <w:t>components that flow into Account 1589 (</w:t>
      </w:r>
      <w:proofErr w:type="spellStart"/>
      <w:r>
        <w:rPr>
          <w:rFonts w:ascii="Arial" w:hAnsi="Arial" w:cs="Arial"/>
          <w:sz w:val="24"/>
          <w:szCs w:val="24"/>
        </w:rPr>
        <w:t>i</w:t>
      </w:r>
      <w:proofErr w:type="spellEnd"/>
      <w:r>
        <w:rPr>
          <w:rFonts w:ascii="Arial" w:hAnsi="Arial" w:cs="Arial"/>
          <w:sz w:val="24"/>
          <w:szCs w:val="24"/>
        </w:rPr>
        <w:t xml:space="preserve"> to iv in table below) should</w:t>
      </w:r>
      <w:r w:rsidR="007B4E89">
        <w:rPr>
          <w:rFonts w:ascii="Arial" w:hAnsi="Arial" w:cs="Arial"/>
          <w:sz w:val="24"/>
          <w:szCs w:val="24"/>
        </w:rPr>
        <w:t xml:space="preserve"> all</w:t>
      </w:r>
      <w:r>
        <w:rPr>
          <w:rFonts w:ascii="Arial" w:hAnsi="Arial" w:cs="Arial"/>
          <w:sz w:val="24"/>
          <w:szCs w:val="24"/>
        </w:rPr>
        <w:t xml:space="preserve"> be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703C37" w:rsidTr="00360DCD">
        <w:tc>
          <w:tcPr>
            <w:tcW w:w="390" w:type="dxa"/>
          </w:tcPr>
          <w:p w:rsidR="00703C37" w:rsidRPr="00360DCD" w:rsidRDefault="00703C37" w:rsidP="00703C37">
            <w:pPr>
              <w:rPr>
                <w:rFonts w:ascii="Arial" w:hAnsi="Arial" w:cs="Arial"/>
                <w:sz w:val="20"/>
                <w:szCs w:val="20"/>
              </w:rPr>
            </w:pPr>
          </w:p>
        </w:tc>
        <w:tc>
          <w:tcPr>
            <w:tcW w:w="1870" w:type="dxa"/>
          </w:tcPr>
          <w:p w:rsidR="00703C37" w:rsidRPr="00360DCD" w:rsidRDefault="00703C37" w:rsidP="00703C37">
            <w:pPr>
              <w:rPr>
                <w:rFonts w:ascii="Arial" w:hAnsi="Arial" w:cs="Arial"/>
                <w:b/>
                <w:sz w:val="20"/>
                <w:szCs w:val="20"/>
              </w:rPr>
            </w:pPr>
            <w:r w:rsidRPr="00360DCD">
              <w:rPr>
                <w:rFonts w:ascii="Arial" w:hAnsi="Arial" w:cs="Arial"/>
                <w:b/>
                <w:sz w:val="20"/>
                <w:szCs w:val="20"/>
              </w:rPr>
              <w:t>Component</w:t>
            </w:r>
          </w:p>
        </w:tc>
        <w:tc>
          <w:tcPr>
            <w:tcW w:w="1870" w:type="dxa"/>
          </w:tcPr>
          <w:p w:rsidR="00703C37" w:rsidRPr="00360DCD" w:rsidRDefault="00703C37" w:rsidP="00703C37">
            <w:pPr>
              <w:rPr>
                <w:rFonts w:ascii="Arial" w:hAnsi="Arial" w:cs="Arial"/>
                <w:b/>
                <w:sz w:val="20"/>
                <w:szCs w:val="20"/>
              </w:rPr>
            </w:pPr>
            <w:r w:rsidRPr="00360DCD">
              <w:rPr>
                <w:rFonts w:ascii="Arial" w:hAnsi="Arial" w:cs="Arial"/>
                <w:b/>
                <w:sz w:val="20"/>
                <w:szCs w:val="20"/>
              </w:rPr>
              <w:t>a) Estimate or Actual</w:t>
            </w:r>
          </w:p>
        </w:tc>
        <w:tc>
          <w:tcPr>
            <w:tcW w:w="3605" w:type="dxa"/>
          </w:tcPr>
          <w:p w:rsidR="00703C37" w:rsidRPr="00360DCD" w:rsidRDefault="00703C37" w:rsidP="00703C37">
            <w:pPr>
              <w:rPr>
                <w:rFonts w:ascii="Arial" w:hAnsi="Arial" w:cs="Arial"/>
                <w:b/>
                <w:sz w:val="20"/>
                <w:szCs w:val="20"/>
              </w:rPr>
            </w:pPr>
            <w:r w:rsidRPr="00360DCD">
              <w:rPr>
                <w:rFonts w:ascii="Arial" w:hAnsi="Arial" w:cs="Arial"/>
                <w:b/>
                <w:sz w:val="20"/>
                <w:szCs w:val="20"/>
              </w:rPr>
              <w:t>Notes/Comments</w:t>
            </w:r>
          </w:p>
        </w:tc>
        <w:tc>
          <w:tcPr>
            <w:tcW w:w="1870" w:type="dxa"/>
          </w:tcPr>
          <w:p w:rsidR="00703C37" w:rsidRPr="00360DCD" w:rsidRDefault="00703C37" w:rsidP="00703C37">
            <w:pPr>
              <w:rPr>
                <w:rFonts w:ascii="Arial" w:hAnsi="Arial" w:cs="Arial"/>
                <w:b/>
                <w:sz w:val="20"/>
                <w:szCs w:val="20"/>
              </w:rPr>
            </w:pPr>
            <w:r w:rsidRPr="00360DCD">
              <w:rPr>
                <w:rFonts w:ascii="Arial" w:hAnsi="Arial" w:cs="Arial"/>
                <w:b/>
                <w:sz w:val="20"/>
                <w:szCs w:val="20"/>
              </w:rPr>
              <w:t>b) Quantify True Up  Adjustment</w:t>
            </w:r>
          </w:p>
        </w:tc>
      </w:tr>
      <w:tr w:rsidR="00703C37" w:rsidTr="00360DCD">
        <w:tc>
          <w:tcPr>
            <w:tcW w:w="390" w:type="dxa"/>
          </w:tcPr>
          <w:p w:rsidR="00703C37" w:rsidRPr="00360DCD" w:rsidRDefault="00703C37" w:rsidP="00703C37">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7B4E89" w:rsidRPr="00360DCD" w:rsidRDefault="007B4E89" w:rsidP="00360DCD">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2E748A" w:rsidRPr="00360DCD" w:rsidRDefault="002E748A" w:rsidP="00703C37">
            <w:pPr>
              <w:rPr>
                <w:rFonts w:ascii="Arial" w:hAnsi="Arial" w:cs="Arial"/>
                <w:sz w:val="20"/>
                <w:szCs w:val="20"/>
              </w:rPr>
            </w:pPr>
            <w:r>
              <w:rPr>
                <w:rFonts w:ascii="Arial" w:hAnsi="Arial" w:cs="Arial"/>
                <w:sz w:val="20"/>
                <w:szCs w:val="20"/>
              </w:rPr>
              <w:t>ACTUAL</w:t>
            </w:r>
          </w:p>
        </w:tc>
        <w:tc>
          <w:tcPr>
            <w:tcW w:w="3605" w:type="dxa"/>
          </w:tcPr>
          <w:p w:rsidR="00703C37" w:rsidRPr="00360DCD" w:rsidRDefault="00703C37" w:rsidP="00703C37">
            <w:pPr>
              <w:rPr>
                <w:rFonts w:ascii="Arial" w:hAnsi="Arial" w:cs="Arial"/>
                <w:sz w:val="20"/>
                <w:szCs w:val="20"/>
              </w:rPr>
            </w:pPr>
          </w:p>
        </w:tc>
        <w:tc>
          <w:tcPr>
            <w:tcW w:w="1870" w:type="dxa"/>
          </w:tcPr>
          <w:p w:rsidR="00703C37" w:rsidRPr="00360DCD" w:rsidRDefault="00FB0BA0" w:rsidP="00FB0BA0">
            <w:pPr>
              <w:jc w:val="center"/>
              <w:rPr>
                <w:rFonts w:ascii="Arial" w:hAnsi="Arial" w:cs="Arial"/>
                <w:sz w:val="20"/>
                <w:szCs w:val="20"/>
              </w:rPr>
            </w:pPr>
            <w:r>
              <w:rPr>
                <w:rFonts w:ascii="Arial" w:hAnsi="Arial" w:cs="Arial"/>
                <w:sz w:val="20"/>
                <w:szCs w:val="20"/>
              </w:rPr>
              <w:t>N/A</w:t>
            </w:r>
          </w:p>
        </w:tc>
      </w:tr>
      <w:tr w:rsidR="00703C37" w:rsidTr="00360DCD">
        <w:tc>
          <w:tcPr>
            <w:tcW w:w="390" w:type="dxa"/>
          </w:tcPr>
          <w:p w:rsidR="00703C37" w:rsidRPr="00360DCD" w:rsidRDefault="00703C37" w:rsidP="00703C37">
            <w:pPr>
              <w:rPr>
                <w:rFonts w:ascii="Arial" w:hAnsi="Arial" w:cs="Arial"/>
                <w:sz w:val="20"/>
                <w:szCs w:val="20"/>
              </w:rPr>
            </w:pPr>
            <w:r w:rsidRPr="00360DCD">
              <w:rPr>
                <w:rFonts w:ascii="Arial" w:hAnsi="Arial" w:cs="Arial"/>
                <w:sz w:val="20"/>
                <w:szCs w:val="20"/>
              </w:rPr>
              <w:t>ii</w:t>
            </w:r>
          </w:p>
        </w:tc>
        <w:tc>
          <w:tcPr>
            <w:tcW w:w="1870" w:type="dxa"/>
          </w:tcPr>
          <w:p w:rsidR="007B4E89" w:rsidRPr="00360DCD" w:rsidRDefault="007B4E89" w:rsidP="00360DCD">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2E748A" w:rsidRPr="00360DCD" w:rsidRDefault="002E748A" w:rsidP="00703C37">
            <w:pPr>
              <w:rPr>
                <w:rFonts w:ascii="Arial" w:hAnsi="Arial" w:cs="Arial"/>
                <w:sz w:val="20"/>
                <w:szCs w:val="20"/>
              </w:rPr>
            </w:pPr>
            <w:r>
              <w:rPr>
                <w:rFonts w:ascii="Arial" w:hAnsi="Arial" w:cs="Arial"/>
                <w:sz w:val="20"/>
                <w:szCs w:val="20"/>
              </w:rPr>
              <w:t>ACTUAL</w:t>
            </w:r>
          </w:p>
        </w:tc>
        <w:tc>
          <w:tcPr>
            <w:tcW w:w="3605" w:type="dxa"/>
          </w:tcPr>
          <w:p w:rsidR="00703C37" w:rsidRPr="00360DCD" w:rsidRDefault="00703C37" w:rsidP="00703C37">
            <w:pPr>
              <w:rPr>
                <w:rFonts w:ascii="Arial" w:hAnsi="Arial" w:cs="Arial"/>
                <w:sz w:val="20"/>
                <w:szCs w:val="20"/>
              </w:rPr>
            </w:pPr>
          </w:p>
        </w:tc>
        <w:tc>
          <w:tcPr>
            <w:tcW w:w="1870" w:type="dxa"/>
          </w:tcPr>
          <w:p w:rsidR="00703C37" w:rsidRPr="00360DCD" w:rsidRDefault="00703C37" w:rsidP="00703C37">
            <w:pPr>
              <w:rPr>
                <w:rFonts w:ascii="Arial" w:hAnsi="Arial" w:cs="Arial"/>
                <w:sz w:val="20"/>
                <w:szCs w:val="20"/>
              </w:rPr>
            </w:pPr>
          </w:p>
        </w:tc>
      </w:tr>
      <w:tr w:rsidR="00703C37" w:rsidTr="00360DCD">
        <w:tc>
          <w:tcPr>
            <w:tcW w:w="390" w:type="dxa"/>
          </w:tcPr>
          <w:p w:rsidR="00703C37" w:rsidRPr="00360DCD" w:rsidRDefault="00703C37" w:rsidP="00703C37">
            <w:pPr>
              <w:rPr>
                <w:rFonts w:ascii="Arial" w:hAnsi="Arial" w:cs="Arial"/>
                <w:sz w:val="20"/>
                <w:szCs w:val="20"/>
              </w:rPr>
            </w:pPr>
            <w:r w:rsidRPr="00360DCD">
              <w:rPr>
                <w:rFonts w:ascii="Arial" w:hAnsi="Arial" w:cs="Arial"/>
                <w:sz w:val="20"/>
                <w:szCs w:val="20"/>
              </w:rPr>
              <w:t>Iii</w:t>
            </w:r>
          </w:p>
        </w:tc>
        <w:tc>
          <w:tcPr>
            <w:tcW w:w="1870" w:type="dxa"/>
          </w:tcPr>
          <w:p w:rsidR="007B4E89" w:rsidRPr="00360DCD" w:rsidRDefault="007B4E89" w:rsidP="00360DCD">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2E748A" w:rsidRPr="00360DCD" w:rsidRDefault="002E748A" w:rsidP="00703C37">
            <w:pPr>
              <w:rPr>
                <w:rFonts w:ascii="Arial" w:hAnsi="Arial" w:cs="Arial"/>
                <w:sz w:val="20"/>
                <w:szCs w:val="20"/>
              </w:rPr>
            </w:pPr>
            <w:r>
              <w:rPr>
                <w:rFonts w:ascii="Arial" w:hAnsi="Arial" w:cs="Arial"/>
                <w:sz w:val="20"/>
                <w:szCs w:val="20"/>
              </w:rPr>
              <w:t>ACTUAL</w:t>
            </w:r>
          </w:p>
        </w:tc>
        <w:tc>
          <w:tcPr>
            <w:tcW w:w="3605" w:type="dxa"/>
          </w:tcPr>
          <w:p w:rsidR="00703C37" w:rsidRPr="00360DCD" w:rsidRDefault="00703C37" w:rsidP="00703C37">
            <w:pPr>
              <w:rPr>
                <w:rFonts w:ascii="Arial" w:hAnsi="Arial" w:cs="Arial"/>
                <w:sz w:val="20"/>
                <w:szCs w:val="20"/>
              </w:rPr>
            </w:pPr>
          </w:p>
        </w:tc>
        <w:tc>
          <w:tcPr>
            <w:tcW w:w="1870" w:type="dxa"/>
          </w:tcPr>
          <w:p w:rsidR="00703C37" w:rsidRPr="00360DCD" w:rsidRDefault="00703C37" w:rsidP="00703C37">
            <w:pPr>
              <w:rPr>
                <w:rFonts w:ascii="Arial" w:hAnsi="Arial" w:cs="Arial"/>
                <w:sz w:val="20"/>
                <w:szCs w:val="20"/>
              </w:rPr>
            </w:pPr>
          </w:p>
        </w:tc>
      </w:tr>
      <w:tr w:rsidR="00703C37" w:rsidTr="00360DCD">
        <w:tc>
          <w:tcPr>
            <w:tcW w:w="390" w:type="dxa"/>
          </w:tcPr>
          <w:p w:rsidR="00703C37" w:rsidRPr="00360DCD" w:rsidRDefault="00703C37" w:rsidP="00703C37">
            <w:pPr>
              <w:rPr>
                <w:rFonts w:ascii="Arial" w:hAnsi="Arial" w:cs="Arial"/>
                <w:sz w:val="20"/>
                <w:szCs w:val="20"/>
              </w:rPr>
            </w:pPr>
            <w:r w:rsidRPr="00360DCD">
              <w:rPr>
                <w:rFonts w:ascii="Arial" w:hAnsi="Arial" w:cs="Arial"/>
                <w:sz w:val="20"/>
                <w:szCs w:val="20"/>
              </w:rPr>
              <w:t>iv</w:t>
            </w:r>
          </w:p>
        </w:tc>
        <w:tc>
          <w:tcPr>
            <w:tcW w:w="1870" w:type="dxa"/>
          </w:tcPr>
          <w:p w:rsidR="007B4E89" w:rsidRPr="00360DCD" w:rsidRDefault="007B4E89" w:rsidP="00360DCD">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2E748A">
              <w:rPr>
                <w:rFonts w:ascii="Arial" w:hAnsi="Arial" w:cs="Arial"/>
                <w:sz w:val="20"/>
                <w:szCs w:val="20"/>
                <w:highlight w:val="yellow"/>
              </w:rPr>
              <w:t>if the approach under IR 1b is used</w:t>
            </w:r>
          </w:p>
          <w:p w:rsidR="00703C37" w:rsidRPr="00360DCD" w:rsidRDefault="00703C37" w:rsidP="00703C37">
            <w:pPr>
              <w:rPr>
                <w:rFonts w:ascii="Arial" w:hAnsi="Arial" w:cs="Arial"/>
                <w:sz w:val="20"/>
                <w:szCs w:val="20"/>
              </w:rPr>
            </w:pPr>
          </w:p>
        </w:tc>
        <w:tc>
          <w:tcPr>
            <w:tcW w:w="1870" w:type="dxa"/>
          </w:tcPr>
          <w:p w:rsidR="00703C37" w:rsidRDefault="00703C37" w:rsidP="00703C37">
            <w:pPr>
              <w:rPr>
                <w:rFonts w:ascii="Arial" w:hAnsi="Arial" w:cs="Arial"/>
                <w:sz w:val="20"/>
                <w:szCs w:val="20"/>
              </w:rPr>
            </w:pPr>
          </w:p>
          <w:p w:rsidR="002E748A" w:rsidRPr="00360DCD" w:rsidRDefault="002E748A" w:rsidP="00703C37">
            <w:pPr>
              <w:rPr>
                <w:rFonts w:ascii="Arial" w:hAnsi="Arial" w:cs="Arial"/>
                <w:sz w:val="20"/>
                <w:szCs w:val="20"/>
              </w:rPr>
            </w:pPr>
            <w:r>
              <w:rPr>
                <w:rFonts w:ascii="Arial" w:hAnsi="Arial" w:cs="Arial"/>
                <w:sz w:val="20"/>
                <w:szCs w:val="20"/>
              </w:rPr>
              <w:t>??</w:t>
            </w:r>
          </w:p>
        </w:tc>
        <w:tc>
          <w:tcPr>
            <w:tcW w:w="3605" w:type="dxa"/>
          </w:tcPr>
          <w:p w:rsidR="00703C37" w:rsidRPr="00360DCD" w:rsidRDefault="00703C37" w:rsidP="00703C37">
            <w:pPr>
              <w:rPr>
                <w:rFonts w:ascii="Arial" w:hAnsi="Arial" w:cs="Arial"/>
                <w:sz w:val="20"/>
                <w:szCs w:val="20"/>
              </w:rPr>
            </w:pPr>
          </w:p>
        </w:tc>
        <w:tc>
          <w:tcPr>
            <w:tcW w:w="1870" w:type="dxa"/>
          </w:tcPr>
          <w:p w:rsidR="00703C37" w:rsidRPr="00360DCD" w:rsidRDefault="00703C37" w:rsidP="00703C37">
            <w:pPr>
              <w:rPr>
                <w:rFonts w:ascii="Arial" w:hAnsi="Arial" w:cs="Arial"/>
                <w:sz w:val="20"/>
                <w:szCs w:val="20"/>
              </w:rPr>
            </w:pPr>
          </w:p>
        </w:tc>
      </w:tr>
    </w:tbl>
    <w:p w:rsidR="00703C37" w:rsidRPr="00703C37" w:rsidRDefault="00703C37" w:rsidP="00703C37">
      <w:pPr>
        <w:rPr>
          <w:rFonts w:ascii="Arial" w:hAnsi="Arial" w:cs="Arial"/>
          <w:sz w:val="24"/>
          <w:szCs w:val="24"/>
        </w:rPr>
      </w:pPr>
    </w:p>
    <w:p w:rsidR="007B4E89" w:rsidRDefault="007B4E89" w:rsidP="007B4E89">
      <w:pPr>
        <w:pStyle w:val="ListParagraph"/>
        <w:numPr>
          <w:ilvl w:val="0"/>
          <w:numId w:val="2"/>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ec. 31 balance in Account 1588, components that flow into Account 1588 (</w:t>
      </w:r>
      <w:proofErr w:type="spellStart"/>
      <w:r>
        <w:rPr>
          <w:rFonts w:ascii="Arial" w:hAnsi="Arial" w:cs="Arial"/>
          <w:sz w:val="24"/>
          <w:szCs w:val="24"/>
        </w:rPr>
        <w:t>i</w:t>
      </w:r>
      <w:proofErr w:type="spellEnd"/>
      <w:r>
        <w:rPr>
          <w:rFonts w:ascii="Arial" w:hAnsi="Arial" w:cs="Arial"/>
          <w:sz w:val="24"/>
          <w:szCs w:val="24"/>
        </w:rPr>
        <w:t xml:space="preserve"> to iv in table below) should be all based on estimates or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7B4E89" w:rsidTr="00FE126C">
        <w:tc>
          <w:tcPr>
            <w:tcW w:w="390" w:type="dxa"/>
          </w:tcPr>
          <w:p w:rsidR="007B4E89" w:rsidRPr="00FE126C" w:rsidRDefault="007B4E89" w:rsidP="00FE126C">
            <w:pPr>
              <w:rPr>
                <w:rFonts w:ascii="Arial" w:hAnsi="Arial" w:cs="Arial"/>
                <w:sz w:val="20"/>
                <w:szCs w:val="20"/>
              </w:rPr>
            </w:pPr>
          </w:p>
        </w:tc>
        <w:tc>
          <w:tcPr>
            <w:tcW w:w="1870" w:type="dxa"/>
          </w:tcPr>
          <w:p w:rsidR="007B4E89" w:rsidRPr="00FE126C" w:rsidRDefault="007B4E89" w:rsidP="00FE126C">
            <w:pPr>
              <w:rPr>
                <w:rFonts w:ascii="Arial" w:hAnsi="Arial" w:cs="Arial"/>
                <w:b/>
                <w:sz w:val="20"/>
                <w:szCs w:val="20"/>
              </w:rPr>
            </w:pPr>
            <w:r w:rsidRPr="00FE126C">
              <w:rPr>
                <w:rFonts w:ascii="Arial" w:hAnsi="Arial" w:cs="Arial"/>
                <w:b/>
                <w:sz w:val="20"/>
                <w:szCs w:val="20"/>
              </w:rPr>
              <w:t>Component</w:t>
            </w:r>
          </w:p>
        </w:tc>
        <w:tc>
          <w:tcPr>
            <w:tcW w:w="1870" w:type="dxa"/>
          </w:tcPr>
          <w:p w:rsidR="007B4E89" w:rsidRPr="00FE126C" w:rsidRDefault="007B4E89" w:rsidP="00FE126C">
            <w:pPr>
              <w:rPr>
                <w:rFonts w:ascii="Arial" w:hAnsi="Arial" w:cs="Arial"/>
                <w:b/>
                <w:sz w:val="20"/>
                <w:szCs w:val="20"/>
              </w:rPr>
            </w:pPr>
            <w:r w:rsidRPr="00FE126C">
              <w:rPr>
                <w:rFonts w:ascii="Arial" w:hAnsi="Arial" w:cs="Arial"/>
                <w:b/>
                <w:sz w:val="20"/>
                <w:szCs w:val="20"/>
              </w:rPr>
              <w:t>a) Estimate or Actual</w:t>
            </w:r>
          </w:p>
        </w:tc>
        <w:tc>
          <w:tcPr>
            <w:tcW w:w="3605" w:type="dxa"/>
          </w:tcPr>
          <w:p w:rsidR="007B4E89" w:rsidRPr="00FE126C" w:rsidRDefault="007B4E89" w:rsidP="00FE126C">
            <w:pPr>
              <w:rPr>
                <w:rFonts w:ascii="Arial" w:hAnsi="Arial" w:cs="Arial"/>
                <w:b/>
                <w:sz w:val="20"/>
                <w:szCs w:val="20"/>
              </w:rPr>
            </w:pPr>
            <w:r w:rsidRPr="00FE126C">
              <w:rPr>
                <w:rFonts w:ascii="Arial" w:hAnsi="Arial" w:cs="Arial"/>
                <w:b/>
                <w:sz w:val="20"/>
                <w:szCs w:val="20"/>
              </w:rPr>
              <w:t>Notes/Comments</w:t>
            </w:r>
          </w:p>
        </w:tc>
        <w:tc>
          <w:tcPr>
            <w:tcW w:w="1870" w:type="dxa"/>
          </w:tcPr>
          <w:p w:rsidR="007B4E89" w:rsidRPr="00FE126C" w:rsidRDefault="007B4E89" w:rsidP="00FE126C">
            <w:pPr>
              <w:rPr>
                <w:rFonts w:ascii="Arial" w:hAnsi="Arial" w:cs="Arial"/>
                <w:b/>
                <w:sz w:val="20"/>
                <w:szCs w:val="20"/>
              </w:rPr>
            </w:pPr>
            <w:r w:rsidRPr="00FE126C">
              <w:rPr>
                <w:rFonts w:ascii="Arial" w:hAnsi="Arial" w:cs="Arial"/>
                <w:b/>
                <w:sz w:val="20"/>
                <w:szCs w:val="20"/>
              </w:rPr>
              <w:t>b) Quantify True Up  Adjustment</w:t>
            </w:r>
          </w:p>
        </w:tc>
      </w:tr>
      <w:tr w:rsidR="007B4E89" w:rsidTr="00FE126C">
        <w:tc>
          <w:tcPr>
            <w:tcW w:w="390" w:type="dxa"/>
          </w:tcPr>
          <w:p w:rsidR="007B4E89" w:rsidRPr="00FE126C" w:rsidRDefault="007B4E89" w:rsidP="007B4E89">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rsidR="007B4E89" w:rsidRPr="00FE126C" w:rsidRDefault="007B4E89" w:rsidP="007B4E89">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rsidR="007B4E89" w:rsidRPr="00FE126C" w:rsidRDefault="007B4E89" w:rsidP="007B4E89">
            <w:pPr>
              <w:rPr>
                <w:rFonts w:ascii="Arial" w:hAnsi="Arial" w:cs="Arial"/>
                <w:sz w:val="20"/>
                <w:szCs w:val="20"/>
              </w:rPr>
            </w:pPr>
          </w:p>
        </w:tc>
        <w:tc>
          <w:tcPr>
            <w:tcW w:w="1870" w:type="dxa"/>
          </w:tcPr>
          <w:p w:rsidR="007B4E89" w:rsidRDefault="007B4E89" w:rsidP="007B4E89">
            <w:pPr>
              <w:rPr>
                <w:rFonts w:ascii="Arial" w:hAnsi="Arial" w:cs="Arial"/>
                <w:sz w:val="20"/>
                <w:szCs w:val="20"/>
              </w:rPr>
            </w:pPr>
          </w:p>
          <w:p w:rsidR="002E748A" w:rsidRPr="00FE126C" w:rsidRDefault="002E748A" w:rsidP="007B4E89">
            <w:pPr>
              <w:rPr>
                <w:rFonts w:ascii="Arial" w:hAnsi="Arial" w:cs="Arial"/>
                <w:sz w:val="20"/>
                <w:szCs w:val="20"/>
              </w:rPr>
            </w:pPr>
            <w:r>
              <w:rPr>
                <w:rFonts w:ascii="Arial" w:hAnsi="Arial" w:cs="Arial"/>
                <w:sz w:val="20"/>
                <w:szCs w:val="20"/>
              </w:rPr>
              <w:t>ACTUAL</w:t>
            </w:r>
          </w:p>
        </w:tc>
        <w:tc>
          <w:tcPr>
            <w:tcW w:w="3605" w:type="dxa"/>
          </w:tcPr>
          <w:p w:rsidR="007B4E89" w:rsidRPr="00FE126C" w:rsidRDefault="007B4E89" w:rsidP="007B4E89">
            <w:pPr>
              <w:rPr>
                <w:rFonts w:ascii="Arial" w:hAnsi="Arial" w:cs="Arial"/>
                <w:sz w:val="20"/>
                <w:szCs w:val="20"/>
              </w:rPr>
            </w:pPr>
          </w:p>
        </w:tc>
        <w:tc>
          <w:tcPr>
            <w:tcW w:w="1870" w:type="dxa"/>
          </w:tcPr>
          <w:p w:rsidR="007B4E89" w:rsidRPr="00FE126C" w:rsidRDefault="007B4E89" w:rsidP="007B4E89">
            <w:pPr>
              <w:rPr>
                <w:rFonts w:ascii="Arial" w:hAnsi="Arial" w:cs="Arial"/>
                <w:sz w:val="20"/>
                <w:szCs w:val="20"/>
              </w:rPr>
            </w:pPr>
          </w:p>
        </w:tc>
      </w:tr>
      <w:tr w:rsidR="001F3F93" w:rsidTr="00FE126C">
        <w:tc>
          <w:tcPr>
            <w:tcW w:w="390" w:type="dxa"/>
          </w:tcPr>
          <w:p w:rsidR="001F3F93" w:rsidRPr="00FE126C" w:rsidRDefault="001F3F93" w:rsidP="007B4E89">
            <w:pPr>
              <w:rPr>
                <w:rFonts w:ascii="Arial" w:hAnsi="Arial" w:cs="Arial"/>
                <w:sz w:val="20"/>
                <w:szCs w:val="20"/>
              </w:rPr>
            </w:pPr>
            <w:r>
              <w:rPr>
                <w:rFonts w:ascii="Arial" w:hAnsi="Arial" w:cs="Arial"/>
                <w:sz w:val="20"/>
                <w:szCs w:val="20"/>
              </w:rPr>
              <w:t>Ii</w:t>
            </w:r>
          </w:p>
        </w:tc>
        <w:tc>
          <w:tcPr>
            <w:tcW w:w="1870" w:type="dxa"/>
          </w:tcPr>
          <w:p w:rsidR="001F3F93" w:rsidRDefault="001F3F93" w:rsidP="007B4E89">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rsidR="001F3F93" w:rsidRDefault="001F3F93" w:rsidP="007B4E89">
            <w:pPr>
              <w:rPr>
                <w:rFonts w:ascii="Arial" w:hAnsi="Arial" w:cs="Arial"/>
                <w:sz w:val="20"/>
                <w:szCs w:val="20"/>
              </w:rPr>
            </w:pPr>
          </w:p>
          <w:p w:rsidR="002E748A" w:rsidRPr="00FE126C" w:rsidRDefault="002E748A" w:rsidP="007B4E89">
            <w:pPr>
              <w:rPr>
                <w:rFonts w:ascii="Arial" w:hAnsi="Arial" w:cs="Arial"/>
                <w:sz w:val="20"/>
                <w:szCs w:val="20"/>
              </w:rPr>
            </w:pPr>
            <w:r>
              <w:rPr>
                <w:rFonts w:ascii="Arial" w:hAnsi="Arial" w:cs="Arial"/>
                <w:sz w:val="20"/>
                <w:szCs w:val="20"/>
              </w:rPr>
              <w:t>ACTUAL</w:t>
            </w:r>
          </w:p>
        </w:tc>
        <w:tc>
          <w:tcPr>
            <w:tcW w:w="3605" w:type="dxa"/>
          </w:tcPr>
          <w:p w:rsidR="001F3F93" w:rsidRPr="00FE126C" w:rsidRDefault="001F3F93" w:rsidP="007B4E89">
            <w:pPr>
              <w:rPr>
                <w:rFonts w:ascii="Arial" w:hAnsi="Arial" w:cs="Arial"/>
                <w:sz w:val="20"/>
                <w:szCs w:val="20"/>
              </w:rPr>
            </w:pPr>
          </w:p>
        </w:tc>
        <w:tc>
          <w:tcPr>
            <w:tcW w:w="1870" w:type="dxa"/>
          </w:tcPr>
          <w:p w:rsidR="001F3F93" w:rsidRPr="00FE126C" w:rsidRDefault="001F3F93" w:rsidP="007B4E89">
            <w:pPr>
              <w:rPr>
                <w:rFonts w:ascii="Arial" w:hAnsi="Arial" w:cs="Arial"/>
                <w:sz w:val="20"/>
                <w:szCs w:val="20"/>
              </w:rPr>
            </w:pPr>
          </w:p>
        </w:tc>
      </w:tr>
      <w:tr w:rsidR="007B4E89" w:rsidTr="00FE126C">
        <w:tc>
          <w:tcPr>
            <w:tcW w:w="390" w:type="dxa"/>
          </w:tcPr>
          <w:p w:rsidR="007B4E89" w:rsidRPr="00FE126C" w:rsidRDefault="001F3F93" w:rsidP="007B4E89">
            <w:pPr>
              <w:rPr>
                <w:rFonts w:ascii="Arial" w:hAnsi="Arial" w:cs="Arial"/>
                <w:sz w:val="20"/>
                <w:szCs w:val="20"/>
              </w:rPr>
            </w:pPr>
            <w:proofErr w:type="spellStart"/>
            <w:r>
              <w:rPr>
                <w:rFonts w:ascii="Arial" w:hAnsi="Arial" w:cs="Arial"/>
                <w:sz w:val="20"/>
                <w:szCs w:val="20"/>
              </w:rPr>
              <w:t>ijj</w:t>
            </w:r>
            <w:proofErr w:type="spellEnd"/>
          </w:p>
        </w:tc>
        <w:tc>
          <w:tcPr>
            <w:tcW w:w="1870" w:type="dxa"/>
          </w:tcPr>
          <w:p w:rsidR="007B4E89" w:rsidRPr="00FE126C" w:rsidRDefault="007B4E89" w:rsidP="007B4E89">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rsidR="007B4E89" w:rsidRPr="00FE126C" w:rsidRDefault="007B4E89" w:rsidP="007B4E89">
            <w:pPr>
              <w:rPr>
                <w:rFonts w:ascii="Arial" w:hAnsi="Arial" w:cs="Arial"/>
                <w:sz w:val="20"/>
                <w:szCs w:val="20"/>
              </w:rPr>
            </w:pPr>
          </w:p>
        </w:tc>
        <w:tc>
          <w:tcPr>
            <w:tcW w:w="1870" w:type="dxa"/>
          </w:tcPr>
          <w:p w:rsidR="007B4E89" w:rsidRDefault="007B4E89" w:rsidP="007B4E89">
            <w:pPr>
              <w:rPr>
                <w:rFonts w:ascii="Arial" w:hAnsi="Arial" w:cs="Arial"/>
                <w:sz w:val="20"/>
                <w:szCs w:val="20"/>
              </w:rPr>
            </w:pPr>
          </w:p>
          <w:p w:rsidR="002E748A" w:rsidRPr="00FE126C" w:rsidRDefault="002E748A" w:rsidP="007B4E89">
            <w:pPr>
              <w:rPr>
                <w:rFonts w:ascii="Arial" w:hAnsi="Arial" w:cs="Arial"/>
                <w:sz w:val="20"/>
                <w:szCs w:val="20"/>
              </w:rPr>
            </w:pPr>
            <w:r>
              <w:rPr>
                <w:rFonts w:ascii="Arial" w:hAnsi="Arial" w:cs="Arial"/>
                <w:sz w:val="20"/>
                <w:szCs w:val="20"/>
              </w:rPr>
              <w:t>ACTUAL</w:t>
            </w:r>
          </w:p>
        </w:tc>
        <w:tc>
          <w:tcPr>
            <w:tcW w:w="3605" w:type="dxa"/>
          </w:tcPr>
          <w:p w:rsidR="007B4E89" w:rsidRPr="00FE126C" w:rsidRDefault="007B4E89" w:rsidP="007B4E89">
            <w:pPr>
              <w:rPr>
                <w:rFonts w:ascii="Arial" w:hAnsi="Arial" w:cs="Arial"/>
                <w:sz w:val="20"/>
                <w:szCs w:val="20"/>
              </w:rPr>
            </w:pPr>
          </w:p>
        </w:tc>
        <w:tc>
          <w:tcPr>
            <w:tcW w:w="1870" w:type="dxa"/>
          </w:tcPr>
          <w:p w:rsidR="007B4E89" w:rsidRPr="00FE126C" w:rsidRDefault="007B4E89" w:rsidP="007B4E89">
            <w:pPr>
              <w:rPr>
                <w:rFonts w:ascii="Arial" w:hAnsi="Arial" w:cs="Arial"/>
                <w:sz w:val="20"/>
                <w:szCs w:val="20"/>
              </w:rPr>
            </w:pPr>
          </w:p>
        </w:tc>
      </w:tr>
      <w:tr w:rsidR="007B4E89" w:rsidTr="00FE126C">
        <w:tc>
          <w:tcPr>
            <w:tcW w:w="390" w:type="dxa"/>
          </w:tcPr>
          <w:p w:rsidR="007B4E89" w:rsidRPr="00FE126C" w:rsidRDefault="001F3F93" w:rsidP="00FE126C">
            <w:pPr>
              <w:rPr>
                <w:rFonts w:ascii="Arial" w:hAnsi="Arial" w:cs="Arial"/>
                <w:sz w:val="20"/>
                <w:szCs w:val="20"/>
              </w:rPr>
            </w:pPr>
            <w:r>
              <w:rPr>
                <w:rFonts w:ascii="Arial" w:hAnsi="Arial" w:cs="Arial"/>
                <w:sz w:val="20"/>
                <w:szCs w:val="20"/>
              </w:rPr>
              <w:t>iv</w:t>
            </w:r>
          </w:p>
        </w:tc>
        <w:tc>
          <w:tcPr>
            <w:tcW w:w="1870" w:type="dxa"/>
          </w:tcPr>
          <w:p w:rsidR="007B4E89" w:rsidRPr="00FE126C" w:rsidRDefault="007B4E89" w:rsidP="00FE126C">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rsidR="007B4E89" w:rsidRPr="00FE126C" w:rsidRDefault="007B4E89" w:rsidP="00FE126C">
            <w:pPr>
              <w:rPr>
                <w:rFonts w:ascii="Arial" w:hAnsi="Arial" w:cs="Arial"/>
                <w:sz w:val="20"/>
                <w:szCs w:val="20"/>
              </w:rPr>
            </w:pPr>
          </w:p>
        </w:tc>
        <w:tc>
          <w:tcPr>
            <w:tcW w:w="1870" w:type="dxa"/>
          </w:tcPr>
          <w:p w:rsidR="007B4E89" w:rsidRDefault="007B4E89" w:rsidP="00FE126C">
            <w:pPr>
              <w:rPr>
                <w:rFonts w:ascii="Arial" w:hAnsi="Arial" w:cs="Arial"/>
                <w:sz w:val="20"/>
                <w:szCs w:val="20"/>
              </w:rPr>
            </w:pPr>
          </w:p>
          <w:p w:rsidR="002E748A" w:rsidRPr="00FE126C" w:rsidRDefault="002E748A" w:rsidP="00FE126C">
            <w:pPr>
              <w:rPr>
                <w:rFonts w:ascii="Arial" w:hAnsi="Arial" w:cs="Arial"/>
                <w:sz w:val="20"/>
                <w:szCs w:val="20"/>
              </w:rPr>
            </w:pPr>
            <w:r>
              <w:rPr>
                <w:rFonts w:ascii="Arial" w:hAnsi="Arial" w:cs="Arial"/>
                <w:sz w:val="20"/>
                <w:szCs w:val="20"/>
              </w:rPr>
              <w:t>ACTUAL</w:t>
            </w:r>
          </w:p>
        </w:tc>
        <w:tc>
          <w:tcPr>
            <w:tcW w:w="3605" w:type="dxa"/>
          </w:tcPr>
          <w:p w:rsidR="007B4E89" w:rsidRPr="00FE126C" w:rsidRDefault="007B4E89" w:rsidP="00FE126C">
            <w:pPr>
              <w:rPr>
                <w:rFonts w:ascii="Arial" w:hAnsi="Arial" w:cs="Arial"/>
                <w:sz w:val="20"/>
                <w:szCs w:val="20"/>
              </w:rPr>
            </w:pPr>
          </w:p>
        </w:tc>
        <w:tc>
          <w:tcPr>
            <w:tcW w:w="1870" w:type="dxa"/>
          </w:tcPr>
          <w:p w:rsidR="007B4E89" w:rsidRPr="00FE126C" w:rsidRDefault="007B4E89" w:rsidP="00FE126C">
            <w:pPr>
              <w:rPr>
                <w:rFonts w:ascii="Arial" w:hAnsi="Arial" w:cs="Arial"/>
                <w:sz w:val="20"/>
                <w:szCs w:val="20"/>
              </w:rPr>
            </w:pPr>
          </w:p>
        </w:tc>
      </w:tr>
      <w:tr w:rsidR="007B4E89" w:rsidTr="00FE126C">
        <w:tc>
          <w:tcPr>
            <w:tcW w:w="390" w:type="dxa"/>
          </w:tcPr>
          <w:p w:rsidR="007B4E89" w:rsidRPr="00FE126C" w:rsidRDefault="001F3F93" w:rsidP="00FE126C">
            <w:pPr>
              <w:rPr>
                <w:rFonts w:ascii="Arial" w:hAnsi="Arial" w:cs="Arial"/>
                <w:sz w:val="20"/>
                <w:szCs w:val="20"/>
              </w:rPr>
            </w:pPr>
            <w:r>
              <w:rPr>
                <w:rFonts w:ascii="Arial" w:hAnsi="Arial" w:cs="Arial"/>
                <w:sz w:val="20"/>
                <w:szCs w:val="20"/>
              </w:rPr>
              <w:t>v</w:t>
            </w:r>
          </w:p>
        </w:tc>
        <w:tc>
          <w:tcPr>
            <w:tcW w:w="1870" w:type="dxa"/>
          </w:tcPr>
          <w:p w:rsidR="007B4E89" w:rsidRPr="00FE126C" w:rsidRDefault="007B4E89" w:rsidP="00FE126C">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p w:rsidR="007B4E89" w:rsidRPr="00FE126C" w:rsidRDefault="007B4E89" w:rsidP="00FE126C">
            <w:pPr>
              <w:rPr>
                <w:rFonts w:ascii="Arial" w:hAnsi="Arial" w:cs="Arial"/>
                <w:sz w:val="20"/>
                <w:szCs w:val="20"/>
              </w:rPr>
            </w:pPr>
          </w:p>
        </w:tc>
        <w:tc>
          <w:tcPr>
            <w:tcW w:w="1870" w:type="dxa"/>
          </w:tcPr>
          <w:p w:rsidR="007B4E89" w:rsidRDefault="007B4E89" w:rsidP="00FE126C">
            <w:pPr>
              <w:rPr>
                <w:rFonts w:ascii="Arial" w:hAnsi="Arial" w:cs="Arial"/>
                <w:sz w:val="20"/>
                <w:szCs w:val="20"/>
              </w:rPr>
            </w:pPr>
          </w:p>
          <w:p w:rsidR="002E748A" w:rsidRPr="00FE126C" w:rsidRDefault="002E748A" w:rsidP="00FE126C">
            <w:pPr>
              <w:rPr>
                <w:rFonts w:ascii="Arial" w:hAnsi="Arial" w:cs="Arial"/>
                <w:sz w:val="20"/>
                <w:szCs w:val="20"/>
              </w:rPr>
            </w:pPr>
            <w:r>
              <w:rPr>
                <w:rFonts w:ascii="Arial" w:hAnsi="Arial" w:cs="Arial"/>
                <w:sz w:val="20"/>
                <w:szCs w:val="20"/>
              </w:rPr>
              <w:t>ACTUAL</w:t>
            </w:r>
          </w:p>
        </w:tc>
        <w:tc>
          <w:tcPr>
            <w:tcW w:w="3605" w:type="dxa"/>
          </w:tcPr>
          <w:p w:rsidR="007B4E89" w:rsidRPr="00FE126C" w:rsidRDefault="007B4E89" w:rsidP="00FE126C">
            <w:pPr>
              <w:rPr>
                <w:rFonts w:ascii="Arial" w:hAnsi="Arial" w:cs="Arial"/>
                <w:sz w:val="20"/>
                <w:szCs w:val="20"/>
              </w:rPr>
            </w:pPr>
          </w:p>
        </w:tc>
        <w:tc>
          <w:tcPr>
            <w:tcW w:w="1870" w:type="dxa"/>
          </w:tcPr>
          <w:p w:rsidR="007B4E89" w:rsidRPr="00FE126C" w:rsidRDefault="007B4E89" w:rsidP="00FE126C">
            <w:pPr>
              <w:rPr>
                <w:rFonts w:ascii="Arial" w:hAnsi="Arial" w:cs="Arial"/>
                <w:sz w:val="20"/>
                <w:szCs w:val="20"/>
              </w:rPr>
            </w:pPr>
          </w:p>
        </w:tc>
      </w:tr>
    </w:tbl>
    <w:p w:rsidR="007B4E89" w:rsidRDefault="007B4E89" w:rsidP="000162D6">
      <w:pPr>
        <w:rPr>
          <w:rFonts w:ascii="Arial" w:hAnsi="Arial" w:cs="Arial"/>
          <w:b/>
          <w:bCs/>
          <w:i/>
          <w:sz w:val="24"/>
          <w:szCs w:val="24"/>
        </w:rPr>
      </w:pPr>
    </w:p>
    <w:p w:rsidR="00746080" w:rsidRPr="00016EB2" w:rsidRDefault="00016EB2" w:rsidP="006B76C1">
      <w:pPr>
        <w:rPr>
          <w:rFonts w:ascii="Arial" w:hAnsi="Arial" w:cs="Arial"/>
          <w:b/>
          <w:sz w:val="24"/>
          <w:szCs w:val="24"/>
        </w:rPr>
      </w:pPr>
      <w:r w:rsidRPr="00016EB2">
        <w:rPr>
          <w:rFonts w:ascii="Arial" w:hAnsi="Arial" w:cs="Arial"/>
          <w:b/>
          <w:sz w:val="24"/>
          <w:szCs w:val="24"/>
        </w:rPr>
        <w:t>Other notes re: changes to rate generator model filed:</w:t>
      </w:r>
    </w:p>
    <w:p w:rsidR="00016EB2" w:rsidRDefault="00016EB2" w:rsidP="00016EB2">
      <w:pPr>
        <w:pStyle w:val="ListParagraph"/>
        <w:numPr>
          <w:ilvl w:val="0"/>
          <w:numId w:val="9"/>
        </w:numPr>
        <w:rPr>
          <w:rFonts w:ascii="Arial" w:hAnsi="Arial" w:cs="Arial"/>
          <w:sz w:val="24"/>
          <w:szCs w:val="24"/>
        </w:rPr>
      </w:pPr>
      <w:r>
        <w:rPr>
          <w:rFonts w:ascii="Arial" w:hAnsi="Arial" w:cs="Arial"/>
          <w:sz w:val="24"/>
          <w:szCs w:val="24"/>
        </w:rPr>
        <w:t>Projected interest calculation was revised to reflect that OEB prescribed interest rate increased to 1.5% in Q4 of 2017.</w:t>
      </w:r>
    </w:p>
    <w:p w:rsidR="00016EB2" w:rsidRPr="00016EB2" w:rsidRDefault="00016EB2" w:rsidP="00016EB2">
      <w:pPr>
        <w:pStyle w:val="ListParagraph"/>
        <w:numPr>
          <w:ilvl w:val="0"/>
          <w:numId w:val="9"/>
        </w:numPr>
        <w:rPr>
          <w:rFonts w:ascii="Arial" w:hAnsi="Arial" w:cs="Arial"/>
          <w:sz w:val="24"/>
          <w:szCs w:val="24"/>
        </w:rPr>
      </w:pPr>
      <w:r>
        <w:rPr>
          <w:rFonts w:ascii="Arial" w:hAnsi="Arial" w:cs="Arial"/>
          <w:sz w:val="24"/>
          <w:szCs w:val="24"/>
        </w:rPr>
        <w:t>Unrecovered 2014 LRAM amounts were moved into the 1595 balance.</w:t>
      </w:r>
      <w:r w:rsidR="004200AA">
        <w:rPr>
          <w:rFonts w:ascii="Arial" w:hAnsi="Arial" w:cs="Arial"/>
          <w:sz w:val="24"/>
          <w:szCs w:val="24"/>
        </w:rPr>
        <w:t xml:space="preserve">  Original 1595 balance (37,527).  The new continuity shows a balance of (27,192) – a difference of 10,335 ($7,859P and $2,476I).</w:t>
      </w:r>
    </w:p>
    <w:sectPr w:rsidR="00016EB2" w:rsidRPr="00016EB2"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60F"/>
    <w:multiLevelType w:val="hybridMultilevel"/>
    <w:tmpl w:val="D1B49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4058B7"/>
    <w:multiLevelType w:val="hybridMultilevel"/>
    <w:tmpl w:val="5220044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ADD262A"/>
    <w:multiLevelType w:val="hybridMultilevel"/>
    <w:tmpl w:val="AC363F10"/>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5" w15:restartNumberingAfterBreak="0">
    <w:nsid w:val="5B2741BF"/>
    <w:multiLevelType w:val="hybridMultilevel"/>
    <w:tmpl w:val="E1E48F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5D2EA6"/>
    <w:multiLevelType w:val="hybridMultilevel"/>
    <w:tmpl w:val="A0BC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5"/>
  </w:num>
  <w:num w:numId="2">
    <w:abstractNumId w:val="8"/>
  </w:num>
  <w:num w:numId="3">
    <w:abstractNumId w:val="6"/>
  </w:num>
  <w:num w:numId="4">
    <w:abstractNumId w:val="2"/>
  </w:num>
  <w:num w:numId="5">
    <w:abstractNumId w:val="3"/>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D6"/>
    <w:rsid w:val="000162D6"/>
    <w:rsid w:val="00016EB2"/>
    <w:rsid w:val="001B35AC"/>
    <w:rsid w:val="001F201C"/>
    <w:rsid w:val="001F3F93"/>
    <w:rsid w:val="002E748A"/>
    <w:rsid w:val="00360DCD"/>
    <w:rsid w:val="00412DC6"/>
    <w:rsid w:val="004200AA"/>
    <w:rsid w:val="00460832"/>
    <w:rsid w:val="0067142E"/>
    <w:rsid w:val="006B76C1"/>
    <w:rsid w:val="00703C37"/>
    <w:rsid w:val="00746080"/>
    <w:rsid w:val="007B4E89"/>
    <w:rsid w:val="00883E8F"/>
    <w:rsid w:val="008F63AB"/>
    <w:rsid w:val="00914D6A"/>
    <w:rsid w:val="00A61DEC"/>
    <w:rsid w:val="00AA06D9"/>
    <w:rsid w:val="00B25576"/>
    <w:rsid w:val="00CA78F5"/>
    <w:rsid w:val="00D61CBD"/>
    <w:rsid w:val="00EA0919"/>
    <w:rsid w:val="00FB0BA0"/>
    <w:rsid w:val="00FB78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AB32"/>
  <w15:docId w15:val="{3116F7FE-DD04-4B8B-AE66-16AB7B18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2D6"/>
    <w:pPr>
      <w:ind w:left="720"/>
      <w:contextualSpacing/>
    </w:pPr>
  </w:style>
  <w:style w:type="paragraph" w:styleId="BalloonText">
    <w:name w:val="Balloon Text"/>
    <w:basedOn w:val="Normal"/>
    <w:link w:val="BalloonTextChar"/>
    <w:uiPriority w:val="99"/>
    <w:semiHidden/>
    <w:unhideWhenUsed/>
    <w:rsid w:val="0070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37"/>
    <w:rPr>
      <w:rFonts w:ascii="Segoe UI" w:hAnsi="Segoe UI" w:cs="Segoe UI"/>
      <w:sz w:val="18"/>
      <w:szCs w:val="18"/>
    </w:rPr>
  </w:style>
  <w:style w:type="table" w:styleId="TableGrid">
    <w:name w:val="Table Grid"/>
    <w:basedOn w:val="TableNormal"/>
    <w:uiPriority w:val="59"/>
    <w:rsid w:val="0070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Kwan</dc:creator>
  <cp:lastModifiedBy>Kelly McCann</cp:lastModifiedBy>
  <cp:revision>3</cp:revision>
  <cp:lastPrinted>2017-10-27T16:41:00Z</cp:lastPrinted>
  <dcterms:created xsi:type="dcterms:W3CDTF">2017-10-28T16:47:00Z</dcterms:created>
  <dcterms:modified xsi:type="dcterms:W3CDTF">2017-10-28T17:09:00Z</dcterms:modified>
</cp:coreProperties>
</file>