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FA" w:rsidRPr="00722AFA" w:rsidRDefault="00722AFA" w:rsidP="00722AFA">
      <w:pPr>
        <w:rPr>
          <w:rFonts w:ascii="Arial" w:hAnsi="Arial" w:cs="Arial"/>
          <w:b/>
          <w:sz w:val="24"/>
          <w:szCs w:val="24"/>
          <w:u w:val="single"/>
        </w:rPr>
      </w:pPr>
      <w:r w:rsidRPr="00722AFA">
        <w:rPr>
          <w:rFonts w:ascii="Arial" w:hAnsi="Arial" w:cs="Arial"/>
          <w:b/>
          <w:sz w:val="24"/>
          <w:szCs w:val="24"/>
          <w:u w:val="single"/>
        </w:rPr>
        <w:t>Questions in relation to GA Analysis Work Form</w:t>
      </w:r>
    </w:p>
    <w:p w:rsidR="008A34FD" w:rsidRPr="008A34FD" w:rsidRDefault="008A34FD" w:rsidP="008A34FD">
      <w:pPr>
        <w:pStyle w:val="ListParagraph"/>
        <w:numPr>
          <w:ilvl w:val="0"/>
          <w:numId w:val="8"/>
        </w:numPr>
        <w:rPr>
          <w:rFonts w:ascii="Arial" w:hAnsi="Arial" w:cs="Arial"/>
          <w:sz w:val="24"/>
          <w:szCs w:val="24"/>
        </w:rPr>
      </w:pPr>
      <w:r>
        <w:rPr>
          <w:rFonts w:ascii="Arial" w:hAnsi="Arial" w:cs="Arial"/>
          <w:sz w:val="24"/>
          <w:szCs w:val="24"/>
        </w:rPr>
        <w:t xml:space="preserve"> Table in note 4.</w:t>
      </w:r>
    </w:p>
    <w:p w:rsidR="008A34FD" w:rsidRPr="008A34FD" w:rsidRDefault="008A34FD" w:rsidP="008A34FD">
      <w:pPr>
        <w:rPr>
          <w:rFonts w:ascii="Arial" w:hAnsi="Arial" w:cs="Arial"/>
          <w:sz w:val="24"/>
          <w:szCs w:val="24"/>
        </w:rPr>
      </w:pPr>
      <w:r>
        <w:rPr>
          <w:noProof/>
          <w:lang w:eastAsia="en-CA"/>
        </w:rPr>
        <w:drawing>
          <wp:inline distT="0" distB="0" distL="0" distR="0" wp14:anchorId="6E1C64F3" wp14:editId="5259B14B">
            <wp:extent cx="5943600" cy="2253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253615"/>
                    </a:xfrm>
                    <a:prstGeom prst="rect">
                      <a:avLst/>
                    </a:prstGeom>
                  </pic:spPr>
                </pic:pic>
              </a:graphicData>
            </a:graphic>
          </wp:inline>
        </w:drawing>
      </w:r>
    </w:p>
    <w:p w:rsidR="00722AFA" w:rsidRDefault="00722AFA" w:rsidP="00722AFA">
      <w:pPr>
        <w:pStyle w:val="ListParagraph"/>
        <w:numPr>
          <w:ilvl w:val="0"/>
          <w:numId w:val="2"/>
        </w:numPr>
        <w:rPr>
          <w:rFonts w:ascii="Arial" w:hAnsi="Arial" w:cs="Arial"/>
          <w:sz w:val="24"/>
          <w:szCs w:val="24"/>
        </w:rPr>
      </w:pPr>
      <w:r>
        <w:rPr>
          <w:rFonts w:ascii="Arial" w:hAnsi="Arial" w:cs="Arial"/>
          <w:sz w:val="24"/>
          <w:szCs w:val="24"/>
        </w:rPr>
        <w:t>Please confirm t</w:t>
      </w:r>
      <w:r w:rsidR="0007239A">
        <w:rPr>
          <w:rFonts w:ascii="Arial" w:hAnsi="Arial" w:cs="Arial"/>
          <w:sz w:val="24"/>
          <w:szCs w:val="24"/>
        </w:rPr>
        <w:t>hat the Non-RPP Class B kWh amounts</w:t>
      </w:r>
      <w:r>
        <w:rPr>
          <w:rFonts w:ascii="Arial" w:hAnsi="Arial" w:cs="Arial"/>
          <w:sz w:val="24"/>
          <w:szCs w:val="24"/>
        </w:rPr>
        <w:t xml:space="preserve"> entered in column F below represent </w:t>
      </w:r>
      <w:r w:rsidR="0007239A">
        <w:rPr>
          <w:rFonts w:ascii="Arial" w:hAnsi="Arial" w:cs="Arial"/>
          <w:sz w:val="24"/>
          <w:szCs w:val="24"/>
        </w:rPr>
        <w:t>the kWh that was billed in each Month.</w:t>
      </w:r>
    </w:p>
    <w:p w:rsidR="00E91DF8" w:rsidRDefault="00E91DF8" w:rsidP="00E91DF8">
      <w:pPr>
        <w:pStyle w:val="ListParagraph"/>
        <w:ind w:left="1440"/>
        <w:rPr>
          <w:rFonts w:ascii="Arial" w:hAnsi="Arial" w:cs="Arial"/>
          <w:i/>
          <w:sz w:val="24"/>
          <w:szCs w:val="24"/>
        </w:rPr>
      </w:pPr>
    </w:p>
    <w:p w:rsidR="00E91DF8" w:rsidRPr="00E91DF8" w:rsidRDefault="00E91DF8" w:rsidP="00E91DF8">
      <w:pPr>
        <w:pStyle w:val="ListParagraph"/>
        <w:ind w:left="1440"/>
        <w:rPr>
          <w:rFonts w:ascii="Arial" w:hAnsi="Arial" w:cs="Arial"/>
          <w:i/>
          <w:sz w:val="24"/>
          <w:szCs w:val="24"/>
        </w:rPr>
      </w:pPr>
      <w:r w:rsidRPr="00E91DF8">
        <w:rPr>
          <w:rFonts w:ascii="Arial" w:hAnsi="Arial" w:cs="Arial"/>
          <w:i/>
          <w:color w:val="0070C0"/>
          <w:sz w:val="24"/>
          <w:szCs w:val="24"/>
        </w:rPr>
        <w:t>Response: The amounts included in column F are the Non-RPP Class B kWh used in the month versus billed in the month.  As Festival did not, at the time, book unbilled revenue each mon</w:t>
      </w:r>
      <w:r w:rsidR="004F52D6">
        <w:rPr>
          <w:rFonts w:ascii="Arial" w:hAnsi="Arial" w:cs="Arial"/>
          <w:i/>
          <w:color w:val="0070C0"/>
          <w:sz w:val="24"/>
          <w:szCs w:val="24"/>
        </w:rPr>
        <w:t>th, the VR account was prepared</w:t>
      </w:r>
      <w:r w:rsidRPr="00E91DF8">
        <w:rPr>
          <w:rFonts w:ascii="Arial" w:hAnsi="Arial" w:cs="Arial"/>
          <w:i/>
          <w:color w:val="0070C0"/>
          <w:sz w:val="24"/>
          <w:szCs w:val="24"/>
        </w:rPr>
        <w:t xml:space="preserve"> utilizing the IESO invoice charge for non-RPP class B and the actual GA price to determine the actual kWh utilized in the month – and then this quantity was used to compare the price differential on GA actual vs. the 1</w:t>
      </w:r>
      <w:r w:rsidRPr="00E91DF8">
        <w:rPr>
          <w:rFonts w:ascii="Arial" w:hAnsi="Arial" w:cs="Arial"/>
          <w:i/>
          <w:color w:val="0070C0"/>
          <w:sz w:val="24"/>
          <w:szCs w:val="24"/>
          <w:vertAlign w:val="superscript"/>
        </w:rPr>
        <w:t>st</w:t>
      </w:r>
      <w:r w:rsidRPr="00E91DF8">
        <w:rPr>
          <w:rFonts w:ascii="Arial" w:hAnsi="Arial" w:cs="Arial"/>
          <w:i/>
          <w:color w:val="0070C0"/>
          <w:sz w:val="24"/>
          <w:szCs w:val="24"/>
        </w:rPr>
        <w:t xml:space="preserve"> estimate which Festival bills off of to come up with the total dollar variance.</w:t>
      </w:r>
    </w:p>
    <w:p w:rsidR="00AC22CF" w:rsidRDefault="00AC22CF" w:rsidP="00AC22CF">
      <w:pPr>
        <w:pStyle w:val="ListParagraph"/>
        <w:ind w:left="1440"/>
        <w:rPr>
          <w:rFonts w:ascii="Arial" w:hAnsi="Arial" w:cs="Arial"/>
          <w:sz w:val="24"/>
          <w:szCs w:val="24"/>
        </w:rPr>
      </w:pPr>
    </w:p>
    <w:p w:rsidR="008A34FD" w:rsidRDefault="0007239A" w:rsidP="008A34FD">
      <w:pPr>
        <w:pStyle w:val="ListParagraph"/>
        <w:numPr>
          <w:ilvl w:val="0"/>
          <w:numId w:val="2"/>
        </w:numPr>
        <w:rPr>
          <w:rFonts w:ascii="Arial" w:hAnsi="Arial" w:cs="Arial"/>
          <w:sz w:val="24"/>
          <w:szCs w:val="24"/>
        </w:rPr>
      </w:pPr>
      <w:r>
        <w:rPr>
          <w:rFonts w:ascii="Arial" w:hAnsi="Arial" w:cs="Arial"/>
          <w:sz w:val="24"/>
          <w:szCs w:val="24"/>
        </w:rPr>
        <w:t>Please enter the unbilled kWh for previous month and current month in column G and H.</w:t>
      </w:r>
    </w:p>
    <w:p w:rsidR="008A34FD" w:rsidRDefault="008A34FD" w:rsidP="008A34FD">
      <w:pPr>
        <w:pStyle w:val="ListParagraph"/>
        <w:rPr>
          <w:rFonts w:ascii="Arial" w:hAnsi="Arial" w:cs="Arial"/>
          <w:sz w:val="24"/>
          <w:szCs w:val="24"/>
        </w:rPr>
      </w:pPr>
    </w:p>
    <w:p w:rsidR="00E91DF8" w:rsidRPr="00E91DF8" w:rsidRDefault="00E91DF8" w:rsidP="00E91DF8">
      <w:pPr>
        <w:pStyle w:val="ListParagraph"/>
        <w:ind w:left="1440"/>
        <w:rPr>
          <w:rFonts w:ascii="Arial" w:hAnsi="Arial" w:cs="Arial"/>
          <w:i/>
          <w:color w:val="0070C0"/>
          <w:sz w:val="24"/>
          <w:szCs w:val="24"/>
        </w:rPr>
      </w:pPr>
      <w:r w:rsidRPr="00E91DF8">
        <w:rPr>
          <w:rFonts w:ascii="Arial" w:hAnsi="Arial" w:cs="Arial"/>
          <w:i/>
          <w:color w:val="0070C0"/>
          <w:sz w:val="24"/>
          <w:szCs w:val="24"/>
        </w:rPr>
        <w:t>Response: see response above</w:t>
      </w:r>
    </w:p>
    <w:p w:rsidR="008A34FD" w:rsidRPr="008A34FD" w:rsidRDefault="008A34FD" w:rsidP="008A34FD">
      <w:pPr>
        <w:pStyle w:val="ListParagraph"/>
        <w:ind w:left="1440"/>
        <w:rPr>
          <w:rFonts w:ascii="Arial" w:hAnsi="Arial" w:cs="Arial"/>
          <w:sz w:val="24"/>
          <w:szCs w:val="24"/>
        </w:rPr>
      </w:pPr>
    </w:p>
    <w:p w:rsidR="0007239A" w:rsidRDefault="0007239A" w:rsidP="00722AFA">
      <w:pPr>
        <w:pStyle w:val="ListParagraph"/>
        <w:numPr>
          <w:ilvl w:val="0"/>
          <w:numId w:val="2"/>
        </w:numPr>
        <w:rPr>
          <w:rFonts w:ascii="Arial" w:hAnsi="Arial" w:cs="Arial"/>
          <w:sz w:val="24"/>
          <w:szCs w:val="24"/>
        </w:rPr>
      </w:pPr>
      <w:r>
        <w:rPr>
          <w:rFonts w:ascii="Arial" w:hAnsi="Arial" w:cs="Arial"/>
          <w:sz w:val="24"/>
          <w:szCs w:val="24"/>
        </w:rPr>
        <w:t xml:space="preserve">After the table is updated, please calculate the value of “F59/D26” in the work form and compare this value to the total loss factor of </w:t>
      </w:r>
      <w:r w:rsidR="008A34FD">
        <w:rPr>
          <w:rFonts w:ascii="Arial" w:hAnsi="Arial" w:cs="Arial"/>
          <w:sz w:val="24"/>
          <w:szCs w:val="24"/>
        </w:rPr>
        <w:t>Festival</w:t>
      </w:r>
      <w:r>
        <w:rPr>
          <w:rFonts w:ascii="Arial" w:hAnsi="Arial" w:cs="Arial"/>
          <w:sz w:val="24"/>
          <w:szCs w:val="24"/>
        </w:rPr>
        <w:t>, 1.0</w:t>
      </w:r>
      <w:r w:rsidR="008A34FD">
        <w:rPr>
          <w:rFonts w:ascii="Arial" w:hAnsi="Arial" w:cs="Arial"/>
          <w:sz w:val="24"/>
          <w:szCs w:val="24"/>
        </w:rPr>
        <w:t>291</w:t>
      </w:r>
      <w:r>
        <w:rPr>
          <w:rFonts w:ascii="Arial" w:hAnsi="Arial" w:cs="Arial"/>
          <w:sz w:val="24"/>
          <w:szCs w:val="24"/>
        </w:rPr>
        <w:t>. If there is a significant difference, please provide explanation.</w:t>
      </w:r>
    </w:p>
    <w:p w:rsidR="00E91DF8" w:rsidRPr="00E91DF8" w:rsidRDefault="00E91DF8" w:rsidP="00E91DF8">
      <w:pPr>
        <w:ind w:left="1440"/>
        <w:rPr>
          <w:rFonts w:ascii="Arial" w:hAnsi="Arial" w:cs="Arial"/>
          <w:i/>
          <w:color w:val="0070C0"/>
          <w:sz w:val="24"/>
          <w:szCs w:val="24"/>
        </w:rPr>
      </w:pPr>
      <w:r w:rsidRPr="00E91DF8">
        <w:rPr>
          <w:rFonts w:ascii="Arial" w:hAnsi="Arial" w:cs="Arial"/>
          <w:i/>
          <w:color w:val="0070C0"/>
          <w:sz w:val="24"/>
          <w:szCs w:val="24"/>
        </w:rPr>
        <w:t>Based on the data provided this would be 1.032.</w:t>
      </w:r>
    </w:p>
    <w:p w:rsidR="0007239A" w:rsidRDefault="0007239A" w:rsidP="00722AFA">
      <w:pPr>
        <w:ind w:left="360"/>
        <w:rPr>
          <w:rFonts w:ascii="Arial" w:hAnsi="Arial" w:cs="Arial"/>
          <w:sz w:val="24"/>
          <w:szCs w:val="24"/>
        </w:rPr>
      </w:pPr>
    </w:p>
    <w:p w:rsidR="0007239A" w:rsidRDefault="007511AF" w:rsidP="008A34FD">
      <w:pPr>
        <w:pStyle w:val="ListParagraph"/>
        <w:numPr>
          <w:ilvl w:val="0"/>
          <w:numId w:val="1"/>
        </w:numPr>
        <w:rPr>
          <w:rFonts w:ascii="Arial" w:hAnsi="Arial" w:cs="Arial"/>
          <w:sz w:val="24"/>
          <w:szCs w:val="24"/>
        </w:rPr>
      </w:pPr>
      <w:r>
        <w:rPr>
          <w:rFonts w:ascii="Arial" w:hAnsi="Arial" w:cs="Arial"/>
          <w:sz w:val="24"/>
          <w:szCs w:val="24"/>
        </w:rPr>
        <w:t>Table in Note 5</w:t>
      </w:r>
    </w:p>
    <w:p w:rsidR="0071540A" w:rsidRPr="008A34FD" w:rsidRDefault="008A34FD" w:rsidP="008A34FD">
      <w:pPr>
        <w:ind w:left="360"/>
        <w:rPr>
          <w:rFonts w:ascii="Arial" w:hAnsi="Arial" w:cs="Arial"/>
          <w:sz w:val="24"/>
          <w:szCs w:val="24"/>
        </w:rPr>
      </w:pPr>
      <w:r>
        <w:rPr>
          <w:noProof/>
          <w:lang w:eastAsia="en-CA"/>
        </w:rPr>
        <w:lastRenderedPageBreak/>
        <w:drawing>
          <wp:inline distT="0" distB="0" distL="0" distR="0" wp14:anchorId="583B0C9F" wp14:editId="3FD25746">
            <wp:extent cx="5943600" cy="1341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341755"/>
                    </a:xfrm>
                    <a:prstGeom prst="rect">
                      <a:avLst/>
                    </a:prstGeom>
                  </pic:spPr>
                </pic:pic>
              </a:graphicData>
            </a:graphic>
          </wp:inline>
        </w:drawing>
      </w:r>
    </w:p>
    <w:p w:rsidR="0071540A" w:rsidRDefault="0071540A" w:rsidP="0071540A">
      <w:pPr>
        <w:pStyle w:val="ListParagraph"/>
        <w:rPr>
          <w:rFonts w:ascii="Arial" w:hAnsi="Arial" w:cs="Arial"/>
          <w:sz w:val="24"/>
          <w:szCs w:val="24"/>
        </w:rPr>
      </w:pPr>
    </w:p>
    <w:p w:rsidR="008A34FD" w:rsidRDefault="008A34FD" w:rsidP="0071540A">
      <w:pPr>
        <w:pStyle w:val="ListParagraph"/>
        <w:rPr>
          <w:rFonts w:ascii="Arial" w:hAnsi="Arial" w:cs="Arial"/>
          <w:sz w:val="24"/>
          <w:szCs w:val="24"/>
        </w:rPr>
      </w:pPr>
    </w:p>
    <w:p w:rsidR="008A34FD" w:rsidRDefault="008A34FD" w:rsidP="0071540A">
      <w:pPr>
        <w:pStyle w:val="ListParagraph"/>
        <w:rPr>
          <w:rFonts w:ascii="Arial" w:hAnsi="Arial" w:cs="Arial"/>
          <w:sz w:val="24"/>
          <w:szCs w:val="24"/>
        </w:rPr>
      </w:pPr>
    </w:p>
    <w:p w:rsidR="008A34FD" w:rsidRPr="00AB5A85" w:rsidRDefault="008A34FD" w:rsidP="008A34FD">
      <w:pPr>
        <w:pStyle w:val="ListParagraph"/>
        <w:numPr>
          <w:ilvl w:val="1"/>
          <w:numId w:val="4"/>
        </w:numPr>
        <w:ind w:left="1080"/>
        <w:rPr>
          <w:rFonts w:ascii="Arial" w:hAnsi="Arial" w:cs="Arial"/>
          <w:sz w:val="24"/>
        </w:rPr>
      </w:pPr>
      <w:r w:rsidRPr="00AB5A85">
        <w:rPr>
          <w:rFonts w:ascii="Arial" w:hAnsi="Arial" w:cs="Arial"/>
          <w:sz w:val="24"/>
        </w:rPr>
        <w:t>In booking expense journal entries for Charge Type 1142 (formerly 142), and Charge Type 148 from the IESO invoice, please confirm which of the following approach is used:</w:t>
      </w:r>
    </w:p>
    <w:p w:rsidR="008A34FD" w:rsidRDefault="008A34FD" w:rsidP="008A34FD">
      <w:pPr>
        <w:pStyle w:val="ListParagraph"/>
        <w:numPr>
          <w:ilvl w:val="2"/>
          <w:numId w:val="4"/>
        </w:numPr>
        <w:ind w:left="1980" w:hanging="360"/>
        <w:rPr>
          <w:rFonts w:ascii="Arial" w:hAnsi="Arial" w:cs="Arial"/>
          <w:sz w:val="24"/>
        </w:rPr>
      </w:pPr>
      <w:r w:rsidRPr="00AB5A85">
        <w:rPr>
          <w:rFonts w:ascii="Arial" w:hAnsi="Arial" w:cs="Arial"/>
          <w:sz w:val="24"/>
        </w:rPr>
        <w:t>Charge Type 1142 is booked into Account 1588. Charge Type 148 is pro-rated based on RPP/non-RPP consumption and then booked into Account 1588 and 1589, respectively</w:t>
      </w:r>
    </w:p>
    <w:p w:rsidR="008A34FD" w:rsidRDefault="008A34FD" w:rsidP="008A34FD">
      <w:pPr>
        <w:pStyle w:val="ListParagraph"/>
        <w:numPr>
          <w:ilvl w:val="2"/>
          <w:numId w:val="4"/>
        </w:numPr>
        <w:ind w:left="1980" w:hanging="360"/>
        <w:rPr>
          <w:rFonts w:ascii="Arial" w:hAnsi="Arial" w:cs="Arial"/>
          <w:sz w:val="24"/>
        </w:rPr>
      </w:pPr>
      <w:r w:rsidRPr="009D1176">
        <w:rPr>
          <w:rFonts w:ascii="Arial" w:hAnsi="Arial" w:cs="Arial"/>
          <w:sz w:val="24"/>
        </w:rPr>
        <w:t xml:space="preserve"> Charge Type 148 is booked into Account 1589. The portion of Charge Type 1142 equalling RPP-HOEP for RPP consumption is booked into Account 1588. The portion of Charge Type 1142 equalling GA RPP is credited into Account 1589.</w:t>
      </w:r>
    </w:p>
    <w:p w:rsidR="008A34FD" w:rsidRDefault="008A34FD" w:rsidP="008A34FD">
      <w:pPr>
        <w:pStyle w:val="ListParagraph"/>
        <w:numPr>
          <w:ilvl w:val="2"/>
          <w:numId w:val="4"/>
        </w:numPr>
        <w:ind w:left="1980" w:hanging="360"/>
        <w:rPr>
          <w:rFonts w:ascii="Arial" w:hAnsi="Arial" w:cs="Arial"/>
          <w:sz w:val="24"/>
        </w:rPr>
      </w:pPr>
      <w:r w:rsidRPr="009D1176">
        <w:rPr>
          <w:rFonts w:ascii="Arial" w:hAnsi="Arial" w:cs="Arial"/>
          <w:sz w:val="24"/>
        </w:rPr>
        <w:t>Another approach.  Please explain this approach in detail.</w:t>
      </w:r>
    </w:p>
    <w:p w:rsidR="00383540" w:rsidRDefault="00383540" w:rsidP="00383540">
      <w:pPr>
        <w:pStyle w:val="ListParagraph"/>
        <w:ind w:left="1440"/>
        <w:rPr>
          <w:rFonts w:ascii="Arial" w:hAnsi="Arial" w:cs="Arial"/>
          <w:i/>
          <w:color w:val="0070C0"/>
          <w:sz w:val="24"/>
          <w:szCs w:val="24"/>
        </w:rPr>
      </w:pPr>
    </w:p>
    <w:p w:rsidR="00383540" w:rsidRPr="00383540" w:rsidRDefault="00383540" w:rsidP="00383540">
      <w:pPr>
        <w:pStyle w:val="ListParagraph"/>
        <w:ind w:left="1440"/>
        <w:rPr>
          <w:rFonts w:ascii="Arial" w:hAnsi="Arial" w:cs="Arial"/>
          <w:i/>
          <w:color w:val="0070C0"/>
          <w:sz w:val="24"/>
          <w:szCs w:val="24"/>
        </w:rPr>
      </w:pPr>
      <w:r w:rsidRPr="00383540">
        <w:rPr>
          <w:rFonts w:ascii="Arial" w:hAnsi="Arial" w:cs="Arial"/>
          <w:i/>
          <w:color w:val="0070C0"/>
          <w:sz w:val="24"/>
          <w:szCs w:val="24"/>
        </w:rPr>
        <w:t xml:space="preserve">Response:  Festival follows another approach.  Please review the OEB audit report dated June 5, 2017.  Specifically, 1.2.3 finding and 1.2.4 response by Festival.  As part of the audit, Festival has committed to revising several processes including this process, but notes that the annual adjustment </w:t>
      </w:r>
      <w:r w:rsidR="005349F8">
        <w:rPr>
          <w:rFonts w:ascii="Arial" w:hAnsi="Arial" w:cs="Arial"/>
          <w:i/>
          <w:color w:val="0070C0"/>
          <w:sz w:val="24"/>
          <w:szCs w:val="24"/>
        </w:rPr>
        <w:t>calculated</w:t>
      </w:r>
      <w:r w:rsidRPr="00383540">
        <w:rPr>
          <w:rFonts w:ascii="Arial" w:hAnsi="Arial" w:cs="Arial"/>
          <w:i/>
          <w:color w:val="0070C0"/>
          <w:sz w:val="24"/>
          <w:szCs w:val="24"/>
        </w:rPr>
        <w:t xml:space="preserve"> for 2016 was determined to be immaterial and as such no adjustment was made in 2016.</w:t>
      </w:r>
    </w:p>
    <w:p w:rsidR="008A34FD" w:rsidRPr="00AB5A85" w:rsidRDefault="008A34FD" w:rsidP="008A34FD">
      <w:pPr>
        <w:pStyle w:val="ListParagraph"/>
        <w:ind w:left="360"/>
        <w:rPr>
          <w:rFonts w:ascii="Arial" w:hAnsi="Arial" w:cs="Arial"/>
          <w:sz w:val="24"/>
        </w:rPr>
      </w:pPr>
    </w:p>
    <w:p w:rsidR="008A34FD" w:rsidRDefault="008A34FD" w:rsidP="008A34FD">
      <w:pPr>
        <w:pStyle w:val="ListParagraph"/>
        <w:numPr>
          <w:ilvl w:val="1"/>
          <w:numId w:val="4"/>
        </w:numPr>
        <w:ind w:left="1080"/>
        <w:rPr>
          <w:rFonts w:ascii="Arial" w:hAnsi="Arial" w:cs="Arial"/>
          <w:sz w:val="24"/>
        </w:rPr>
      </w:pPr>
      <w:r w:rsidRPr="00AB5A85">
        <w:rPr>
          <w:rFonts w:ascii="Arial" w:hAnsi="Arial" w:cs="Arial"/>
          <w:sz w:val="24"/>
        </w:rPr>
        <w:t>With regards to the Dec. 31 balance in Account 1589, please indicate whether the following items that flow into the account is based on estimates/accruals or actuals at year end:</w:t>
      </w:r>
    </w:p>
    <w:p w:rsidR="008A34FD" w:rsidRDefault="008A34FD" w:rsidP="008A34FD">
      <w:pPr>
        <w:pStyle w:val="ListParagraph"/>
        <w:numPr>
          <w:ilvl w:val="2"/>
          <w:numId w:val="4"/>
        </w:numPr>
        <w:ind w:left="1980" w:hanging="360"/>
        <w:rPr>
          <w:rFonts w:ascii="Arial" w:hAnsi="Arial" w:cs="Arial"/>
          <w:sz w:val="24"/>
        </w:rPr>
      </w:pPr>
      <w:r w:rsidRPr="009D1176">
        <w:rPr>
          <w:rFonts w:ascii="Arial" w:hAnsi="Arial" w:cs="Arial"/>
          <w:sz w:val="24"/>
        </w:rPr>
        <w:t xml:space="preserve">Revenues (i.e. is unbilled revenues trued up) </w:t>
      </w:r>
    </w:p>
    <w:p w:rsidR="008A34FD" w:rsidRDefault="008A34FD" w:rsidP="008A34FD">
      <w:pPr>
        <w:pStyle w:val="ListParagraph"/>
        <w:numPr>
          <w:ilvl w:val="2"/>
          <w:numId w:val="4"/>
        </w:numPr>
        <w:ind w:left="1980" w:hanging="360"/>
        <w:rPr>
          <w:rFonts w:ascii="Arial" w:hAnsi="Arial" w:cs="Arial"/>
          <w:sz w:val="24"/>
        </w:rPr>
      </w:pPr>
      <w:r>
        <w:rPr>
          <w:rFonts w:ascii="Arial" w:hAnsi="Arial" w:cs="Arial"/>
          <w:sz w:val="24"/>
        </w:rPr>
        <w:t xml:space="preserve">If there are reconciling items #1a, 1b in the GA Analysis </w:t>
      </w:r>
      <w:r w:rsidR="00383540">
        <w:rPr>
          <w:rFonts w:ascii="Arial" w:hAnsi="Arial" w:cs="Arial"/>
          <w:sz w:val="24"/>
        </w:rPr>
        <w:t>Work form</w:t>
      </w:r>
      <w:r>
        <w:rPr>
          <w:rFonts w:ascii="Arial" w:hAnsi="Arial" w:cs="Arial"/>
          <w:sz w:val="24"/>
        </w:rPr>
        <w:t xml:space="preserve"> or if there are any proposed adjustments to account 1589 in the DVA Continuity Schedule for the true up impacts, please quantify the adjustment that relate to each of the following items.</w:t>
      </w:r>
    </w:p>
    <w:p w:rsidR="008A34FD" w:rsidRDefault="008A34FD" w:rsidP="008A34FD">
      <w:pPr>
        <w:pStyle w:val="ListParagraph"/>
        <w:numPr>
          <w:ilvl w:val="3"/>
          <w:numId w:val="4"/>
        </w:numPr>
        <w:ind w:left="2520"/>
        <w:rPr>
          <w:rFonts w:ascii="Arial" w:hAnsi="Arial" w:cs="Arial"/>
          <w:sz w:val="24"/>
        </w:rPr>
      </w:pPr>
      <w:r w:rsidRPr="009D1176">
        <w:rPr>
          <w:rFonts w:ascii="Arial" w:hAnsi="Arial" w:cs="Arial"/>
          <w:sz w:val="24"/>
        </w:rPr>
        <w:t>Expenses - GA non-RPP (Charge Type 148) with respect to the quantum dollar amount</w:t>
      </w:r>
    </w:p>
    <w:p w:rsidR="008A34FD" w:rsidRDefault="008A34FD" w:rsidP="008A34FD">
      <w:pPr>
        <w:pStyle w:val="ListParagraph"/>
        <w:numPr>
          <w:ilvl w:val="3"/>
          <w:numId w:val="4"/>
        </w:numPr>
        <w:ind w:left="2520"/>
        <w:rPr>
          <w:rFonts w:ascii="Arial" w:hAnsi="Arial" w:cs="Arial"/>
          <w:sz w:val="24"/>
        </w:rPr>
      </w:pPr>
      <w:r w:rsidRPr="009D1176">
        <w:rPr>
          <w:rFonts w:ascii="Arial" w:hAnsi="Arial" w:cs="Arial"/>
          <w:sz w:val="24"/>
        </w:rPr>
        <w:lastRenderedPageBreak/>
        <w:t>Expenses - GA non-RPP (Charge type 148) with respect to RPP/non-RPP pro-ration percentages</w:t>
      </w:r>
    </w:p>
    <w:p w:rsidR="008A34FD" w:rsidRDefault="008A34FD" w:rsidP="008A34FD">
      <w:pPr>
        <w:pStyle w:val="ListParagraph"/>
        <w:numPr>
          <w:ilvl w:val="3"/>
          <w:numId w:val="4"/>
        </w:numPr>
        <w:ind w:left="2520"/>
        <w:rPr>
          <w:rFonts w:ascii="Arial" w:hAnsi="Arial" w:cs="Arial"/>
          <w:sz w:val="24"/>
        </w:rPr>
      </w:pPr>
      <w:r w:rsidRPr="009D1176">
        <w:rPr>
          <w:rFonts w:ascii="Arial" w:hAnsi="Arial" w:cs="Arial"/>
          <w:sz w:val="24"/>
        </w:rPr>
        <w:t>Credit of GA RPP (Charge Type 142) if the approach under IR 1b is used</w:t>
      </w:r>
    </w:p>
    <w:p w:rsidR="00D07F17" w:rsidRPr="001D58FE" w:rsidRDefault="00D07F17" w:rsidP="001D58FE">
      <w:pPr>
        <w:ind w:left="1440"/>
        <w:rPr>
          <w:rFonts w:ascii="Arial" w:hAnsi="Arial" w:cs="Arial"/>
          <w:i/>
          <w:color w:val="0070C0"/>
          <w:sz w:val="24"/>
          <w:szCs w:val="24"/>
        </w:rPr>
      </w:pPr>
      <w:r w:rsidRPr="001D58FE">
        <w:rPr>
          <w:rFonts w:ascii="Arial" w:hAnsi="Arial" w:cs="Arial"/>
          <w:i/>
          <w:color w:val="0070C0"/>
          <w:sz w:val="24"/>
          <w:szCs w:val="24"/>
        </w:rPr>
        <w:t>Response:</w:t>
      </w:r>
    </w:p>
    <w:p w:rsidR="00D07F17" w:rsidRPr="001D58FE" w:rsidRDefault="00D07F17" w:rsidP="001D58FE">
      <w:pPr>
        <w:ind w:left="1440"/>
        <w:rPr>
          <w:rFonts w:ascii="Arial" w:hAnsi="Arial" w:cs="Arial"/>
          <w:i/>
          <w:color w:val="0070C0"/>
          <w:sz w:val="24"/>
          <w:szCs w:val="24"/>
        </w:rPr>
      </w:pPr>
      <w:r w:rsidRPr="001D58FE">
        <w:rPr>
          <w:rFonts w:ascii="Arial" w:hAnsi="Arial" w:cs="Arial"/>
          <w:i/>
          <w:color w:val="0070C0"/>
          <w:sz w:val="24"/>
          <w:szCs w:val="24"/>
        </w:rPr>
        <w:t xml:space="preserve">Festival books a preliminary balance in 1589 using an unbilled revenue estimate for December 31, and then once all December consumption has been billed, utilizing the </w:t>
      </w:r>
      <w:r w:rsidR="001D58FE" w:rsidRPr="001D58FE">
        <w:rPr>
          <w:rFonts w:ascii="Arial" w:hAnsi="Arial" w:cs="Arial"/>
          <w:i/>
          <w:color w:val="0070C0"/>
          <w:sz w:val="24"/>
          <w:szCs w:val="24"/>
        </w:rPr>
        <w:t>February</w:t>
      </w:r>
      <w:r w:rsidRPr="001D58FE">
        <w:rPr>
          <w:rFonts w:ascii="Arial" w:hAnsi="Arial" w:cs="Arial"/>
          <w:i/>
          <w:color w:val="0070C0"/>
          <w:sz w:val="24"/>
          <w:szCs w:val="24"/>
        </w:rPr>
        <w:t xml:space="preserve"> billing stats information – Festival trues up the unbilled revenue amount to the actual unbilled revenue for December based on billing stats.</w:t>
      </w:r>
    </w:p>
    <w:p w:rsidR="005349F8" w:rsidRDefault="00D07F17" w:rsidP="001D58FE">
      <w:pPr>
        <w:ind w:left="1440"/>
        <w:rPr>
          <w:rFonts w:ascii="Arial" w:hAnsi="Arial" w:cs="Arial"/>
          <w:i/>
          <w:color w:val="0070C0"/>
          <w:sz w:val="24"/>
          <w:szCs w:val="24"/>
        </w:rPr>
      </w:pPr>
      <w:r w:rsidRPr="001D58FE">
        <w:rPr>
          <w:rFonts w:ascii="Arial" w:hAnsi="Arial" w:cs="Arial"/>
          <w:i/>
          <w:color w:val="0070C0"/>
          <w:sz w:val="24"/>
          <w:szCs w:val="24"/>
        </w:rPr>
        <w:t xml:space="preserve">Festival has included an adjustment in the GA </w:t>
      </w:r>
      <w:r w:rsidR="00B34332" w:rsidRPr="001D58FE">
        <w:rPr>
          <w:rFonts w:ascii="Arial" w:hAnsi="Arial" w:cs="Arial"/>
          <w:i/>
          <w:color w:val="0070C0"/>
          <w:sz w:val="24"/>
          <w:szCs w:val="24"/>
        </w:rPr>
        <w:t>work form</w:t>
      </w:r>
      <w:r w:rsidRPr="001D58FE">
        <w:rPr>
          <w:rFonts w:ascii="Arial" w:hAnsi="Arial" w:cs="Arial"/>
          <w:i/>
          <w:color w:val="0070C0"/>
          <w:sz w:val="24"/>
          <w:szCs w:val="24"/>
        </w:rPr>
        <w:t xml:space="preserve"> (1a - -$104,135 and 1b - $52,979).</w:t>
      </w:r>
      <w:r w:rsidR="005349F8">
        <w:rPr>
          <w:rFonts w:ascii="Arial" w:hAnsi="Arial" w:cs="Arial"/>
          <w:i/>
          <w:color w:val="0070C0"/>
          <w:sz w:val="24"/>
          <w:szCs w:val="24"/>
        </w:rPr>
        <w:t xml:space="preserve">  These adjustments represent 2015 true ups filed with the IESO in 2016 and 2016 true ups filed with the IESO in 2017.  </w:t>
      </w:r>
    </w:p>
    <w:p w:rsidR="005349F8" w:rsidRDefault="00D07F17" w:rsidP="001D58FE">
      <w:pPr>
        <w:ind w:left="1440"/>
        <w:rPr>
          <w:rFonts w:ascii="Arial" w:hAnsi="Arial" w:cs="Arial"/>
          <w:i/>
          <w:color w:val="0070C0"/>
          <w:sz w:val="24"/>
          <w:szCs w:val="24"/>
        </w:rPr>
      </w:pPr>
      <w:r w:rsidRPr="001D58FE">
        <w:rPr>
          <w:rFonts w:ascii="Arial" w:hAnsi="Arial" w:cs="Arial"/>
          <w:i/>
          <w:color w:val="0070C0"/>
          <w:sz w:val="24"/>
          <w:szCs w:val="24"/>
        </w:rPr>
        <w:t xml:space="preserve">In the continuity schedule included in the rate generator model Festival has included an adjustment of </w:t>
      </w:r>
      <w:r w:rsidR="008C1101" w:rsidRPr="001D58FE">
        <w:rPr>
          <w:rFonts w:ascii="Arial" w:hAnsi="Arial" w:cs="Arial"/>
          <w:i/>
          <w:color w:val="0070C0"/>
          <w:sz w:val="24"/>
          <w:szCs w:val="24"/>
        </w:rPr>
        <w:t xml:space="preserve">$52,979 representing the amount owing to the IESO for 2016 which was filed in </w:t>
      </w:r>
      <w:r w:rsidR="005349F8">
        <w:rPr>
          <w:rFonts w:ascii="Arial" w:hAnsi="Arial" w:cs="Arial"/>
          <w:i/>
          <w:color w:val="0070C0"/>
          <w:sz w:val="24"/>
          <w:szCs w:val="24"/>
        </w:rPr>
        <w:t>February 2017</w:t>
      </w:r>
      <w:r w:rsidR="008C1101" w:rsidRPr="001D58FE">
        <w:rPr>
          <w:rFonts w:ascii="Arial" w:hAnsi="Arial" w:cs="Arial"/>
          <w:i/>
          <w:color w:val="0070C0"/>
          <w:sz w:val="24"/>
          <w:szCs w:val="24"/>
        </w:rPr>
        <w:t>.</w:t>
      </w:r>
    </w:p>
    <w:p w:rsidR="00D35237" w:rsidRPr="00D07F17" w:rsidRDefault="00D35237" w:rsidP="00D35237">
      <w:pPr>
        <w:ind w:left="1440"/>
        <w:rPr>
          <w:rFonts w:ascii="Arial" w:hAnsi="Arial" w:cs="Arial"/>
          <w:sz w:val="24"/>
        </w:rPr>
      </w:pPr>
      <w:r>
        <w:rPr>
          <w:rFonts w:ascii="Arial" w:hAnsi="Arial" w:cs="Arial"/>
          <w:i/>
          <w:color w:val="0070C0"/>
          <w:sz w:val="24"/>
          <w:szCs w:val="24"/>
        </w:rPr>
        <w:t>All of these adjustments would be a combination of 1 &amp; 2 in your question above.</w:t>
      </w:r>
      <w:bookmarkStart w:id="0" w:name="_GoBack"/>
      <w:bookmarkEnd w:id="0"/>
    </w:p>
    <w:p w:rsidR="00D07F17" w:rsidRPr="00D07F17" w:rsidRDefault="00D07F17" w:rsidP="001D58FE">
      <w:pPr>
        <w:ind w:left="1440"/>
        <w:rPr>
          <w:rFonts w:ascii="Arial" w:hAnsi="Arial" w:cs="Arial"/>
          <w:sz w:val="24"/>
        </w:rPr>
      </w:pPr>
    </w:p>
    <w:p w:rsidR="007511AF" w:rsidRPr="008A34FD" w:rsidRDefault="007511AF" w:rsidP="008A34FD">
      <w:pPr>
        <w:rPr>
          <w:rFonts w:ascii="Arial" w:hAnsi="Arial" w:cs="Arial"/>
          <w:sz w:val="24"/>
          <w:szCs w:val="24"/>
        </w:rPr>
      </w:pPr>
    </w:p>
    <w:p w:rsidR="007511AF" w:rsidRPr="007511AF" w:rsidRDefault="007511AF" w:rsidP="007511AF">
      <w:pPr>
        <w:rPr>
          <w:rFonts w:ascii="Arial" w:hAnsi="Arial" w:cs="Arial"/>
          <w:sz w:val="24"/>
          <w:szCs w:val="24"/>
        </w:rPr>
      </w:pPr>
    </w:p>
    <w:sectPr w:rsidR="007511AF" w:rsidRPr="007511AF"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A09"/>
    <w:multiLevelType w:val="hybridMultilevel"/>
    <w:tmpl w:val="7A0E0666"/>
    <w:lvl w:ilvl="0" w:tplc="DD9057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406CAD"/>
    <w:multiLevelType w:val="hybridMultilevel"/>
    <w:tmpl w:val="AD4A6B12"/>
    <w:lvl w:ilvl="0" w:tplc="1009000F">
      <w:start w:val="1"/>
      <w:numFmt w:val="decimal"/>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EB6E1D"/>
    <w:multiLevelType w:val="hybridMultilevel"/>
    <w:tmpl w:val="29C6E57C"/>
    <w:lvl w:ilvl="0" w:tplc="C0087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15706"/>
    <w:multiLevelType w:val="hybridMultilevel"/>
    <w:tmpl w:val="7562C4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8AB2E9D"/>
    <w:multiLevelType w:val="hybridMultilevel"/>
    <w:tmpl w:val="D0420B82"/>
    <w:lvl w:ilvl="0" w:tplc="1A9C59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95E0285"/>
    <w:multiLevelType w:val="hybridMultilevel"/>
    <w:tmpl w:val="97DA1690"/>
    <w:lvl w:ilvl="0" w:tplc="1009001B">
      <w:start w:val="1"/>
      <w:numFmt w:val="lowerRoman"/>
      <w:lvlText w:val="%1."/>
      <w:lvlJc w:val="right"/>
      <w:pPr>
        <w:ind w:left="1440" w:hanging="360"/>
      </w:pPr>
    </w:lvl>
    <w:lvl w:ilvl="1" w:tplc="10090011">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58EF01AD"/>
    <w:multiLevelType w:val="hybridMultilevel"/>
    <w:tmpl w:val="11C2A5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3F31280"/>
    <w:multiLevelType w:val="hybridMultilevel"/>
    <w:tmpl w:val="1684146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77961362"/>
    <w:multiLevelType w:val="hybridMultilevel"/>
    <w:tmpl w:val="4B24F404"/>
    <w:lvl w:ilvl="0" w:tplc="BC72D97E">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33"/>
    <w:rsid w:val="0007239A"/>
    <w:rsid w:val="001D58FE"/>
    <w:rsid w:val="002A49A2"/>
    <w:rsid w:val="00383540"/>
    <w:rsid w:val="00412DC6"/>
    <w:rsid w:val="004F52D6"/>
    <w:rsid w:val="005349F8"/>
    <w:rsid w:val="0071540A"/>
    <w:rsid w:val="00722AFA"/>
    <w:rsid w:val="00746080"/>
    <w:rsid w:val="007511AF"/>
    <w:rsid w:val="008A34FD"/>
    <w:rsid w:val="008C1101"/>
    <w:rsid w:val="00A5549D"/>
    <w:rsid w:val="00A926EA"/>
    <w:rsid w:val="00AA06D9"/>
    <w:rsid w:val="00AC22CF"/>
    <w:rsid w:val="00B25576"/>
    <w:rsid w:val="00B34332"/>
    <w:rsid w:val="00C65356"/>
    <w:rsid w:val="00D07F17"/>
    <w:rsid w:val="00D35237"/>
    <w:rsid w:val="00E55999"/>
    <w:rsid w:val="00E63633"/>
    <w:rsid w:val="00E91DF8"/>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4B58"/>
  <w15:docId w15:val="{5194EE6F-E4ED-4D13-9E80-4579D3D8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FA"/>
    <w:rPr>
      <w:rFonts w:ascii="Tahoma" w:hAnsi="Tahoma" w:cs="Tahoma"/>
      <w:sz w:val="16"/>
      <w:szCs w:val="16"/>
    </w:rPr>
  </w:style>
  <w:style w:type="paragraph" w:styleId="ListParagraph">
    <w:name w:val="List Paragraph"/>
    <w:basedOn w:val="Normal"/>
    <w:uiPriority w:val="34"/>
    <w:qFormat/>
    <w:rsid w:val="00722AFA"/>
    <w:pPr>
      <w:ind w:left="720"/>
      <w:contextualSpacing/>
    </w:pPr>
  </w:style>
  <w:style w:type="paragraph" w:styleId="NormalWeb">
    <w:name w:val="Normal (Web)"/>
    <w:basedOn w:val="Normal"/>
    <w:uiPriority w:val="99"/>
    <w:semiHidden/>
    <w:unhideWhenUsed/>
    <w:rsid w:val="0071540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823">
      <w:bodyDiv w:val="1"/>
      <w:marLeft w:val="0"/>
      <w:marRight w:val="0"/>
      <w:marTop w:val="0"/>
      <w:marBottom w:val="0"/>
      <w:divBdr>
        <w:top w:val="none" w:sz="0" w:space="0" w:color="auto"/>
        <w:left w:val="none" w:sz="0" w:space="0" w:color="auto"/>
        <w:bottom w:val="none" w:sz="0" w:space="0" w:color="auto"/>
        <w:right w:val="none" w:sz="0" w:space="0" w:color="auto"/>
      </w:divBdr>
    </w:div>
    <w:div w:id="158290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Wang</dc:creator>
  <cp:lastModifiedBy>Kelly McCann</cp:lastModifiedBy>
  <cp:revision>5</cp:revision>
  <dcterms:created xsi:type="dcterms:W3CDTF">2017-09-07T22:21:00Z</dcterms:created>
  <dcterms:modified xsi:type="dcterms:W3CDTF">2017-09-08T15:04:00Z</dcterms:modified>
</cp:coreProperties>
</file>