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3D6" w:rsidRPr="00815118" w:rsidRDefault="008615F2">
      <w:pPr>
        <w:rPr>
          <w:rFonts w:ascii="Arial" w:hAnsi="Arial" w:cs="Arial"/>
          <w:b/>
          <w:sz w:val="24"/>
          <w:szCs w:val="24"/>
          <w:u w:val="single"/>
        </w:rPr>
      </w:pPr>
      <w:r w:rsidRPr="00815118">
        <w:rPr>
          <w:rFonts w:ascii="Arial" w:hAnsi="Arial" w:cs="Arial"/>
          <w:b/>
          <w:sz w:val="24"/>
          <w:szCs w:val="24"/>
          <w:u w:val="single"/>
        </w:rPr>
        <w:t xml:space="preserve">Welland </w:t>
      </w:r>
      <w:r w:rsidR="00901FCD">
        <w:rPr>
          <w:rFonts w:ascii="Arial" w:hAnsi="Arial" w:cs="Arial"/>
          <w:b/>
          <w:sz w:val="24"/>
          <w:szCs w:val="24"/>
          <w:u w:val="single"/>
        </w:rPr>
        <w:t xml:space="preserve">Hydro </w:t>
      </w:r>
      <w:r w:rsidRPr="00815118">
        <w:rPr>
          <w:rFonts w:ascii="Arial" w:hAnsi="Arial" w:cs="Arial"/>
          <w:b/>
          <w:sz w:val="24"/>
          <w:szCs w:val="24"/>
          <w:u w:val="single"/>
        </w:rPr>
        <w:t>Questions</w:t>
      </w:r>
    </w:p>
    <w:p w:rsidR="00B615BA" w:rsidRPr="00B615BA" w:rsidRDefault="008615F2" w:rsidP="00B615BA">
      <w:pPr>
        <w:pStyle w:val="ListParagraph"/>
        <w:numPr>
          <w:ilvl w:val="0"/>
          <w:numId w:val="1"/>
        </w:numPr>
        <w:jc w:val="both"/>
        <w:rPr>
          <w:rFonts w:ascii="Arial" w:hAnsi="Arial" w:cs="Arial"/>
          <w:sz w:val="24"/>
          <w:szCs w:val="24"/>
        </w:rPr>
      </w:pPr>
      <w:r w:rsidRPr="00815118">
        <w:rPr>
          <w:rFonts w:ascii="Arial" w:hAnsi="Arial" w:cs="Arial"/>
          <w:sz w:val="24"/>
          <w:szCs w:val="24"/>
        </w:rPr>
        <w:t xml:space="preserve">Welland Hydro </w:t>
      </w:r>
      <w:r w:rsidR="00815207" w:rsidRPr="00815118">
        <w:rPr>
          <w:rFonts w:ascii="Arial" w:hAnsi="Arial" w:cs="Arial"/>
          <w:sz w:val="24"/>
          <w:szCs w:val="24"/>
        </w:rPr>
        <w:t xml:space="preserve">indicated that the billed loss factor is 1.0532 and the actual loss factor is 1.0451 for 2016. The difference </w:t>
      </w:r>
      <w:r w:rsidR="0037694A">
        <w:rPr>
          <w:rFonts w:ascii="Arial" w:hAnsi="Arial" w:cs="Arial"/>
          <w:sz w:val="24"/>
          <w:szCs w:val="24"/>
        </w:rPr>
        <w:t>between</w:t>
      </w:r>
      <w:r w:rsidR="00815207" w:rsidRPr="00815118">
        <w:rPr>
          <w:rFonts w:ascii="Arial" w:hAnsi="Arial" w:cs="Arial"/>
          <w:sz w:val="24"/>
          <w:szCs w:val="24"/>
        </w:rPr>
        <w:t xml:space="preserve"> </w:t>
      </w:r>
      <w:r w:rsidR="0037694A">
        <w:rPr>
          <w:rFonts w:ascii="Arial" w:hAnsi="Arial" w:cs="Arial"/>
          <w:sz w:val="24"/>
          <w:szCs w:val="24"/>
        </w:rPr>
        <w:t xml:space="preserve">the </w:t>
      </w:r>
      <w:r w:rsidR="00815207" w:rsidRPr="00815118">
        <w:rPr>
          <w:rFonts w:ascii="Arial" w:hAnsi="Arial" w:cs="Arial"/>
          <w:sz w:val="24"/>
          <w:szCs w:val="24"/>
        </w:rPr>
        <w:t xml:space="preserve">loss factor </w:t>
      </w:r>
      <w:r w:rsidR="0037694A">
        <w:rPr>
          <w:rFonts w:ascii="Arial" w:hAnsi="Arial" w:cs="Arial"/>
          <w:sz w:val="24"/>
          <w:szCs w:val="24"/>
        </w:rPr>
        <w:t>used to bill and the actual loss factor has been included as</w:t>
      </w:r>
      <w:r w:rsidR="00815207" w:rsidRPr="00815118">
        <w:rPr>
          <w:rFonts w:ascii="Arial" w:hAnsi="Arial" w:cs="Arial"/>
          <w:sz w:val="24"/>
          <w:szCs w:val="24"/>
        </w:rPr>
        <w:t xml:space="preserve"> reconciling item 7. In the GA Analysis Workform, the calculated loss factor (cell F59/D26) is 1.017. Please compare the calculated loss factor</w:t>
      </w:r>
      <w:r w:rsidR="00CD31F3">
        <w:rPr>
          <w:rFonts w:ascii="Arial" w:hAnsi="Arial" w:cs="Arial"/>
          <w:sz w:val="24"/>
          <w:szCs w:val="24"/>
        </w:rPr>
        <w:t xml:space="preserve"> of 1.017</w:t>
      </w:r>
      <w:r w:rsidR="00815207" w:rsidRPr="00815118">
        <w:rPr>
          <w:rFonts w:ascii="Arial" w:hAnsi="Arial" w:cs="Arial"/>
          <w:sz w:val="24"/>
          <w:szCs w:val="24"/>
        </w:rPr>
        <w:t xml:space="preserve"> to the </w:t>
      </w:r>
      <w:r w:rsidR="00CD31F3">
        <w:rPr>
          <w:rFonts w:ascii="Arial" w:hAnsi="Arial" w:cs="Arial"/>
          <w:sz w:val="24"/>
          <w:szCs w:val="24"/>
        </w:rPr>
        <w:t xml:space="preserve">actual loss factor of </w:t>
      </w:r>
      <w:r w:rsidR="00815207" w:rsidRPr="00815118">
        <w:rPr>
          <w:rFonts w:ascii="Arial" w:hAnsi="Arial" w:cs="Arial"/>
          <w:sz w:val="24"/>
          <w:szCs w:val="24"/>
        </w:rPr>
        <w:t xml:space="preserve">1.0451 and revise the reconciling item </w:t>
      </w:r>
      <w:r w:rsidR="00CD31F3">
        <w:rPr>
          <w:rFonts w:ascii="Arial" w:hAnsi="Arial" w:cs="Arial"/>
          <w:sz w:val="24"/>
          <w:szCs w:val="24"/>
        </w:rPr>
        <w:t xml:space="preserve">and/or the monthly non-RPP Class B customer consumption volume data </w:t>
      </w:r>
      <w:r w:rsidR="00815207" w:rsidRPr="00815118">
        <w:rPr>
          <w:rFonts w:ascii="Arial" w:hAnsi="Arial" w:cs="Arial"/>
          <w:sz w:val="24"/>
          <w:szCs w:val="24"/>
        </w:rPr>
        <w:t>as necessary.</w:t>
      </w:r>
      <w:r w:rsidR="0037694A">
        <w:rPr>
          <w:rFonts w:ascii="Arial" w:hAnsi="Arial" w:cs="Arial"/>
          <w:sz w:val="24"/>
          <w:szCs w:val="24"/>
        </w:rPr>
        <w:t xml:space="preserve"> </w:t>
      </w:r>
    </w:p>
    <w:p w:rsidR="00A72CB0" w:rsidRDefault="00A72CB0" w:rsidP="00AB14C2">
      <w:pPr>
        <w:ind w:firstLine="720"/>
        <w:rPr>
          <w:rFonts w:ascii="Arial" w:hAnsi="Arial" w:cs="Arial"/>
          <w:b/>
          <w:sz w:val="24"/>
          <w:szCs w:val="24"/>
        </w:rPr>
      </w:pPr>
      <w:r w:rsidRPr="00AB14C2">
        <w:rPr>
          <w:rFonts w:ascii="Arial" w:hAnsi="Arial" w:cs="Arial"/>
          <w:b/>
          <w:sz w:val="24"/>
          <w:szCs w:val="24"/>
        </w:rPr>
        <w:t>Response:</w:t>
      </w:r>
    </w:p>
    <w:p w:rsidR="00162F0D" w:rsidRDefault="00AB14C2" w:rsidP="00162F0D">
      <w:pPr>
        <w:spacing w:before="240"/>
        <w:ind w:left="720"/>
        <w:jc w:val="both"/>
        <w:rPr>
          <w:rFonts w:ascii="Arial" w:hAnsi="Arial" w:cs="Arial"/>
          <w:b/>
          <w:sz w:val="24"/>
          <w:szCs w:val="24"/>
        </w:rPr>
      </w:pPr>
      <w:r>
        <w:rPr>
          <w:rFonts w:ascii="Arial" w:hAnsi="Arial" w:cs="Arial"/>
          <w:b/>
          <w:sz w:val="24"/>
          <w:szCs w:val="24"/>
        </w:rPr>
        <w:t>After reviewing the Consumption Data Excluding for Loss Factor</w:t>
      </w:r>
      <w:r w:rsidR="00DE7E01">
        <w:rPr>
          <w:rFonts w:ascii="Arial" w:hAnsi="Arial" w:cs="Arial"/>
          <w:b/>
          <w:sz w:val="24"/>
          <w:szCs w:val="24"/>
        </w:rPr>
        <w:t>,</w:t>
      </w:r>
      <w:r>
        <w:rPr>
          <w:rFonts w:ascii="Arial" w:hAnsi="Arial" w:cs="Arial"/>
          <w:b/>
          <w:sz w:val="24"/>
          <w:szCs w:val="24"/>
        </w:rPr>
        <w:t xml:space="preserve"> Welland Hydro identified a classification error between RPP and non-RPP Class B customer consumption volume data in the 2016 RRR reporting.</w:t>
      </w:r>
      <w:r w:rsidR="00DE7E01">
        <w:rPr>
          <w:rFonts w:ascii="Arial" w:hAnsi="Arial" w:cs="Arial"/>
          <w:b/>
          <w:sz w:val="24"/>
          <w:szCs w:val="24"/>
        </w:rPr>
        <w:t xml:space="preserve">  An RPP customer class within interval metered customers w</w:t>
      </w:r>
      <w:r w:rsidR="00115D68">
        <w:rPr>
          <w:rFonts w:ascii="Arial" w:hAnsi="Arial" w:cs="Arial"/>
          <w:b/>
          <w:sz w:val="24"/>
          <w:szCs w:val="24"/>
        </w:rPr>
        <w:t>as</w:t>
      </w:r>
      <w:r w:rsidR="00DE7E01">
        <w:rPr>
          <w:rFonts w:ascii="Arial" w:hAnsi="Arial" w:cs="Arial"/>
          <w:b/>
          <w:sz w:val="24"/>
          <w:szCs w:val="24"/>
        </w:rPr>
        <w:t xml:space="preserve"> incorrectly recorded as non-RPP Class B consumption.  Welland Hydro has revised the GA Analysis Workform for this adjustment.  The revised loss factor (cell F59/D26) is 1.0362.  The non-RPP</w:t>
      </w:r>
      <w:r w:rsidR="00115D68">
        <w:rPr>
          <w:rFonts w:ascii="Arial" w:hAnsi="Arial" w:cs="Arial"/>
          <w:b/>
          <w:sz w:val="24"/>
          <w:szCs w:val="24"/>
        </w:rPr>
        <w:t xml:space="preserve"> Class B</w:t>
      </w:r>
      <w:r w:rsidR="00DE7E01">
        <w:rPr>
          <w:rFonts w:ascii="Arial" w:hAnsi="Arial" w:cs="Arial"/>
          <w:b/>
          <w:sz w:val="24"/>
          <w:szCs w:val="24"/>
        </w:rPr>
        <w:t xml:space="preserve"> consumption includes both primary and secondary metered customers which would result in a lower loss factor compared to the overall loss factor of 1.0451.  Welland Hydro has adjusted item #7 in the GA Analysis Workform to reflect the revised loss factor</w:t>
      </w:r>
      <w:r w:rsidR="00115D68">
        <w:rPr>
          <w:rFonts w:ascii="Arial" w:hAnsi="Arial" w:cs="Arial"/>
          <w:b/>
          <w:sz w:val="24"/>
          <w:szCs w:val="24"/>
        </w:rPr>
        <w:t xml:space="preserve"> for non-RPP Class B consumption</w:t>
      </w:r>
      <w:r w:rsidR="00DE7E01">
        <w:rPr>
          <w:rFonts w:ascii="Arial" w:hAnsi="Arial" w:cs="Arial"/>
          <w:b/>
          <w:sz w:val="24"/>
          <w:szCs w:val="24"/>
        </w:rPr>
        <w:t xml:space="preserve">.  </w:t>
      </w:r>
    </w:p>
    <w:p w:rsidR="00CC7673" w:rsidRDefault="0038694A" w:rsidP="002746B6">
      <w:pPr>
        <w:spacing w:before="240"/>
        <w:ind w:left="720"/>
        <w:jc w:val="both"/>
        <w:rPr>
          <w:rFonts w:ascii="Arial" w:hAnsi="Arial" w:cs="Arial"/>
          <w:b/>
          <w:sz w:val="24"/>
          <w:szCs w:val="24"/>
        </w:rPr>
      </w:pPr>
      <w:r>
        <w:rPr>
          <w:rFonts w:ascii="Arial" w:hAnsi="Arial" w:cs="Arial"/>
          <w:b/>
          <w:sz w:val="24"/>
          <w:szCs w:val="24"/>
        </w:rPr>
        <w:t xml:space="preserve">As a result of this classification error, Tab 4 of the 2018 IRM Rate Generator Model </w:t>
      </w:r>
      <w:r w:rsidR="002746B6">
        <w:rPr>
          <w:rFonts w:ascii="Arial" w:hAnsi="Arial" w:cs="Arial"/>
          <w:b/>
          <w:sz w:val="24"/>
          <w:szCs w:val="24"/>
        </w:rPr>
        <w:t>has been</w:t>
      </w:r>
      <w:r>
        <w:rPr>
          <w:rFonts w:ascii="Arial" w:hAnsi="Arial" w:cs="Arial"/>
          <w:b/>
          <w:sz w:val="24"/>
          <w:szCs w:val="24"/>
        </w:rPr>
        <w:t xml:space="preserve"> updated to reflect the revised non-RPP consumption.  Metered kWh for Non-RPP Customers (excluding WMP) for the General Service 50 to 4,000</w:t>
      </w:r>
      <w:r w:rsidR="002746B6">
        <w:rPr>
          <w:rFonts w:ascii="Arial" w:hAnsi="Arial" w:cs="Arial"/>
          <w:b/>
          <w:sz w:val="24"/>
          <w:szCs w:val="24"/>
        </w:rPr>
        <w:t xml:space="preserve"> KW Service Classification has</w:t>
      </w:r>
      <w:r>
        <w:rPr>
          <w:rFonts w:ascii="Arial" w:hAnsi="Arial" w:cs="Arial"/>
          <w:b/>
          <w:sz w:val="24"/>
          <w:szCs w:val="24"/>
        </w:rPr>
        <w:t xml:space="preserve"> be</w:t>
      </w:r>
      <w:r w:rsidR="002746B6">
        <w:rPr>
          <w:rFonts w:ascii="Arial" w:hAnsi="Arial" w:cs="Arial"/>
          <w:b/>
          <w:sz w:val="24"/>
          <w:szCs w:val="24"/>
        </w:rPr>
        <w:t>en</w:t>
      </w:r>
      <w:r>
        <w:rPr>
          <w:rFonts w:ascii="Arial" w:hAnsi="Arial" w:cs="Arial"/>
          <w:b/>
          <w:sz w:val="24"/>
          <w:szCs w:val="24"/>
        </w:rPr>
        <w:t xml:space="preserve"> revised to 125,475,310 compared to the previous amount of 128,010,710.</w:t>
      </w:r>
      <w:r w:rsidR="00CC7673">
        <w:rPr>
          <w:rFonts w:ascii="Arial" w:hAnsi="Arial" w:cs="Arial"/>
          <w:b/>
          <w:sz w:val="24"/>
          <w:szCs w:val="24"/>
        </w:rPr>
        <w:t xml:space="preserve">  </w:t>
      </w:r>
      <w:r w:rsidR="002746B6">
        <w:rPr>
          <w:rFonts w:ascii="Arial" w:hAnsi="Arial" w:cs="Arial"/>
          <w:b/>
          <w:sz w:val="24"/>
          <w:szCs w:val="24"/>
        </w:rPr>
        <w:t>Tab 6.1a of the Model has also been updated to reflect the revised Total Class B Consumption for Years During Balance Accumulation (Non-RPP Consumption less WMP Consumption and Consumption for Class A customers who were Class A for partial and full year) to 136,194,657 from 138,730,057.</w:t>
      </w:r>
    </w:p>
    <w:p w:rsidR="0038694A" w:rsidRDefault="002746B6" w:rsidP="00162F0D">
      <w:pPr>
        <w:spacing w:before="240"/>
        <w:ind w:left="720"/>
        <w:jc w:val="both"/>
        <w:rPr>
          <w:rFonts w:ascii="Arial" w:hAnsi="Arial" w:cs="Arial"/>
          <w:b/>
          <w:sz w:val="24"/>
          <w:szCs w:val="24"/>
        </w:rPr>
      </w:pPr>
      <w:r>
        <w:rPr>
          <w:rFonts w:ascii="Arial" w:hAnsi="Arial" w:cs="Arial"/>
          <w:b/>
          <w:sz w:val="24"/>
          <w:szCs w:val="24"/>
        </w:rPr>
        <w:t>The impact of these revisions is</w:t>
      </w:r>
      <w:r w:rsidR="0038694A">
        <w:rPr>
          <w:rFonts w:ascii="Arial" w:hAnsi="Arial" w:cs="Arial"/>
          <w:b/>
          <w:sz w:val="24"/>
          <w:szCs w:val="24"/>
        </w:rPr>
        <w:t xml:space="preserve"> described in Question 3 below.</w:t>
      </w:r>
    </w:p>
    <w:p w:rsidR="00B615BA" w:rsidRDefault="00B615BA" w:rsidP="00162F0D">
      <w:pPr>
        <w:spacing w:before="240"/>
        <w:ind w:left="720"/>
        <w:jc w:val="both"/>
        <w:rPr>
          <w:rFonts w:ascii="Arial" w:hAnsi="Arial" w:cs="Arial"/>
          <w:b/>
          <w:sz w:val="24"/>
          <w:szCs w:val="24"/>
        </w:rPr>
      </w:pPr>
    </w:p>
    <w:p w:rsidR="00B615BA" w:rsidRDefault="00B615BA" w:rsidP="00162F0D">
      <w:pPr>
        <w:spacing w:before="240"/>
        <w:ind w:left="720"/>
        <w:jc w:val="both"/>
        <w:rPr>
          <w:rFonts w:ascii="Arial" w:hAnsi="Arial" w:cs="Arial"/>
          <w:b/>
          <w:sz w:val="24"/>
          <w:szCs w:val="24"/>
        </w:rPr>
      </w:pPr>
    </w:p>
    <w:p w:rsidR="00B615BA" w:rsidRDefault="00B615BA" w:rsidP="00162F0D">
      <w:pPr>
        <w:spacing w:before="240"/>
        <w:ind w:left="720"/>
        <w:jc w:val="both"/>
        <w:rPr>
          <w:rFonts w:ascii="Arial" w:hAnsi="Arial" w:cs="Arial"/>
          <w:b/>
          <w:sz w:val="24"/>
          <w:szCs w:val="24"/>
        </w:rPr>
      </w:pPr>
    </w:p>
    <w:p w:rsidR="00B615BA" w:rsidRPr="00162F0D" w:rsidRDefault="00B615BA" w:rsidP="00162F0D">
      <w:pPr>
        <w:spacing w:before="240"/>
        <w:ind w:left="720"/>
        <w:jc w:val="both"/>
        <w:rPr>
          <w:rFonts w:ascii="Arial" w:hAnsi="Arial" w:cs="Arial"/>
          <w:b/>
          <w:sz w:val="24"/>
          <w:szCs w:val="24"/>
        </w:rPr>
      </w:pPr>
    </w:p>
    <w:p w:rsidR="00815118" w:rsidRDefault="00815118" w:rsidP="00A72CB0">
      <w:pPr>
        <w:pStyle w:val="ListParagraph"/>
        <w:numPr>
          <w:ilvl w:val="0"/>
          <w:numId w:val="1"/>
        </w:numPr>
        <w:spacing w:after="200" w:line="276" w:lineRule="auto"/>
        <w:jc w:val="both"/>
        <w:rPr>
          <w:rFonts w:ascii="Arial" w:hAnsi="Arial" w:cs="Arial"/>
          <w:sz w:val="24"/>
          <w:szCs w:val="24"/>
        </w:rPr>
      </w:pPr>
      <w:r w:rsidRPr="00815118">
        <w:rPr>
          <w:rFonts w:ascii="Arial" w:hAnsi="Arial" w:cs="Arial"/>
          <w:sz w:val="24"/>
          <w:szCs w:val="24"/>
        </w:rPr>
        <w:lastRenderedPageBreak/>
        <w:t xml:space="preserve">For reconciling 3a and 3b, </w:t>
      </w:r>
      <w:r>
        <w:rPr>
          <w:rFonts w:ascii="Arial" w:hAnsi="Arial" w:cs="Arial"/>
          <w:sz w:val="24"/>
          <w:szCs w:val="24"/>
        </w:rPr>
        <w:t>long term load transfers, p</w:t>
      </w:r>
      <w:r w:rsidRPr="00815118">
        <w:rPr>
          <w:rFonts w:ascii="Arial" w:hAnsi="Arial" w:cs="Arial"/>
          <w:sz w:val="24"/>
          <w:szCs w:val="24"/>
        </w:rPr>
        <w:t>lease explain the relationship of the long</w:t>
      </w:r>
      <w:r w:rsidR="00A72CB0">
        <w:rPr>
          <w:rFonts w:ascii="Arial" w:hAnsi="Arial" w:cs="Arial"/>
          <w:sz w:val="24"/>
          <w:szCs w:val="24"/>
        </w:rPr>
        <w:t>-</w:t>
      </w:r>
      <w:r w:rsidRPr="00815118">
        <w:rPr>
          <w:rFonts w:ascii="Arial" w:hAnsi="Arial" w:cs="Arial"/>
          <w:sz w:val="24"/>
          <w:szCs w:val="24"/>
        </w:rPr>
        <w:t>term load transfers and how the amounts are accounted for</w:t>
      </w:r>
      <w:r w:rsidR="00175B32">
        <w:rPr>
          <w:rFonts w:ascii="Arial" w:hAnsi="Arial" w:cs="Arial"/>
          <w:sz w:val="24"/>
          <w:szCs w:val="24"/>
        </w:rPr>
        <w:t xml:space="preserve"> in the financial records</w:t>
      </w:r>
      <w:r w:rsidRPr="00815118">
        <w:rPr>
          <w:rFonts w:ascii="Arial" w:hAnsi="Arial" w:cs="Arial"/>
          <w:sz w:val="24"/>
          <w:szCs w:val="24"/>
        </w:rPr>
        <w:t>.</w:t>
      </w:r>
    </w:p>
    <w:p w:rsidR="00A72CB0" w:rsidRPr="00A72CB0" w:rsidRDefault="00A72CB0" w:rsidP="00A72CB0">
      <w:pPr>
        <w:spacing w:after="200" w:line="276" w:lineRule="auto"/>
        <w:ind w:firstLine="720"/>
        <w:rPr>
          <w:rFonts w:ascii="Arial" w:hAnsi="Arial" w:cs="Arial"/>
          <w:b/>
          <w:sz w:val="24"/>
          <w:szCs w:val="24"/>
        </w:rPr>
      </w:pPr>
      <w:r w:rsidRPr="00A72CB0">
        <w:rPr>
          <w:rFonts w:ascii="Arial" w:hAnsi="Arial" w:cs="Arial"/>
          <w:b/>
          <w:sz w:val="24"/>
          <w:szCs w:val="24"/>
        </w:rPr>
        <w:t>Response:</w:t>
      </w:r>
    </w:p>
    <w:p w:rsidR="00A72CB0" w:rsidRPr="00A72CB0" w:rsidRDefault="00A72CB0" w:rsidP="00A72CB0">
      <w:pPr>
        <w:spacing w:before="240"/>
        <w:ind w:left="720"/>
        <w:jc w:val="both"/>
        <w:rPr>
          <w:rFonts w:ascii="Arial" w:hAnsi="Arial" w:cs="Arial"/>
          <w:b/>
          <w:sz w:val="24"/>
          <w:szCs w:val="24"/>
        </w:rPr>
      </w:pPr>
      <w:r w:rsidRPr="00A72CB0">
        <w:rPr>
          <w:rFonts w:ascii="Arial" w:hAnsi="Arial" w:cs="Arial"/>
          <w:b/>
          <w:sz w:val="24"/>
          <w:szCs w:val="24"/>
        </w:rPr>
        <w:t xml:space="preserve">Welland Hydro supplies approximately 30 customers of three neighbouring LDC’s via load transfers.  Welland Hydro supplies all customers within its original service territory.  The power consumed by these load transfer customers is charged to Welland Hydro on the IESO invoice on a monthly basis.  Welland Hydro does not accrue for load transfer amounts billable to other LDCs in the current year.  In the first quarter of every year, Welland Hydro bills the load transfer LDC for the cost of power for the entire preceding year.  The amount included in line 3a of the GA Analysis Workform represents amounts charged to LDCs for Global Adjustment charges for 2015 which was billed in 2016.  The amount included in line 3b represents amounts charged to LDCs for Global Adjustment charges for 2016 billed in 2017. </w:t>
      </w:r>
    </w:p>
    <w:p w:rsidR="00A72CB0" w:rsidRDefault="00A72CB0" w:rsidP="00A72CB0">
      <w:pPr>
        <w:spacing w:before="240"/>
        <w:ind w:left="720" w:hanging="720"/>
        <w:jc w:val="both"/>
        <w:rPr>
          <w:rFonts w:ascii="Arial" w:hAnsi="Arial" w:cs="Arial"/>
          <w:b/>
          <w:sz w:val="24"/>
          <w:szCs w:val="24"/>
        </w:rPr>
      </w:pPr>
      <w:r w:rsidRPr="00A72CB0">
        <w:rPr>
          <w:rFonts w:ascii="Arial" w:hAnsi="Arial" w:cs="Arial"/>
          <w:b/>
          <w:sz w:val="24"/>
          <w:szCs w:val="24"/>
        </w:rPr>
        <w:tab/>
        <w:t>These adjustments will not be required going forward as these customers were transferred to Welland Hydro in the third quarter of 2017.  Cost of Power from January 1, 2017 to the date of transfer will be billed to LDCs in 2017.</w:t>
      </w:r>
    </w:p>
    <w:p w:rsidR="00B615BA" w:rsidRDefault="00B615BA" w:rsidP="00A72CB0">
      <w:pPr>
        <w:spacing w:before="240"/>
        <w:ind w:left="720" w:hanging="720"/>
        <w:jc w:val="both"/>
        <w:rPr>
          <w:rFonts w:ascii="Arial" w:hAnsi="Arial" w:cs="Arial"/>
          <w:b/>
          <w:sz w:val="24"/>
          <w:szCs w:val="24"/>
        </w:rPr>
      </w:pPr>
    </w:p>
    <w:p w:rsidR="00175B32" w:rsidRDefault="00175B32" w:rsidP="00A72CB0">
      <w:pPr>
        <w:pStyle w:val="ListParagraph"/>
        <w:numPr>
          <w:ilvl w:val="0"/>
          <w:numId w:val="1"/>
        </w:numPr>
        <w:spacing w:after="200" w:line="276" w:lineRule="auto"/>
        <w:jc w:val="both"/>
        <w:rPr>
          <w:rFonts w:ascii="Arial" w:hAnsi="Arial" w:cs="Arial"/>
          <w:sz w:val="24"/>
          <w:szCs w:val="24"/>
        </w:rPr>
      </w:pPr>
      <w:r>
        <w:rPr>
          <w:rFonts w:ascii="Arial" w:hAnsi="Arial" w:cs="Arial"/>
          <w:sz w:val="24"/>
          <w:szCs w:val="24"/>
        </w:rPr>
        <w:t>For reconciling item 4, a balance of $7,879 pertaining to Class A is included in Account 1589. Please remove this balance from the balance requested for disposition.</w:t>
      </w:r>
    </w:p>
    <w:p w:rsidR="00A72CB0" w:rsidRPr="00A72CB0" w:rsidRDefault="00A72CB0" w:rsidP="00A72CB0">
      <w:pPr>
        <w:spacing w:after="200" w:line="276" w:lineRule="auto"/>
        <w:ind w:firstLine="720"/>
        <w:rPr>
          <w:rFonts w:ascii="Arial" w:hAnsi="Arial" w:cs="Arial"/>
          <w:b/>
          <w:sz w:val="24"/>
          <w:szCs w:val="24"/>
        </w:rPr>
      </w:pPr>
      <w:r w:rsidRPr="00A72CB0">
        <w:rPr>
          <w:rFonts w:ascii="Arial" w:hAnsi="Arial" w:cs="Arial"/>
          <w:b/>
          <w:sz w:val="24"/>
          <w:szCs w:val="24"/>
        </w:rPr>
        <w:t>Response:</w:t>
      </w:r>
    </w:p>
    <w:p w:rsidR="00B60A7A" w:rsidRDefault="00A72CB0" w:rsidP="00A72CB0">
      <w:pPr>
        <w:spacing w:before="240"/>
        <w:ind w:left="720"/>
        <w:jc w:val="both"/>
        <w:rPr>
          <w:rFonts w:ascii="Arial" w:hAnsi="Arial" w:cs="Arial"/>
          <w:b/>
          <w:sz w:val="24"/>
          <w:szCs w:val="24"/>
        </w:rPr>
      </w:pPr>
      <w:r w:rsidRPr="00A72CB0">
        <w:rPr>
          <w:rFonts w:ascii="Arial" w:hAnsi="Arial" w:cs="Arial"/>
          <w:b/>
          <w:sz w:val="24"/>
          <w:szCs w:val="24"/>
        </w:rPr>
        <w:t xml:space="preserve">Welland Hydro has removed the balance of $7,879 pertaining to Class A from the amount requested for disposition and adjusted all models accordingly.  This has been reflected as a “Principal Adjustment during 2016” on Tab 3 of the IRM Rate Generator Model.  Tab 6.1 Global Adjustment reflects the revised </w:t>
      </w:r>
      <w:r w:rsidR="00B60A7A">
        <w:rPr>
          <w:rFonts w:ascii="Arial" w:hAnsi="Arial" w:cs="Arial"/>
          <w:b/>
          <w:sz w:val="24"/>
          <w:szCs w:val="24"/>
        </w:rPr>
        <w:t>Total G</w:t>
      </w:r>
      <w:r w:rsidR="007F7227">
        <w:rPr>
          <w:rFonts w:ascii="Arial" w:hAnsi="Arial" w:cs="Arial"/>
          <w:b/>
          <w:sz w:val="24"/>
          <w:szCs w:val="24"/>
        </w:rPr>
        <w:t>lobal Adjustment</w:t>
      </w:r>
      <w:r w:rsidR="00B60A7A">
        <w:rPr>
          <w:rFonts w:ascii="Arial" w:hAnsi="Arial" w:cs="Arial"/>
          <w:b/>
          <w:sz w:val="24"/>
          <w:szCs w:val="24"/>
        </w:rPr>
        <w:t xml:space="preserve"> </w:t>
      </w:r>
      <w:r w:rsidR="007F7227">
        <w:rPr>
          <w:rFonts w:ascii="Arial" w:hAnsi="Arial" w:cs="Arial"/>
          <w:b/>
          <w:sz w:val="24"/>
          <w:szCs w:val="24"/>
        </w:rPr>
        <w:t>b</w:t>
      </w:r>
      <w:r w:rsidR="00B60A7A">
        <w:rPr>
          <w:rFonts w:ascii="Arial" w:hAnsi="Arial" w:cs="Arial"/>
          <w:b/>
          <w:sz w:val="24"/>
          <w:szCs w:val="24"/>
        </w:rPr>
        <w:t xml:space="preserve">alance </w:t>
      </w:r>
      <w:r w:rsidR="008B2550">
        <w:rPr>
          <w:rFonts w:ascii="Arial" w:hAnsi="Arial" w:cs="Arial"/>
          <w:b/>
          <w:sz w:val="24"/>
          <w:szCs w:val="24"/>
        </w:rPr>
        <w:t>to be disposed of as a credit of $1,008,810 compared to the previous credit amount of $1,016,804.</w:t>
      </w:r>
    </w:p>
    <w:p w:rsidR="00B60A7A" w:rsidRDefault="004A6DF0" w:rsidP="00A72CB0">
      <w:pPr>
        <w:spacing w:before="240"/>
        <w:ind w:left="720"/>
        <w:jc w:val="both"/>
        <w:rPr>
          <w:rFonts w:ascii="Arial" w:hAnsi="Arial" w:cs="Arial"/>
          <w:b/>
          <w:sz w:val="24"/>
          <w:szCs w:val="24"/>
        </w:rPr>
      </w:pPr>
      <w:r>
        <w:rPr>
          <w:rFonts w:ascii="Arial" w:hAnsi="Arial" w:cs="Arial"/>
          <w:b/>
          <w:sz w:val="24"/>
          <w:szCs w:val="24"/>
        </w:rPr>
        <w:t xml:space="preserve">The impacts of </w:t>
      </w:r>
      <w:r w:rsidR="008B2550">
        <w:rPr>
          <w:rFonts w:ascii="Arial" w:hAnsi="Arial" w:cs="Arial"/>
          <w:b/>
          <w:sz w:val="24"/>
          <w:szCs w:val="24"/>
        </w:rPr>
        <w:t>removing the balance pertaining to Class A customers, and revising the Non-RPP consumption a</w:t>
      </w:r>
      <w:r w:rsidR="00B615BA">
        <w:rPr>
          <w:rFonts w:ascii="Arial" w:hAnsi="Arial" w:cs="Arial"/>
          <w:b/>
          <w:sz w:val="24"/>
          <w:szCs w:val="24"/>
        </w:rPr>
        <w:t>s described in Question 1 above are shown below</w:t>
      </w:r>
      <w:r w:rsidR="008B2550">
        <w:rPr>
          <w:rFonts w:ascii="Arial" w:hAnsi="Arial" w:cs="Arial"/>
          <w:b/>
          <w:sz w:val="24"/>
          <w:szCs w:val="24"/>
        </w:rPr>
        <w:t>:</w:t>
      </w:r>
    </w:p>
    <w:p w:rsidR="008B2550" w:rsidRDefault="008B2550" w:rsidP="008B2550">
      <w:pPr>
        <w:pStyle w:val="ListParagraph"/>
        <w:numPr>
          <w:ilvl w:val="0"/>
          <w:numId w:val="9"/>
        </w:numPr>
        <w:spacing w:before="240"/>
        <w:jc w:val="both"/>
        <w:rPr>
          <w:rFonts w:ascii="Arial" w:hAnsi="Arial" w:cs="Arial"/>
          <w:b/>
          <w:sz w:val="24"/>
          <w:szCs w:val="24"/>
        </w:rPr>
      </w:pPr>
      <w:r>
        <w:rPr>
          <w:rFonts w:ascii="Arial" w:hAnsi="Arial" w:cs="Arial"/>
          <w:b/>
          <w:sz w:val="24"/>
          <w:szCs w:val="24"/>
        </w:rPr>
        <w:t>The Transition customer’s portion of total consumption is 4.53% compared to the 4.45% previously calculated</w:t>
      </w:r>
    </w:p>
    <w:p w:rsidR="008B2550" w:rsidRDefault="008B2550" w:rsidP="008B2550">
      <w:pPr>
        <w:pStyle w:val="ListParagraph"/>
        <w:numPr>
          <w:ilvl w:val="0"/>
          <w:numId w:val="9"/>
        </w:numPr>
        <w:spacing w:before="240"/>
        <w:jc w:val="both"/>
        <w:rPr>
          <w:rFonts w:ascii="Arial" w:hAnsi="Arial" w:cs="Arial"/>
          <w:b/>
          <w:sz w:val="24"/>
          <w:szCs w:val="24"/>
        </w:rPr>
      </w:pPr>
      <w:r>
        <w:rPr>
          <w:rFonts w:ascii="Arial" w:hAnsi="Arial" w:cs="Arial"/>
          <w:b/>
          <w:sz w:val="24"/>
          <w:szCs w:val="24"/>
        </w:rPr>
        <w:lastRenderedPageBreak/>
        <w:t>The Transition customer’s portion of the Global Adjustment balance is revised to a credit of $45,723 ($</w:t>
      </w:r>
      <w:r w:rsidR="007F7227">
        <w:rPr>
          <w:rFonts w:ascii="Arial" w:hAnsi="Arial" w:cs="Arial"/>
          <w:b/>
          <w:sz w:val="24"/>
          <w:szCs w:val="24"/>
        </w:rPr>
        <w:t xml:space="preserve">3,810 per month) </w:t>
      </w:r>
      <w:r>
        <w:rPr>
          <w:rFonts w:ascii="Arial" w:hAnsi="Arial" w:cs="Arial"/>
          <w:b/>
          <w:sz w:val="24"/>
          <w:szCs w:val="24"/>
        </w:rPr>
        <w:t>compared to the previous credit of $45,243</w:t>
      </w:r>
      <w:r w:rsidR="007F7227">
        <w:rPr>
          <w:rFonts w:ascii="Arial" w:hAnsi="Arial" w:cs="Arial"/>
          <w:b/>
          <w:sz w:val="24"/>
          <w:szCs w:val="24"/>
        </w:rPr>
        <w:t xml:space="preserve"> ($3,770 per month)</w:t>
      </w:r>
    </w:p>
    <w:p w:rsidR="007F7227" w:rsidRDefault="007F7227" w:rsidP="008B2550">
      <w:pPr>
        <w:pStyle w:val="ListParagraph"/>
        <w:numPr>
          <w:ilvl w:val="0"/>
          <w:numId w:val="9"/>
        </w:numPr>
        <w:spacing w:before="240"/>
        <w:jc w:val="both"/>
        <w:rPr>
          <w:rFonts w:ascii="Arial" w:hAnsi="Arial" w:cs="Arial"/>
          <w:b/>
          <w:sz w:val="24"/>
          <w:szCs w:val="24"/>
        </w:rPr>
      </w:pPr>
      <w:r>
        <w:rPr>
          <w:rFonts w:ascii="Arial" w:hAnsi="Arial" w:cs="Arial"/>
          <w:b/>
          <w:sz w:val="24"/>
          <w:szCs w:val="24"/>
        </w:rPr>
        <w:t>The Global Adjustment Balance to be disposed to Current Class B customers through Rate Rider is revised to a credit of $963,086 compared to the previous credit of $971,561</w:t>
      </w:r>
    </w:p>
    <w:p w:rsidR="007F7227" w:rsidRPr="008B2550" w:rsidRDefault="007F7227" w:rsidP="008B2550">
      <w:pPr>
        <w:pStyle w:val="ListParagraph"/>
        <w:numPr>
          <w:ilvl w:val="0"/>
          <w:numId w:val="9"/>
        </w:numPr>
        <w:spacing w:before="240"/>
        <w:jc w:val="both"/>
        <w:rPr>
          <w:rFonts w:ascii="Arial" w:hAnsi="Arial" w:cs="Arial"/>
          <w:b/>
          <w:sz w:val="24"/>
          <w:szCs w:val="24"/>
        </w:rPr>
      </w:pPr>
      <w:r>
        <w:rPr>
          <w:rFonts w:ascii="Arial" w:hAnsi="Arial" w:cs="Arial"/>
          <w:b/>
          <w:sz w:val="24"/>
          <w:szCs w:val="24"/>
        </w:rPr>
        <w:t xml:space="preserve">The Global Adjustment Rate Rider for all </w:t>
      </w:r>
      <w:r w:rsidR="00B615BA">
        <w:rPr>
          <w:rFonts w:ascii="Arial" w:hAnsi="Arial" w:cs="Arial"/>
          <w:b/>
          <w:sz w:val="24"/>
          <w:szCs w:val="24"/>
        </w:rPr>
        <w:t xml:space="preserve">Class B Non-Transition </w:t>
      </w:r>
      <w:r>
        <w:rPr>
          <w:rFonts w:ascii="Arial" w:hAnsi="Arial" w:cs="Arial"/>
          <w:b/>
          <w:sz w:val="24"/>
          <w:szCs w:val="24"/>
        </w:rPr>
        <w:t>Customer Classes is revised to -$0.0074 per kWh compared to the previously filed Rate Rider of -$0.0073 per kWh</w:t>
      </w:r>
    </w:p>
    <w:p w:rsidR="00162F0D" w:rsidRDefault="00A72CB0" w:rsidP="00162F0D">
      <w:pPr>
        <w:spacing w:before="240"/>
        <w:ind w:left="720"/>
        <w:jc w:val="both"/>
        <w:rPr>
          <w:rFonts w:ascii="Arial" w:hAnsi="Arial" w:cs="Arial"/>
          <w:b/>
          <w:sz w:val="24"/>
          <w:szCs w:val="24"/>
        </w:rPr>
      </w:pPr>
      <w:r w:rsidRPr="00A72CB0">
        <w:rPr>
          <w:rFonts w:ascii="Arial" w:hAnsi="Arial" w:cs="Arial"/>
          <w:b/>
          <w:sz w:val="24"/>
          <w:szCs w:val="24"/>
        </w:rPr>
        <w:t>This change has also been reflected on the GA Analysis Workform as a revision to the “Net Change in Principal Balance in the GL”.  The revised balance is a credit of $988,409 compared to the previously filed credit of $996,288.  Reconciling item 4 has also been removed as it is no longer applicable.</w:t>
      </w:r>
    </w:p>
    <w:p w:rsidR="00B615BA" w:rsidRPr="00162F0D" w:rsidRDefault="00B615BA" w:rsidP="00162F0D">
      <w:pPr>
        <w:spacing w:before="240"/>
        <w:ind w:left="720"/>
        <w:jc w:val="both"/>
        <w:rPr>
          <w:rFonts w:ascii="Arial" w:hAnsi="Arial" w:cs="Arial"/>
          <w:b/>
          <w:sz w:val="24"/>
          <w:szCs w:val="24"/>
        </w:rPr>
      </w:pPr>
    </w:p>
    <w:p w:rsidR="00CE0935" w:rsidRDefault="00CE0935" w:rsidP="00A72CB0">
      <w:pPr>
        <w:pStyle w:val="ListParagraph"/>
        <w:numPr>
          <w:ilvl w:val="0"/>
          <w:numId w:val="1"/>
        </w:numPr>
        <w:spacing w:after="200" w:line="276" w:lineRule="auto"/>
        <w:jc w:val="both"/>
        <w:rPr>
          <w:rFonts w:ascii="Arial" w:hAnsi="Arial" w:cs="Arial"/>
          <w:sz w:val="24"/>
          <w:szCs w:val="24"/>
        </w:rPr>
      </w:pPr>
      <w:r w:rsidRPr="000162D6">
        <w:rPr>
          <w:rFonts w:ascii="Arial" w:hAnsi="Arial" w:cs="Arial"/>
          <w:sz w:val="24"/>
          <w:szCs w:val="24"/>
        </w:rPr>
        <w:t>In b</w:t>
      </w:r>
      <w:bookmarkStart w:id="0" w:name="_GoBack"/>
      <w:bookmarkEnd w:id="0"/>
      <w:r w:rsidRPr="000162D6">
        <w:rPr>
          <w:rFonts w:ascii="Arial" w:hAnsi="Arial" w:cs="Arial"/>
          <w:sz w:val="24"/>
          <w:szCs w:val="24"/>
        </w:rPr>
        <w:t>ooking expense journal entries for Charge Type 1142 (formerly 142), and Charge Type 148 from the IESO invoice, please confirm which of the following approach</w:t>
      </w:r>
      <w:r w:rsidR="00491A48">
        <w:rPr>
          <w:rFonts w:ascii="Arial" w:hAnsi="Arial" w:cs="Arial"/>
          <w:sz w:val="24"/>
          <w:szCs w:val="24"/>
        </w:rPr>
        <w:t>es</w:t>
      </w:r>
      <w:r w:rsidRPr="000162D6">
        <w:rPr>
          <w:rFonts w:ascii="Arial" w:hAnsi="Arial" w:cs="Arial"/>
          <w:sz w:val="24"/>
          <w:szCs w:val="24"/>
        </w:rPr>
        <w:t xml:space="preserve"> is used:</w:t>
      </w:r>
    </w:p>
    <w:p w:rsidR="00A72CB0" w:rsidRPr="000162D6" w:rsidRDefault="00A72CB0" w:rsidP="00A72CB0">
      <w:pPr>
        <w:pStyle w:val="ListParagraph"/>
        <w:spacing w:after="200" w:line="276" w:lineRule="auto"/>
        <w:ind w:left="360"/>
        <w:jc w:val="both"/>
        <w:rPr>
          <w:rFonts w:ascii="Arial" w:hAnsi="Arial" w:cs="Arial"/>
          <w:sz w:val="24"/>
          <w:szCs w:val="24"/>
        </w:rPr>
      </w:pPr>
    </w:p>
    <w:p w:rsidR="00CE0935" w:rsidRDefault="00CE0935" w:rsidP="00A72CB0">
      <w:pPr>
        <w:pStyle w:val="ListParagraph"/>
        <w:numPr>
          <w:ilvl w:val="0"/>
          <w:numId w:val="3"/>
        </w:numPr>
        <w:spacing w:after="200" w:line="276" w:lineRule="auto"/>
        <w:jc w:val="both"/>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A72CB0" w:rsidRDefault="00A72CB0" w:rsidP="00A72CB0">
      <w:pPr>
        <w:pStyle w:val="ListParagraph"/>
        <w:spacing w:after="200" w:line="276" w:lineRule="auto"/>
        <w:jc w:val="both"/>
        <w:rPr>
          <w:rFonts w:ascii="Arial" w:hAnsi="Arial" w:cs="Arial"/>
          <w:sz w:val="24"/>
          <w:szCs w:val="24"/>
        </w:rPr>
      </w:pPr>
    </w:p>
    <w:p w:rsidR="00CE0935" w:rsidRDefault="00CE0935" w:rsidP="00A72CB0">
      <w:pPr>
        <w:pStyle w:val="ListParagraph"/>
        <w:numPr>
          <w:ilvl w:val="0"/>
          <w:numId w:val="3"/>
        </w:numPr>
        <w:spacing w:after="200" w:line="276" w:lineRule="auto"/>
        <w:jc w:val="both"/>
        <w:rPr>
          <w:rFonts w:ascii="Arial" w:hAnsi="Arial" w:cs="Arial"/>
          <w:sz w:val="24"/>
          <w:szCs w:val="24"/>
        </w:rPr>
      </w:pPr>
      <w:r w:rsidRPr="000162D6">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rsidR="00A72CB0" w:rsidRDefault="00A72CB0" w:rsidP="00A72CB0">
      <w:pPr>
        <w:pStyle w:val="ListParagraph"/>
        <w:spacing w:after="200" w:line="276" w:lineRule="auto"/>
        <w:rPr>
          <w:rFonts w:ascii="Arial" w:hAnsi="Arial" w:cs="Arial"/>
          <w:sz w:val="24"/>
          <w:szCs w:val="24"/>
        </w:rPr>
      </w:pPr>
    </w:p>
    <w:p w:rsidR="00CE0935" w:rsidRDefault="00CE0935" w:rsidP="00CE0935">
      <w:pPr>
        <w:pStyle w:val="ListParagraph"/>
        <w:numPr>
          <w:ilvl w:val="0"/>
          <w:numId w:val="3"/>
        </w:numPr>
        <w:spacing w:after="200" w:line="276" w:lineRule="auto"/>
        <w:rPr>
          <w:rFonts w:ascii="Arial" w:hAnsi="Arial" w:cs="Arial"/>
          <w:sz w:val="24"/>
          <w:szCs w:val="24"/>
        </w:rPr>
      </w:pPr>
      <w:r w:rsidRPr="000162D6">
        <w:rPr>
          <w:rFonts w:ascii="Arial" w:hAnsi="Arial" w:cs="Arial"/>
          <w:sz w:val="24"/>
          <w:szCs w:val="24"/>
        </w:rPr>
        <w:t xml:space="preserve"> Another approach.  Please explain this approach in detail.</w:t>
      </w:r>
    </w:p>
    <w:p w:rsidR="00B615BA" w:rsidRPr="00B615BA" w:rsidRDefault="00B615BA" w:rsidP="00B615BA">
      <w:pPr>
        <w:pStyle w:val="ListParagraph"/>
        <w:rPr>
          <w:rFonts w:ascii="Arial" w:hAnsi="Arial" w:cs="Arial"/>
          <w:sz w:val="24"/>
          <w:szCs w:val="24"/>
        </w:rPr>
      </w:pPr>
    </w:p>
    <w:p w:rsidR="00A72CB0" w:rsidRPr="00A72CB0" w:rsidRDefault="00A72CB0" w:rsidP="00A72CB0">
      <w:pPr>
        <w:spacing w:after="200" w:line="276" w:lineRule="auto"/>
        <w:ind w:firstLine="720"/>
        <w:rPr>
          <w:rFonts w:ascii="Arial" w:hAnsi="Arial" w:cs="Arial"/>
          <w:b/>
          <w:sz w:val="24"/>
          <w:szCs w:val="24"/>
        </w:rPr>
      </w:pPr>
      <w:r w:rsidRPr="00A72CB0">
        <w:rPr>
          <w:rFonts w:ascii="Arial" w:hAnsi="Arial" w:cs="Arial"/>
          <w:b/>
          <w:sz w:val="24"/>
          <w:szCs w:val="24"/>
        </w:rPr>
        <w:t>Response:</w:t>
      </w:r>
    </w:p>
    <w:p w:rsidR="007D0EB6" w:rsidRPr="00A72CB0" w:rsidRDefault="00A72CB0" w:rsidP="00A72CB0">
      <w:pPr>
        <w:pStyle w:val="ListParagraph"/>
        <w:spacing w:after="200" w:line="276" w:lineRule="auto"/>
        <w:jc w:val="both"/>
        <w:rPr>
          <w:rFonts w:ascii="Arial" w:hAnsi="Arial" w:cs="Arial"/>
          <w:b/>
          <w:sz w:val="24"/>
          <w:szCs w:val="24"/>
        </w:rPr>
      </w:pPr>
      <w:r w:rsidRPr="00A72CB0">
        <w:rPr>
          <w:rFonts w:ascii="Arial" w:hAnsi="Arial" w:cs="Arial"/>
          <w:b/>
          <w:sz w:val="24"/>
          <w:szCs w:val="24"/>
        </w:rPr>
        <w:t>Welland Hydro can confirm that it uses method (b) above to record Charge Type 1142 (formerly 142), and Charge Type 148 from the IESO invoice.</w:t>
      </w:r>
    </w:p>
    <w:p w:rsidR="00A72CB0" w:rsidRDefault="00A72CB0" w:rsidP="007D0EB6">
      <w:pPr>
        <w:pStyle w:val="ListParagraph"/>
        <w:spacing w:after="200" w:line="276" w:lineRule="auto"/>
        <w:rPr>
          <w:rFonts w:ascii="Arial" w:hAnsi="Arial" w:cs="Arial"/>
          <w:sz w:val="24"/>
          <w:szCs w:val="24"/>
        </w:rPr>
      </w:pPr>
    </w:p>
    <w:p w:rsidR="00A72CB0" w:rsidRDefault="00A72CB0" w:rsidP="007D0EB6">
      <w:pPr>
        <w:pStyle w:val="ListParagraph"/>
        <w:spacing w:after="200" w:line="276" w:lineRule="auto"/>
        <w:rPr>
          <w:rFonts w:ascii="Arial" w:hAnsi="Arial" w:cs="Arial"/>
          <w:sz w:val="24"/>
          <w:szCs w:val="24"/>
        </w:rPr>
      </w:pPr>
    </w:p>
    <w:p w:rsidR="00B615BA" w:rsidRDefault="00B615BA" w:rsidP="007D0EB6">
      <w:pPr>
        <w:pStyle w:val="ListParagraph"/>
        <w:spacing w:after="200" w:line="276" w:lineRule="auto"/>
        <w:rPr>
          <w:rFonts w:ascii="Arial" w:hAnsi="Arial" w:cs="Arial"/>
          <w:sz w:val="24"/>
          <w:szCs w:val="24"/>
        </w:rPr>
      </w:pPr>
    </w:p>
    <w:p w:rsidR="00B615BA" w:rsidRDefault="00B615BA" w:rsidP="007D0EB6">
      <w:pPr>
        <w:pStyle w:val="ListParagraph"/>
        <w:spacing w:after="200" w:line="276" w:lineRule="auto"/>
        <w:rPr>
          <w:rFonts w:ascii="Arial" w:hAnsi="Arial" w:cs="Arial"/>
          <w:sz w:val="24"/>
          <w:szCs w:val="24"/>
        </w:rPr>
      </w:pPr>
    </w:p>
    <w:p w:rsidR="00B615BA" w:rsidRDefault="00B615BA" w:rsidP="007D0EB6">
      <w:pPr>
        <w:pStyle w:val="ListParagraph"/>
        <w:spacing w:after="200" w:line="276" w:lineRule="auto"/>
        <w:rPr>
          <w:rFonts w:ascii="Arial" w:hAnsi="Arial" w:cs="Arial"/>
          <w:sz w:val="24"/>
          <w:szCs w:val="24"/>
        </w:rPr>
      </w:pPr>
    </w:p>
    <w:p w:rsidR="00A72CB0" w:rsidRDefault="00A72CB0" w:rsidP="007D0EB6">
      <w:pPr>
        <w:pStyle w:val="ListParagraph"/>
        <w:spacing w:after="200" w:line="276" w:lineRule="auto"/>
        <w:rPr>
          <w:rFonts w:ascii="Arial" w:hAnsi="Arial" w:cs="Arial"/>
          <w:sz w:val="24"/>
          <w:szCs w:val="24"/>
        </w:rPr>
      </w:pPr>
    </w:p>
    <w:p w:rsidR="00CE0935" w:rsidRDefault="00CE0935" w:rsidP="00CE0935">
      <w:pPr>
        <w:pStyle w:val="ListParagraph"/>
        <w:numPr>
          <w:ilvl w:val="0"/>
          <w:numId w:val="1"/>
        </w:numPr>
        <w:spacing w:after="200" w:line="276" w:lineRule="auto"/>
        <w:rPr>
          <w:rFonts w:ascii="Arial" w:hAnsi="Arial" w:cs="Arial"/>
          <w:sz w:val="24"/>
          <w:szCs w:val="24"/>
        </w:rPr>
      </w:pPr>
      <w:r w:rsidRPr="00CE0935">
        <w:rPr>
          <w:rFonts w:ascii="Arial" w:hAnsi="Arial" w:cs="Arial"/>
          <w:sz w:val="24"/>
          <w:szCs w:val="24"/>
        </w:rPr>
        <w:lastRenderedPageBreak/>
        <w:t>With regards to the Dec. 31</w:t>
      </w:r>
      <w:r w:rsidR="005875D3">
        <w:rPr>
          <w:rFonts w:ascii="Arial" w:hAnsi="Arial" w:cs="Arial"/>
          <w:sz w:val="24"/>
          <w:szCs w:val="24"/>
        </w:rPr>
        <w:t>,</w:t>
      </w:r>
      <w:r w:rsidRPr="00CE0935">
        <w:rPr>
          <w:rFonts w:ascii="Arial" w:hAnsi="Arial" w:cs="Arial"/>
          <w:sz w:val="24"/>
          <w:szCs w:val="24"/>
        </w:rPr>
        <w:t xml:space="preserve"> </w:t>
      </w:r>
      <w:r w:rsidR="005875D3">
        <w:rPr>
          <w:rFonts w:ascii="Arial" w:hAnsi="Arial" w:cs="Arial"/>
          <w:sz w:val="24"/>
          <w:szCs w:val="24"/>
        </w:rPr>
        <w:t xml:space="preserve">2016 </w:t>
      </w:r>
      <w:r w:rsidRPr="00CE0935">
        <w:rPr>
          <w:rFonts w:ascii="Arial" w:hAnsi="Arial" w:cs="Arial"/>
          <w:sz w:val="24"/>
          <w:szCs w:val="24"/>
        </w:rPr>
        <w:t>balance in Account 1589,</w:t>
      </w:r>
    </w:p>
    <w:p w:rsidR="00A72CB0" w:rsidRDefault="00A72CB0" w:rsidP="00A72CB0">
      <w:pPr>
        <w:pStyle w:val="ListParagraph"/>
        <w:spacing w:after="200" w:line="276" w:lineRule="auto"/>
        <w:ind w:left="851"/>
        <w:rPr>
          <w:rFonts w:ascii="Arial" w:hAnsi="Arial" w:cs="Arial"/>
          <w:sz w:val="24"/>
          <w:szCs w:val="24"/>
        </w:rPr>
      </w:pPr>
    </w:p>
    <w:p w:rsidR="0096332C" w:rsidRDefault="00CE0935" w:rsidP="0096332C">
      <w:pPr>
        <w:pStyle w:val="ListParagraph"/>
        <w:numPr>
          <w:ilvl w:val="1"/>
          <w:numId w:val="2"/>
        </w:numPr>
        <w:spacing w:after="200" w:line="276" w:lineRule="auto"/>
        <w:ind w:left="851" w:hanging="425"/>
        <w:jc w:val="both"/>
        <w:rPr>
          <w:rFonts w:ascii="Arial" w:hAnsi="Arial" w:cs="Arial"/>
          <w:sz w:val="24"/>
          <w:szCs w:val="24"/>
        </w:rPr>
      </w:pPr>
      <w:r>
        <w:rPr>
          <w:rFonts w:ascii="Arial" w:hAnsi="Arial" w:cs="Arial"/>
          <w:sz w:val="24"/>
          <w:szCs w:val="24"/>
        </w:rPr>
        <w:t>P</w:t>
      </w:r>
      <w:r w:rsidRPr="001B35AC">
        <w:rPr>
          <w:rFonts w:ascii="Arial" w:hAnsi="Arial" w:cs="Arial"/>
          <w:sz w:val="24"/>
          <w:szCs w:val="24"/>
        </w:rPr>
        <w:t xml:space="preserve">lease indicate whether the following items that flow into the account </w:t>
      </w:r>
      <w:r w:rsidR="007D0EB6">
        <w:rPr>
          <w:rFonts w:ascii="Arial" w:hAnsi="Arial" w:cs="Arial"/>
          <w:sz w:val="24"/>
          <w:szCs w:val="24"/>
        </w:rPr>
        <w:t>are</w:t>
      </w:r>
      <w:r w:rsidRPr="001B35AC">
        <w:rPr>
          <w:rFonts w:ascii="Arial" w:hAnsi="Arial" w:cs="Arial"/>
          <w:sz w:val="24"/>
          <w:szCs w:val="24"/>
        </w:rPr>
        <w:t xml:space="preserve"> based on estimates/accruals or a</w:t>
      </w:r>
      <w:r>
        <w:rPr>
          <w:rFonts w:ascii="Arial" w:hAnsi="Arial" w:cs="Arial"/>
          <w:sz w:val="24"/>
          <w:szCs w:val="24"/>
        </w:rPr>
        <w:t xml:space="preserve">ctuals at year end. </w:t>
      </w:r>
    </w:p>
    <w:p w:rsidR="0096332C" w:rsidRPr="0096332C" w:rsidRDefault="0096332C" w:rsidP="00F6402C">
      <w:pPr>
        <w:spacing w:after="200" w:line="276" w:lineRule="auto"/>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Revenues </w:t>
      </w:r>
      <w:r w:rsidRPr="0096332C">
        <w:rPr>
          <w:rFonts w:ascii="Arial" w:hAnsi="Arial" w:cs="Arial"/>
          <w:sz w:val="24"/>
          <w:szCs w:val="24"/>
        </w:rPr>
        <w:t xml:space="preserve">(i.e. is unbilled revenues trued up) </w:t>
      </w:r>
    </w:p>
    <w:p w:rsidR="00A72CB0" w:rsidRPr="00162F0D" w:rsidRDefault="00162F0D" w:rsidP="00587868">
      <w:pPr>
        <w:spacing w:after="200" w:line="276" w:lineRule="auto"/>
        <w:ind w:left="720" w:firstLine="720"/>
        <w:rPr>
          <w:rFonts w:ascii="Arial" w:hAnsi="Arial" w:cs="Arial"/>
          <w:b/>
          <w:sz w:val="24"/>
          <w:szCs w:val="24"/>
        </w:rPr>
      </w:pPr>
      <w:r>
        <w:rPr>
          <w:rFonts w:ascii="Arial" w:hAnsi="Arial" w:cs="Arial"/>
          <w:b/>
          <w:sz w:val="24"/>
          <w:szCs w:val="24"/>
        </w:rPr>
        <w:t>R</w:t>
      </w:r>
      <w:r w:rsidR="00A72CB0" w:rsidRPr="00162F0D">
        <w:rPr>
          <w:rFonts w:ascii="Arial" w:hAnsi="Arial" w:cs="Arial"/>
          <w:b/>
          <w:sz w:val="24"/>
          <w:szCs w:val="24"/>
        </w:rPr>
        <w:t>esponse:</w:t>
      </w:r>
    </w:p>
    <w:p w:rsidR="0096332C" w:rsidRDefault="00A72CB0" w:rsidP="00587868">
      <w:pPr>
        <w:spacing w:after="200" w:line="276" w:lineRule="auto"/>
        <w:ind w:left="1440"/>
        <w:jc w:val="both"/>
        <w:rPr>
          <w:rFonts w:ascii="Arial" w:hAnsi="Arial" w:cs="Arial"/>
          <w:b/>
          <w:sz w:val="24"/>
          <w:szCs w:val="24"/>
        </w:rPr>
      </w:pPr>
      <w:r w:rsidRPr="00C762BF">
        <w:rPr>
          <w:rFonts w:ascii="Arial" w:hAnsi="Arial" w:cs="Arial"/>
          <w:b/>
          <w:sz w:val="24"/>
          <w:szCs w:val="24"/>
        </w:rPr>
        <w:t>Revenue is based on accruals</w:t>
      </w:r>
      <w:r w:rsidR="00C762BF" w:rsidRPr="00C762BF">
        <w:rPr>
          <w:rFonts w:ascii="Arial" w:hAnsi="Arial" w:cs="Arial"/>
          <w:b/>
          <w:sz w:val="24"/>
          <w:szCs w:val="24"/>
        </w:rPr>
        <w:t xml:space="preserve"> and is not trued up in the current year.  The unbilled journal entry reverses the following month and is replaced by actual billing amounts.</w:t>
      </w:r>
    </w:p>
    <w:p w:rsidR="0096332C" w:rsidRPr="0096332C" w:rsidRDefault="0096332C" w:rsidP="00587868">
      <w:pPr>
        <w:spacing w:after="200" w:line="276" w:lineRule="auto"/>
        <w:ind w:left="1440" w:hanging="720"/>
        <w:jc w:val="both"/>
        <w:rPr>
          <w:rFonts w:ascii="Arial" w:hAnsi="Arial" w:cs="Arial"/>
          <w:sz w:val="24"/>
          <w:szCs w:val="24"/>
        </w:rPr>
      </w:pPr>
      <w:r>
        <w:rPr>
          <w:rFonts w:ascii="Arial" w:hAnsi="Arial" w:cs="Arial"/>
          <w:sz w:val="24"/>
          <w:szCs w:val="24"/>
        </w:rPr>
        <w:t xml:space="preserve">ii. </w:t>
      </w:r>
      <w:r>
        <w:rPr>
          <w:rFonts w:ascii="Arial" w:hAnsi="Arial" w:cs="Arial"/>
          <w:sz w:val="24"/>
          <w:szCs w:val="24"/>
        </w:rPr>
        <w:tab/>
        <w:t xml:space="preserve">Expenses </w:t>
      </w:r>
      <w:r w:rsidRPr="0096332C">
        <w:rPr>
          <w:rFonts w:ascii="Arial" w:hAnsi="Arial" w:cs="Arial"/>
          <w:sz w:val="24"/>
          <w:szCs w:val="24"/>
        </w:rPr>
        <w:t>- GA non-RPP (Charge Type 148) with respect to the quantum dollar amount</w:t>
      </w:r>
      <w:r>
        <w:rPr>
          <w:rFonts w:ascii="Arial" w:hAnsi="Arial" w:cs="Arial"/>
          <w:sz w:val="24"/>
          <w:szCs w:val="24"/>
        </w:rPr>
        <w:t xml:space="preserve"> </w:t>
      </w:r>
    </w:p>
    <w:p w:rsidR="00C762BF" w:rsidRPr="0096332C" w:rsidRDefault="00C762BF" w:rsidP="00587868">
      <w:pPr>
        <w:spacing w:after="200" w:line="276" w:lineRule="auto"/>
        <w:ind w:left="720" w:firstLine="720"/>
        <w:rPr>
          <w:rFonts w:ascii="Arial" w:hAnsi="Arial" w:cs="Arial"/>
          <w:b/>
          <w:sz w:val="24"/>
          <w:szCs w:val="24"/>
        </w:rPr>
      </w:pPr>
      <w:r w:rsidRPr="0096332C">
        <w:rPr>
          <w:rFonts w:ascii="Arial" w:hAnsi="Arial" w:cs="Arial"/>
          <w:b/>
          <w:sz w:val="24"/>
          <w:szCs w:val="24"/>
        </w:rPr>
        <w:t>Response:</w:t>
      </w:r>
    </w:p>
    <w:p w:rsidR="0096332C" w:rsidRDefault="00C762BF" w:rsidP="00587868">
      <w:pPr>
        <w:spacing w:after="200" w:line="276" w:lineRule="auto"/>
        <w:ind w:left="1440"/>
        <w:jc w:val="both"/>
        <w:rPr>
          <w:rFonts w:ascii="Arial" w:hAnsi="Arial" w:cs="Arial"/>
          <w:b/>
          <w:sz w:val="24"/>
          <w:szCs w:val="24"/>
        </w:rPr>
      </w:pPr>
      <w:r w:rsidRPr="0096332C">
        <w:rPr>
          <w:rFonts w:ascii="Arial" w:hAnsi="Arial" w:cs="Arial"/>
          <w:b/>
          <w:sz w:val="24"/>
          <w:szCs w:val="24"/>
        </w:rPr>
        <w:t>GA non-RPP (Charge Type 148) quantum dollar amount represents the actual amount for the entire year at year end.</w:t>
      </w:r>
    </w:p>
    <w:p w:rsidR="00C762BF" w:rsidRPr="0096332C" w:rsidRDefault="0096332C" w:rsidP="00587868">
      <w:pPr>
        <w:spacing w:after="200" w:line="276" w:lineRule="auto"/>
        <w:ind w:left="1440" w:hanging="720"/>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ab/>
        <w:t xml:space="preserve">Expenses </w:t>
      </w:r>
      <w:r w:rsidRPr="0096332C">
        <w:rPr>
          <w:rFonts w:ascii="Arial" w:hAnsi="Arial" w:cs="Arial"/>
          <w:sz w:val="24"/>
          <w:szCs w:val="24"/>
        </w:rPr>
        <w:t xml:space="preserve">- </w:t>
      </w:r>
      <w:r w:rsidRPr="001B35AC">
        <w:rPr>
          <w:rFonts w:ascii="Arial" w:hAnsi="Arial" w:cs="Arial"/>
          <w:sz w:val="24"/>
          <w:szCs w:val="24"/>
        </w:rPr>
        <w:t xml:space="preserve">GA non-RPP (Charge Type 148) with respect to the </w:t>
      </w:r>
      <w:r w:rsidRPr="0067142E">
        <w:rPr>
          <w:rFonts w:ascii="Arial" w:hAnsi="Arial" w:cs="Arial"/>
          <w:sz w:val="24"/>
          <w:szCs w:val="24"/>
        </w:rPr>
        <w:t>RPP/non-RPP pro-ration percentages</w:t>
      </w:r>
      <w:r w:rsidRPr="0096332C">
        <w:rPr>
          <w:rFonts w:ascii="Arial" w:hAnsi="Arial" w:cs="Arial"/>
          <w:sz w:val="24"/>
          <w:szCs w:val="24"/>
        </w:rPr>
        <w:t xml:space="preserve"> </w:t>
      </w:r>
    </w:p>
    <w:p w:rsidR="00C762BF" w:rsidRPr="0096332C" w:rsidRDefault="00C762BF" w:rsidP="00587868">
      <w:pPr>
        <w:spacing w:after="200" w:line="276" w:lineRule="auto"/>
        <w:ind w:left="720" w:firstLine="720"/>
        <w:rPr>
          <w:rFonts w:ascii="Arial" w:hAnsi="Arial" w:cs="Arial"/>
          <w:b/>
          <w:sz w:val="24"/>
          <w:szCs w:val="24"/>
        </w:rPr>
      </w:pPr>
      <w:r w:rsidRPr="0096332C">
        <w:rPr>
          <w:rFonts w:ascii="Arial" w:hAnsi="Arial" w:cs="Arial"/>
          <w:b/>
          <w:sz w:val="24"/>
          <w:szCs w:val="24"/>
        </w:rPr>
        <w:t>Response:</w:t>
      </w:r>
    </w:p>
    <w:p w:rsidR="00C762BF" w:rsidRPr="0096332C" w:rsidRDefault="00C762BF" w:rsidP="00587868">
      <w:pPr>
        <w:spacing w:after="200" w:line="276" w:lineRule="auto"/>
        <w:ind w:left="1440"/>
        <w:rPr>
          <w:rFonts w:ascii="Arial" w:hAnsi="Arial" w:cs="Arial"/>
          <w:b/>
          <w:sz w:val="24"/>
          <w:szCs w:val="24"/>
        </w:rPr>
      </w:pPr>
      <w:r w:rsidRPr="0096332C">
        <w:rPr>
          <w:rFonts w:ascii="Arial" w:hAnsi="Arial" w:cs="Arial"/>
          <w:b/>
          <w:sz w:val="24"/>
          <w:szCs w:val="24"/>
        </w:rPr>
        <w:t>GA non-RPP (Charge Type 148) with respect to the RPP/non-RPP pro-ration percentages are based on actual at year end.</w:t>
      </w:r>
    </w:p>
    <w:p w:rsidR="00C762BF" w:rsidRPr="00C762BF" w:rsidRDefault="00C762BF" w:rsidP="00C762BF">
      <w:pPr>
        <w:pStyle w:val="ListParagraph"/>
        <w:spacing w:after="200" w:line="276" w:lineRule="auto"/>
        <w:ind w:left="1800"/>
        <w:rPr>
          <w:rFonts w:ascii="Arial" w:hAnsi="Arial" w:cs="Arial"/>
          <w:b/>
          <w:sz w:val="24"/>
          <w:szCs w:val="24"/>
        </w:rPr>
      </w:pPr>
    </w:p>
    <w:p w:rsidR="00815118" w:rsidRDefault="00CE0935" w:rsidP="0096332C">
      <w:pPr>
        <w:pStyle w:val="ListParagraph"/>
        <w:numPr>
          <w:ilvl w:val="1"/>
          <w:numId w:val="2"/>
        </w:numPr>
        <w:spacing w:after="200" w:line="276" w:lineRule="auto"/>
        <w:ind w:left="851" w:hanging="425"/>
        <w:jc w:val="both"/>
        <w:rPr>
          <w:rFonts w:ascii="Arial" w:hAnsi="Arial" w:cs="Arial"/>
          <w:sz w:val="24"/>
          <w:szCs w:val="24"/>
        </w:rPr>
      </w:pPr>
      <w:r w:rsidRPr="00CA78F5">
        <w:rPr>
          <w:rFonts w:ascii="Arial" w:hAnsi="Arial" w:cs="Arial"/>
          <w:sz w:val="24"/>
          <w:szCs w:val="24"/>
        </w:rPr>
        <w:t xml:space="preserve">If </w:t>
      </w:r>
      <w:r>
        <w:rPr>
          <w:rFonts w:ascii="Arial" w:hAnsi="Arial" w:cs="Arial"/>
          <w:sz w:val="24"/>
          <w:szCs w:val="24"/>
        </w:rPr>
        <w:t xml:space="preserve">there are </w:t>
      </w:r>
      <w:r w:rsidRPr="00CA78F5">
        <w:rPr>
          <w:rFonts w:ascii="Arial" w:hAnsi="Arial" w:cs="Arial"/>
          <w:sz w:val="24"/>
          <w:szCs w:val="24"/>
        </w:rPr>
        <w:t>reconciling item</w:t>
      </w:r>
      <w:r>
        <w:rPr>
          <w:rFonts w:ascii="Arial" w:hAnsi="Arial" w:cs="Arial"/>
          <w:sz w:val="24"/>
          <w:szCs w:val="24"/>
        </w:rPr>
        <w:t>s</w:t>
      </w:r>
      <w:r w:rsidRPr="00CA78F5">
        <w:rPr>
          <w:rFonts w:ascii="Arial" w:hAnsi="Arial" w:cs="Arial"/>
          <w:sz w:val="24"/>
          <w:szCs w:val="24"/>
        </w:rPr>
        <w:t xml:space="preserve"> </w:t>
      </w:r>
      <w:r>
        <w:rPr>
          <w:rFonts w:ascii="Arial" w:hAnsi="Arial" w:cs="Arial"/>
          <w:sz w:val="24"/>
          <w:szCs w:val="24"/>
        </w:rPr>
        <w:t>#1a, 1b in the GA Analysis Workform or if</w:t>
      </w:r>
      <w:r w:rsidRPr="0067142E">
        <w:rPr>
          <w:rFonts w:ascii="Arial" w:hAnsi="Arial" w:cs="Arial"/>
          <w:sz w:val="24"/>
          <w:szCs w:val="24"/>
        </w:rPr>
        <w:t xml:space="preserve"> </w:t>
      </w:r>
      <w:r w:rsidRPr="00CA78F5">
        <w:rPr>
          <w:rFonts w:ascii="Arial" w:hAnsi="Arial" w:cs="Arial"/>
          <w:sz w:val="24"/>
          <w:szCs w:val="24"/>
        </w:rPr>
        <w:t>there are any proposed adjustments</w:t>
      </w:r>
      <w:r>
        <w:rPr>
          <w:rFonts w:ascii="Arial" w:hAnsi="Arial" w:cs="Arial"/>
          <w:sz w:val="24"/>
          <w:szCs w:val="24"/>
        </w:rPr>
        <w:t xml:space="preserve"> to Account 1589 </w:t>
      </w:r>
      <w:r w:rsidRPr="00CA78F5">
        <w:rPr>
          <w:rFonts w:ascii="Arial" w:hAnsi="Arial" w:cs="Arial"/>
          <w:sz w:val="24"/>
          <w:szCs w:val="24"/>
        </w:rPr>
        <w:t xml:space="preserve">in the DVA Continuity Schedule </w:t>
      </w:r>
      <w:r>
        <w:rPr>
          <w:rFonts w:ascii="Arial" w:hAnsi="Arial" w:cs="Arial"/>
          <w:sz w:val="24"/>
          <w:szCs w:val="24"/>
        </w:rPr>
        <w:t>for the true up impacts</w:t>
      </w:r>
      <w:r w:rsidRPr="00CA78F5">
        <w:rPr>
          <w:rFonts w:ascii="Arial" w:hAnsi="Arial" w:cs="Arial"/>
          <w:sz w:val="24"/>
          <w:szCs w:val="24"/>
        </w:rPr>
        <w:t>, please quantify the adjustment that relate to each of the items</w:t>
      </w:r>
      <w:r w:rsidR="007D0EB6">
        <w:rPr>
          <w:rFonts w:ascii="Arial" w:hAnsi="Arial" w:cs="Arial"/>
          <w:sz w:val="24"/>
          <w:szCs w:val="24"/>
        </w:rPr>
        <w:t xml:space="preserve"> under ai to aiii</w:t>
      </w:r>
      <w:r w:rsidRPr="00CA78F5">
        <w:rPr>
          <w:rFonts w:ascii="Arial" w:hAnsi="Arial" w:cs="Arial"/>
          <w:sz w:val="24"/>
          <w:szCs w:val="24"/>
        </w:rPr>
        <w:t>.</w:t>
      </w:r>
    </w:p>
    <w:p w:rsidR="006C2CE9" w:rsidRPr="0096332C" w:rsidRDefault="006C2CE9" w:rsidP="00587868">
      <w:pPr>
        <w:spacing w:after="200" w:line="276" w:lineRule="auto"/>
        <w:ind w:firstLine="720"/>
        <w:jc w:val="both"/>
        <w:rPr>
          <w:rFonts w:ascii="Arial" w:hAnsi="Arial" w:cs="Arial"/>
          <w:b/>
          <w:sz w:val="24"/>
          <w:szCs w:val="24"/>
        </w:rPr>
      </w:pPr>
      <w:r w:rsidRPr="0096332C">
        <w:rPr>
          <w:rFonts w:ascii="Arial" w:hAnsi="Arial" w:cs="Arial"/>
          <w:b/>
          <w:sz w:val="24"/>
          <w:szCs w:val="24"/>
        </w:rPr>
        <w:t>Response:</w:t>
      </w:r>
    </w:p>
    <w:p w:rsidR="00A72CB0" w:rsidRPr="00BE4AD2" w:rsidRDefault="006C2CE9" w:rsidP="00587868">
      <w:pPr>
        <w:spacing w:after="200" w:line="276" w:lineRule="auto"/>
        <w:ind w:left="720"/>
        <w:rPr>
          <w:rFonts w:ascii="Arial" w:hAnsi="Arial" w:cs="Arial"/>
          <w:b/>
          <w:sz w:val="24"/>
          <w:szCs w:val="24"/>
        </w:rPr>
      </w:pPr>
      <w:r w:rsidRPr="00BE4AD2">
        <w:rPr>
          <w:rFonts w:ascii="Arial" w:hAnsi="Arial" w:cs="Arial"/>
          <w:b/>
          <w:sz w:val="24"/>
          <w:szCs w:val="24"/>
        </w:rPr>
        <w:t>Welland Hydro does not have any reconciling items in #1a and #1b in the GA Analysis Workform.</w:t>
      </w:r>
    </w:p>
    <w:p w:rsidR="006C2CE9" w:rsidRPr="00BE4AD2" w:rsidRDefault="006C2CE9" w:rsidP="00587868">
      <w:pPr>
        <w:spacing w:after="200" w:line="276" w:lineRule="auto"/>
        <w:ind w:left="720"/>
        <w:jc w:val="both"/>
        <w:rPr>
          <w:rFonts w:ascii="Arial" w:hAnsi="Arial" w:cs="Arial"/>
          <w:b/>
          <w:sz w:val="24"/>
          <w:szCs w:val="24"/>
        </w:rPr>
      </w:pPr>
      <w:r w:rsidRPr="00BE4AD2">
        <w:rPr>
          <w:rFonts w:ascii="Arial" w:hAnsi="Arial" w:cs="Arial"/>
          <w:b/>
          <w:sz w:val="24"/>
          <w:szCs w:val="24"/>
        </w:rPr>
        <w:t>Although Welland Hydro has not proposed</w:t>
      </w:r>
      <w:r w:rsidR="00BE4AD2" w:rsidRPr="00BE4AD2">
        <w:rPr>
          <w:rFonts w:ascii="Arial" w:hAnsi="Arial" w:cs="Arial"/>
          <w:b/>
          <w:sz w:val="24"/>
          <w:szCs w:val="24"/>
        </w:rPr>
        <w:t xml:space="preserve"> any</w:t>
      </w:r>
      <w:r w:rsidRPr="00BE4AD2">
        <w:rPr>
          <w:rFonts w:ascii="Arial" w:hAnsi="Arial" w:cs="Arial"/>
          <w:b/>
          <w:sz w:val="24"/>
          <w:szCs w:val="24"/>
        </w:rPr>
        <w:t xml:space="preserve"> adjustments to Account 1589 in the DVA Continuity Schedule for the true up impacts, consideration should be given to </w:t>
      </w:r>
      <w:r w:rsidR="00BE4AD2" w:rsidRPr="00BE4AD2">
        <w:rPr>
          <w:rFonts w:ascii="Arial" w:hAnsi="Arial" w:cs="Arial"/>
          <w:b/>
          <w:sz w:val="24"/>
          <w:szCs w:val="24"/>
        </w:rPr>
        <w:t>moving the impact of</w:t>
      </w:r>
      <w:r w:rsidR="00BE4AD2">
        <w:rPr>
          <w:rFonts w:ascii="Arial" w:hAnsi="Arial" w:cs="Arial"/>
          <w:b/>
          <w:sz w:val="24"/>
          <w:szCs w:val="24"/>
        </w:rPr>
        <w:t xml:space="preserve"> </w:t>
      </w:r>
      <w:r w:rsidR="00BE4AD2" w:rsidRPr="00BE4AD2">
        <w:rPr>
          <w:rFonts w:ascii="Arial" w:hAnsi="Arial" w:cs="Arial"/>
          <w:b/>
          <w:sz w:val="24"/>
          <w:szCs w:val="24"/>
        </w:rPr>
        <w:t>item 2b to 2017 as the unbilled over stated Global Adjustments revenues in 2016</w:t>
      </w:r>
      <w:r w:rsidR="00BE4AD2">
        <w:rPr>
          <w:rFonts w:ascii="Arial" w:hAnsi="Arial" w:cs="Arial"/>
          <w:b/>
          <w:sz w:val="24"/>
          <w:szCs w:val="24"/>
        </w:rPr>
        <w:t xml:space="preserve"> (ai)</w:t>
      </w:r>
      <w:r w:rsidR="00BE4AD2" w:rsidRPr="00BE4AD2">
        <w:rPr>
          <w:rFonts w:ascii="Arial" w:hAnsi="Arial" w:cs="Arial"/>
          <w:b/>
          <w:sz w:val="24"/>
          <w:szCs w:val="24"/>
        </w:rPr>
        <w:t>.</w:t>
      </w:r>
      <w:r w:rsidR="00BE4AD2">
        <w:rPr>
          <w:rFonts w:ascii="Arial" w:hAnsi="Arial" w:cs="Arial"/>
          <w:b/>
          <w:sz w:val="24"/>
          <w:szCs w:val="24"/>
        </w:rPr>
        <w:t xml:space="preserve">  No adjustments are required for (aii) or (aiii).  </w:t>
      </w:r>
    </w:p>
    <w:sectPr w:rsidR="006C2CE9" w:rsidRPr="00BE4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3582"/>
    <w:multiLevelType w:val="hybridMultilevel"/>
    <w:tmpl w:val="D43E1070"/>
    <w:lvl w:ilvl="0" w:tplc="3014C472">
      <w:start w:val="2"/>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842705"/>
    <w:multiLevelType w:val="hybridMultilevel"/>
    <w:tmpl w:val="6FCEB9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0D95C50"/>
    <w:multiLevelType w:val="hybridMultilevel"/>
    <w:tmpl w:val="8984255E"/>
    <w:lvl w:ilvl="0" w:tplc="7A28D2EE">
      <w:start w:val="9"/>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50F6689"/>
    <w:multiLevelType w:val="hybridMultilevel"/>
    <w:tmpl w:val="340E48A0"/>
    <w:lvl w:ilvl="0" w:tplc="443C2B5E">
      <w:start w:val="2"/>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FDF4861"/>
    <w:multiLevelType w:val="hybridMultilevel"/>
    <w:tmpl w:val="ACF24C12"/>
    <w:lvl w:ilvl="0" w:tplc="FF1A2C7A">
      <w:start w:val="2"/>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6" w15:restartNumberingAfterBreak="0">
    <w:nsid w:val="6EDE0327"/>
    <w:multiLevelType w:val="hybridMultilevel"/>
    <w:tmpl w:val="904AFF0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D920B3A"/>
    <w:multiLevelType w:val="hybridMultilevel"/>
    <w:tmpl w:val="055602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8"/>
  </w:num>
  <w:num w:numId="3">
    <w:abstractNumId w:val="6"/>
  </w:num>
  <w:num w:numId="4">
    <w:abstractNumId w:val="5"/>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2"/>
    <w:rsid w:val="00115D68"/>
    <w:rsid w:val="0016216D"/>
    <w:rsid w:val="00162F0D"/>
    <w:rsid w:val="00175B32"/>
    <w:rsid w:val="001A4C70"/>
    <w:rsid w:val="002746B6"/>
    <w:rsid w:val="00286C62"/>
    <w:rsid w:val="002A2A3F"/>
    <w:rsid w:val="00373A8C"/>
    <w:rsid w:val="0037694A"/>
    <w:rsid w:val="0038694A"/>
    <w:rsid w:val="004443D6"/>
    <w:rsid w:val="00491A48"/>
    <w:rsid w:val="004A6DF0"/>
    <w:rsid w:val="005875D3"/>
    <w:rsid w:val="00587868"/>
    <w:rsid w:val="00595960"/>
    <w:rsid w:val="00666C8C"/>
    <w:rsid w:val="006C2CE9"/>
    <w:rsid w:val="006E282B"/>
    <w:rsid w:val="007C6E6B"/>
    <w:rsid w:val="007D0EB6"/>
    <w:rsid w:val="007F7227"/>
    <w:rsid w:val="00810482"/>
    <w:rsid w:val="00815118"/>
    <w:rsid w:val="00815207"/>
    <w:rsid w:val="008615F2"/>
    <w:rsid w:val="008B2550"/>
    <w:rsid w:val="00901FCD"/>
    <w:rsid w:val="0096332C"/>
    <w:rsid w:val="00A72CB0"/>
    <w:rsid w:val="00AB14C2"/>
    <w:rsid w:val="00B35A4B"/>
    <w:rsid w:val="00B4413B"/>
    <w:rsid w:val="00B60A7A"/>
    <w:rsid w:val="00B615BA"/>
    <w:rsid w:val="00BE4AD2"/>
    <w:rsid w:val="00C21FE0"/>
    <w:rsid w:val="00C762BF"/>
    <w:rsid w:val="00CC7673"/>
    <w:rsid w:val="00CD31F3"/>
    <w:rsid w:val="00CE0935"/>
    <w:rsid w:val="00DE7E01"/>
    <w:rsid w:val="00E268F9"/>
    <w:rsid w:val="00F6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16A4"/>
  <w15:chartTrackingRefBased/>
  <w15:docId w15:val="{3592FECA-5AB9-4649-8B9E-F1ED328A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5F2"/>
    <w:pPr>
      <w:ind w:left="720"/>
      <w:contextualSpacing/>
    </w:pPr>
  </w:style>
  <w:style w:type="paragraph" w:styleId="BalloonText">
    <w:name w:val="Balloon Text"/>
    <w:basedOn w:val="Normal"/>
    <w:link w:val="BalloonTextChar"/>
    <w:uiPriority w:val="99"/>
    <w:semiHidden/>
    <w:unhideWhenUsed/>
    <w:rsid w:val="00376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4A"/>
    <w:rPr>
      <w:rFonts w:ascii="Segoe UI" w:hAnsi="Segoe UI" w:cs="Segoe UI"/>
      <w:sz w:val="18"/>
      <w:szCs w:val="18"/>
    </w:rPr>
  </w:style>
  <w:style w:type="character" w:styleId="CommentReference">
    <w:name w:val="annotation reference"/>
    <w:basedOn w:val="DefaultParagraphFont"/>
    <w:uiPriority w:val="99"/>
    <w:semiHidden/>
    <w:unhideWhenUsed/>
    <w:rsid w:val="00491A48"/>
    <w:rPr>
      <w:sz w:val="16"/>
      <w:szCs w:val="16"/>
    </w:rPr>
  </w:style>
  <w:style w:type="paragraph" w:styleId="CommentText">
    <w:name w:val="annotation text"/>
    <w:basedOn w:val="Normal"/>
    <w:link w:val="CommentTextChar"/>
    <w:uiPriority w:val="99"/>
    <w:semiHidden/>
    <w:unhideWhenUsed/>
    <w:rsid w:val="00491A48"/>
    <w:pPr>
      <w:spacing w:line="240" w:lineRule="auto"/>
    </w:pPr>
    <w:rPr>
      <w:sz w:val="20"/>
      <w:szCs w:val="20"/>
    </w:rPr>
  </w:style>
  <w:style w:type="character" w:customStyle="1" w:styleId="CommentTextChar">
    <w:name w:val="Comment Text Char"/>
    <w:basedOn w:val="DefaultParagraphFont"/>
    <w:link w:val="CommentText"/>
    <w:uiPriority w:val="99"/>
    <w:semiHidden/>
    <w:rsid w:val="00491A48"/>
    <w:rPr>
      <w:sz w:val="20"/>
      <w:szCs w:val="20"/>
    </w:rPr>
  </w:style>
  <w:style w:type="paragraph" w:styleId="CommentSubject">
    <w:name w:val="annotation subject"/>
    <w:basedOn w:val="CommentText"/>
    <w:next w:val="CommentText"/>
    <w:link w:val="CommentSubjectChar"/>
    <w:uiPriority w:val="99"/>
    <w:semiHidden/>
    <w:unhideWhenUsed/>
    <w:rsid w:val="00491A48"/>
    <w:rPr>
      <w:b/>
      <w:bCs/>
    </w:rPr>
  </w:style>
  <w:style w:type="character" w:customStyle="1" w:styleId="CommentSubjectChar">
    <w:name w:val="Comment Subject Char"/>
    <w:basedOn w:val="CommentTextChar"/>
    <w:link w:val="CommentSubject"/>
    <w:uiPriority w:val="99"/>
    <w:semiHidden/>
    <w:rsid w:val="00491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Jennifer Dionne</cp:lastModifiedBy>
  <cp:revision>17</cp:revision>
  <cp:lastPrinted>2017-10-19T12:59:00Z</cp:lastPrinted>
  <dcterms:created xsi:type="dcterms:W3CDTF">2017-10-12T13:01:00Z</dcterms:created>
  <dcterms:modified xsi:type="dcterms:W3CDTF">2017-10-19T17:49:00Z</dcterms:modified>
</cp:coreProperties>
</file>