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49D" w:rsidRPr="00EE6BBF" w:rsidRDefault="00EE6BBF">
      <w:pPr>
        <w:rPr>
          <w:rFonts w:ascii="Arial" w:hAnsi="Arial" w:cs="Arial"/>
          <w:b/>
          <w:sz w:val="28"/>
        </w:rPr>
      </w:pPr>
      <w:r w:rsidRPr="00EE6BBF">
        <w:rPr>
          <w:rFonts w:ascii="Arial" w:hAnsi="Arial" w:cs="Arial"/>
          <w:b/>
          <w:sz w:val="28"/>
        </w:rPr>
        <w:t xml:space="preserve">Preliminary Questions in relation to GA Analysis </w:t>
      </w:r>
      <w:proofErr w:type="spellStart"/>
      <w:r w:rsidRPr="00EE6BBF">
        <w:rPr>
          <w:rFonts w:ascii="Arial" w:hAnsi="Arial" w:cs="Arial"/>
          <w:b/>
          <w:sz w:val="28"/>
        </w:rPr>
        <w:t>Workform</w:t>
      </w:r>
      <w:proofErr w:type="spellEnd"/>
    </w:p>
    <w:p w:rsidR="00EE6BBF" w:rsidRPr="000162D6" w:rsidRDefault="00EE6BBF" w:rsidP="00EE6BBF">
      <w:pPr>
        <w:pStyle w:val="ListParagraph"/>
        <w:numPr>
          <w:ilvl w:val="0"/>
          <w:numId w:val="1"/>
        </w:numPr>
        <w:rPr>
          <w:rFonts w:ascii="Arial" w:hAnsi="Arial" w:cs="Arial"/>
          <w:sz w:val="24"/>
          <w:szCs w:val="24"/>
        </w:rPr>
      </w:pPr>
      <w:r w:rsidRPr="000162D6">
        <w:rPr>
          <w:rFonts w:ascii="Arial" w:hAnsi="Arial" w:cs="Arial"/>
          <w:sz w:val="24"/>
          <w:szCs w:val="24"/>
        </w:rPr>
        <w:t>In booking expense journal entries for Charge Type 1142 (formerly 142), and Charge Type 148 from the IESO invoice, please confirm which of the following approach is used:</w:t>
      </w:r>
    </w:p>
    <w:p w:rsidR="00EE6BBF" w:rsidRDefault="00EE6BBF" w:rsidP="00EE6BBF">
      <w:pPr>
        <w:pStyle w:val="ListParagraph"/>
        <w:numPr>
          <w:ilvl w:val="0"/>
          <w:numId w:val="2"/>
        </w:numPr>
        <w:rPr>
          <w:rFonts w:ascii="Arial" w:hAnsi="Arial" w:cs="Arial"/>
          <w:sz w:val="24"/>
          <w:szCs w:val="24"/>
        </w:rPr>
      </w:pPr>
      <w:r w:rsidRPr="000162D6">
        <w:rPr>
          <w:rFonts w:ascii="Arial" w:hAnsi="Arial" w:cs="Arial"/>
          <w:sz w:val="24"/>
          <w:szCs w:val="24"/>
        </w:rPr>
        <w:t>Charge Type 1142 is booked into Account 1588. Charge Type 148 is pro-rated based on RPP/non-RPP consumption and then booked into Account 1588 and 1589, respectively</w:t>
      </w:r>
    </w:p>
    <w:p w:rsidR="00EE6BBF" w:rsidRDefault="00EE6BBF" w:rsidP="00EE6BBF">
      <w:pPr>
        <w:pStyle w:val="ListParagraph"/>
        <w:numPr>
          <w:ilvl w:val="0"/>
          <w:numId w:val="2"/>
        </w:numPr>
        <w:rPr>
          <w:rFonts w:ascii="Arial" w:hAnsi="Arial" w:cs="Arial"/>
          <w:sz w:val="24"/>
          <w:szCs w:val="24"/>
        </w:rPr>
      </w:pPr>
      <w:r w:rsidRPr="000162D6">
        <w:rPr>
          <w:rFonts w:ascii="Arial" w:hAnsi="Arial" w:cs="Arial"/>
          <w:sz w:val="24"/>
          <w:szCs w:val="24"/>
        </w:rPr>
        <w:t xml:space="preserve"> Charge Type 148 is booked into Account 1589. The portion of Charge Type 1142 equalling RPP-HOEP for RPP consumption is booked into Account 1588. The portion of Charge Type 1142 equalling GA RPP is credited into Account 1589.</w:t>
      </w:r>
    </w:p>
    <w:p w:rsidR="00EE6BBF" w:rsidRDefault="00EE6BBF" w:rsidP="00EE6BBF">
      <w:pPr>
        <w:pStyle w:val="ListParagraph"/>
        <w:numPr>
          <w:ilvl w:val="0"/>
          <w:numId w:val="2"/>
        </w:numPr>
        <w:rPr>
          <w:rFonts w:ascii="Arial" w:hAnsi="Arial" w:cs="Arial"/>
          <w:sz w:val="24"/>
          <w:szCs w:val="24"/>
        </w:rPr>
      </w:pPr>
      <w:r w:rsidRPr="000162D6">
        <w:rPr>
          <w:rFonts w:ascii="Arial" w:hAnsi="Arial" w:cs="Arial"/>
          <w:sz w:val="24"/>
          <w:szCs w:val="24"/>
        </w:rPr>
        <w:t xml:space="preserve"> Another approach.  Please explain this approach in detail.</w:t>
      </w:r>
    </w:p>
    <w:p w:rsidR="00EE6BBF" w:rsidRDefault="00EE6BBF">
      <w:pPr>
        <w:rPr>
          <w:rFonts w:ascii="Arial" w:hAnsi="Arial" w:cs="Arial"/>
          <w:sz w:val="28"/>
        </w:rPr>
      </w:pPr>
    </w:p>
    <w:p w:rsidR="00EE6BBF" w:rsidRDefault="00EE6BBF" w:rsidP="00EE6BBF">
      <w:pPr>
        <w:pStyle w:val="ListParagraph"/>
        <w:numPr>
          <w:ilvl w:val="0"/>
          <w:numId w:val="1"/>
        </w:numPr>
        <w:rPr>
          <w:rFonts w:ascii="Arial" w:hAnsi="Arial" w:cs="Arial"/>
          <w:sz w:val="24"/>
          <w:szCs w:val="24"/>
        </w:rPr>
      </w:pPr>
      <w:proofErr w:type="gramStart"/>
      <w:r w:rsidRPr="001B35AC">
        <w:rPr>
          <w:rFonts w:ascii="Arial" w:hAnsi="Arial" w:cs="Arial"/>
          <w:sz w:val="24"/>
          <w:szCs w:val="24"/>
        </w:rPr>
        <w:t>With regards to</w:t>
      </w:r>
      <w:proofErr w:type="gramEnd"/>
      <w:r w:rsidRPr="001B35AC">
        <w:rPr>
          <w:rFonts w:ascii="Arial" w:hAnsi="Arial" w:cs="Arial"/>
          <w:sz w:val="24"/>
          <w:szCs w:val="24"/>
        </w:rPr>
        <w:t xml:space="preserve"> the D</w:t>
      </w:r>
      <w:r>
        <w:rPr>
          <w:rFonts w:ascii="Arial" w:hAnsi="Arial" w:cs="Arial"/>
          <w:sz w:val="24"/>
          <w:szCs w:val="24"/>
        </w:rPr>
        <w:t>ec. 31 balance in Account 1589, expense components that flow into Account 1589 (</w:t>
      </w:r>
      <w:proofErr w:type="spellStart"/>
      <w:r>
        <w:rPr>
          <w:rFonts w:ascii="Arial" w:hAnsi="Arial" w:cs="Arial"/>
          <w:sz w:val="24"/>
          <w:szCs w:val="24"/>
        </w:rPr>
        <w:t>i</w:t>
      </w:r>
      <w:proofErr w:type="spellEnd"/>
      <w:r>
        <w:rPr>
          <w:rFonts w:ascii="Arial" w:hAnsi="Arial" w:cs="Arial"/>
          <w:sz w:val="24"/>
          <w:szCs w:val="24"/>
        </w:rPr>
        <w:t xml:space="preserve"> to iv in table below) should all be based on actuals at year end. Please complete the following table </w:t>
      </w:r>
      <w:r w:rsidR="00005A46">
        <w:rPr>
          <w:rFonts w:ascii="Arial" w:hAnsi="Arial" w:cs="Arial"/>
          <w:sz w:val="24"/>
          <w:szCs w:val="24"/>
        </w:rPr>
        <w:t xml:space="preserve">for </w:t>
      </w:r>
      <w:r w:rsidR="00CE4AE7">
        <w:rPr>
          <w:rFonts w:ascii="Arial" w:hAnsi="Arial" w:cs="Arial"/>
          <w:sz w:val="24"/>
          <w:szCs w:val="24"/>
        </w:rPr>
        <w:t>each</w:t>
      </w:r>
      <w:r w:rsidR="00D923E9">
        <w:rPr>
          <w:rFonts w:ascii="Arial" w:hAnsi="Arial" w:cs="Arial"/>
          <w:sz w:val="24"/>
          <w:szCs w:val="24"/>
        </w:rPr>
        <w:t xml:space="preserve"> </w:t>
      </w:r>
      <w:r w:rsidR="00CE4AE7">
        <w:rPr>
          <w:rFonts w:ascii="Arial" w:hAnsi="Arial" w:cs="Arial"/>
          <w:sz w:val="24"/>
          <w:szCs w:val="24"/>
        </w:rPr>
        <w:t xml:space="preserve">of the </w:t>
      </w:r>
      <w:r w:rsidR="00005A46">
        <w:rPr>
          <w:rFonts w:ascii="Arial" w:hAnsi="Arial" w:cs="Arial"/>
          <w:sz w:val="24"/>
          <w:szCs w:val="24"/>
        </w:rPr>
        <w:t>Reconciling Item</w:t>
      </w:r>
      <w:r w:rsidR="00CE4AE7">
        <w:rPr>
          <w:rFonts w:ascii="Arial" w:hAnsi="Arial" w:cs="Arial"/>
          <w:sz w:val="24"/>
          <w:szCs w:val="24"/>
        </w:rPr>
        <w:t>s</w:t>
      </w:r>
      <w:r w:rsidR="00005A46">
        <w:rPr>
          <w:rFonts w:ascii="Arial" w:hAnsi="Arial" w:cs="Arial"/>
          <w:sz w:val="24"/>
          <w:szCs w:val="24"/>
        </w:rPr>
        <w:t xml:space="preserve"> 1a and 1b </w:t>
      </w:r>
      <w:r>
        <w:rPr>
          <w:rFonts w:ascii="Arial" w:hAnsi="Arial" w:cs="Arial"/>
          <w:sz w:val="24"/>
          <w:szCs w:val="24"/>
        </w:rPr>
        <w:t>to</w:t>
      </w:r>
      <w:r w:rsidR="00005A46">
        <w:rPr>
          <w:rFonts w:ascii="Arial" w:hAnsi="Arial" w:cs="Arial"/>
          <w:sz w:val="24"/>
          <w:szCs w:val="24"/>
        </w:rPr>
        <w:t>:</w:t>
      </w:r>
      <w:r>
        <w:rPr>
          <w:rFonts w:ascii="Arial" w:hAnsi="Arial" w:cs="Arial"/>
          <w:sz w:val="24"/>
          <w:szCs w:val="24"/>
        </w:rPr>
        <w:t xml:space="preserve"> a) indicate whether the component is based on estimates or actuals at year end</w:t>
      </w:r>
      <w:r w:rsidR="00005A46">
        <w:rPr>
          <w:rFonts w:ascii="Arial" w:hAnsi="Arial" w:cs="Arial"/>
          <w:sz w:val="24"/>
          <w:szCs w:val="24"/>
        </w:rPr>
        <w:t>,</w:t>
      </w:r>
      <w:r>
        <w:rPr>
          <w:rFonts w:ascii="Arial" w:hAnsi="Arial" w:cs="Arial"/>
          <w:sz w:val="24"/>
          <w:szCs w:val="24"/>
        </w:rPr>
        <w:t xml:space="preserve"> and b) quantify the adjustment pertaining to each component that is trued up from estimate to actual</w:t>
      </w:r>
    </w:p>
    <w:tbl>
      <w:tblPr>
        <w:tblStyle w:val="TableGrid"/>
        <w:tblW w:w="9605" w:type="dxa"/>
        <w:tblLook w:val="04A0" w:firstRow="1" w:lastRow="0" w:firstColumn="1" w:lastColumn="0" w:noHBand="0" w:noVBand="1"/>
      </w:tblPr>
      <w:tblGrid>
        <w:gridCol w:w="390"/>
        <w:gridCol w:w="1870"/>
        <w:gridCol w:w="1870"/>
        <w:gridCol w:w="3605"/>
        <w:gridCol w:w="1870"/>
      </w:tblGrid>
      <w:tr w:rsidR="00EE6BBF" w:rsidTr="004430C5">
        <w:tc>
          <w:tcPr>
            <w:tcW w:w="390" w:type="dxa"/>
          </w:tcPr>
          <w:p w:rsidR="00EE6BBF" w:rsidRPr="00360DCD" w:rsidRDefault="00EE6BBF" w:rsidP="004430C5">
            <w:pPr>
              <w:rPr>
                <w:rFonts w:ascii="Arial" w:hAnsi="Arial" w:cs="Arial"/>
                <w:sz w:val="20"/>
                <w:szCs w:val="20"/>
              </w:rPr>
            </w:pPr>
          </w:p>
        </w:tc>
        <w:tc>
          <w:tcPr>
            <w:tcW w:w="1870" w:type="dxa"/>
          </w:tcPr>
          <w:p w:rsidR="00EE6BBF" w:rsidRPr="00360DCD" w:rsidRDefault="00EE6BBF" w:rsidP="004430C5">
            <w:pPr>
              <w:rPr>
                <w:rFonts w:ascii="Arial" w:hAnsi="Arial" w:cs="Arial"/>
                <w:b/>
                <w:sz w:val="20"/>
                <w:szCs w:val="20"/>
              </w:rPr>
            </w:pPr>
            <w:r w:rsidRPr="00360DCD">
              <w:rPr>
                <w:rFonts w:ascii="Arial" w:hAnsi="Arial" w:cs="Arial"/>
                <w:b/>
                <w:sz w:val="20"/>
                <w:szCs w:val="20"/>
              </w:rPr>
              <w:t>Component</w:t>
            </w:r>
          </w:p>
        </w:tc>
        <w:tc>
          <w:tcPr>
            <w:tcW w:w="1870" w:type="dxa"/>
          </w:tcPr>
          <w:p w:rsidR="00EE6BBF" w:rsidRPr="00360DCD" w:rsidRDefault="00EE6BBF" w:rsidP="004430C5">
            <w:pPr>
              <w:rPr>
                <w:rFonts w:ascii="Arial" w:hAnsi="Arial" w:cs="Arial"/>
                <w:b/>
                <w:sz w:val="20"/>
                <w:szCs w:val="20"/>
              </w:rPr>
            </w:pPr>
            <w:r w:rsidRPr="00360DCD">
              <w:rPr>
                <w:rFonts w:ascii="Arial" w:hAnsi="Arial" w:cs="Arial"/>
                <w:b/>
                <w:sz w:val="20"/>
                <w:szCs w:val="20"/>
              </w:rPr>
              <w:t>a) Estimate or Actual</w:t>
            </w:r>
          </w:p>
        </w:tc>
        <w:tc>
          <w:tcPr>
            <w:tcW w:w="3605" w:type="dxa"/>
          </w:tcPr>
          <w:p w:rsidR="00EE6BBF" w:rsidRPr="00360DCD" w:rsidRDefault="00EE6BBF" w:rsidP="004430C5">
            <w:pPr>
              <w:rPr>
                <w:rFonts w:ascii="Arial" w:hAnsi="Arial" w:cs="Arial"/>
                <w:b/>
                <w:sz w:val="20"/>
                <w:szCs w:val="20"/>
              </w:rPr>
            </w:pPr>
            <w:r w:rsidRPr="00360DCD">
              <w:rPr>
                <w:rFonts w:ascii="Arial" w:hAnsi="Arial" w:cs="Arial"/>
                <w:b/>
                <w:sz w:val="20"/>
                <w:szCs w:val="20"/>
              </w:rPr>
              <w:t>Notes/Comments</w:t>
            </w:r>
          </w:p>
        </w:tc>
        <w:tc>
          <w:tcPr>
            <w:tcW w:w="1870" w:type="dxa"/>
          </w:tcPr>
          <w:p w:rsidR="00EE6BBF" w:rsidRPr="00360DCD" w:rsidRDefault="00EE6BBF" w:rsidP="004430C5">
            <w:pPr>
              <w:rPr>
                <w:rFonts w:ascii="Arial" w:hAnsi="Arial" w:cs="Arial"/>
                <w:b/>
                <w:sz w:val="20"/>
                <w:szCs w:val="20"/>
              </w:rPr>
            </w:pPr>
            <w:r w:rsidRPr="00360DCD">
              <w:rPr>
                <w:rFonts w:ascii="Arial" w:hAnsi="Arial" w:cs="Arial"/>
                <w:b/>
                <w:sz w:val="20"/>
                <w:szCs w:val="20"/>
              </w:rPr>
              <w:t>b) Quantify True Up  Adjustment</w:t>
            </w:r>
          </w:p>
        </w:tc>
      </w:tr>
      <w:tr w:rsidR="00EE6BBF" w:rsidTr="004430C5">
        <w:tc>
          <w:tcPr>
            <w:tcW w:w="390" w:type="dxa"/>
          </w:tcPr>
          <w:p w:rsidR="00EE6BBF" w:rsidRPr="00360DCD" w:rsidRDefault="00EE6BBF" w:rsidP="00005A46">
            <w:pPr>
              <w:rPr>
                <w:rFonts w:ascii="Arial" w:hAnsi="Arial" w:cs="Arial"/>
                <w:sz w:val="20"/>
                <w:szCs w:val="20"/>
              </w:rPr>
            </w:pPr>
            <w:proofErr w:type="spellStart"/>
            <w:r w:rsidRPr="00360DCD">
              <w:rPr>
                <w:rFonts w:ascii="Arial" w:hAnsi="Arial" w:cs="Arial"/>
                <w:sz w:val="20"/>
                <w:szCs w:val="20"/>
              </w:rPr>
              <w:t>i</w:t>
            </w:r>
            <w:proofErr w:type="spellEnd"/>
          </w:p>
        </w:tc>
        <w:tc>
          <w:tcPr>
            <w:tcW w:w="1870" w:type="dxa"/>
          </w:tcPr>
          <w:p w:rsidR="00EE6BBF" w:rsidRPr="00360DCD" w:rsidRDefault="00EE6BBF" w:rsidP="004430C5">
            <w:pPr>
              <w:rPr>
                <w:rFonts w:ascii="Arial" w:hAnsi="Arial" w:cs="Arial"/>
                <w:sz w:val="20"/>
                <w:szCs w:val="20"/>
              </w:rPr>
            </w:pPr>
            <w:r>
              <w:rPr>
                <w:rFonts w:ascii="Arial" w:hAnsi="Arial" w:cs="Arial"/>
                <w:sz w:val="20"/>
                <w:szCs w:val="20"/>
              </w:rPr>
              <w:t>Expenses - GA non-RPP: Charge Type 148</w:t>
            </w:r>
            <w:r w:rsidRPr="00360DCD">
              <w:rPr>
                <w:rFonts w:ascii="Arial" w:hAnsi="Arial" w:cs="Arial"/>
                <w:sz w:val="20"/>
                <w:szCs w:val="20"/>
              </w:rPr>
              <w:t xml:space="preserve"> with respect to the quantum dollar amount </w:t>
            </w:r>
            <w:r>
              <w:rPr>
                <w:rFonts w:ascii="Arial" w:hAnsi="Arial" w:cs="Arial"/>
                <w:sz w:val="20"/>
                <w:szCs w:val="20"/>
              </w:rPr>
              <w:t>(i.e. is expense based on IESO invoice at year end)</w:t>
            </w:r>
          </w:p>
          <w:p w:rsidR="00EE6BBF" w:rsidRPr="00360DCD" w:rsidRDefault="00EE6BBF" w:rsidP="004430C5">
            <w:pPr>
              <w:rPr>
                <w:rFonts w:ascii="Arial" w:hAnsi="Arial" w:cs="Arial"/>
                <w:sz w:val="20"/>
                <w:szCs w:val="20"/>
              </w:rPr>
            </w:pPr>
          </w:p>
        </w:tc>
        <w:tc>
          <w:tcPr>
            <w:tcW w:w="1870" w:type="dxa"/>
          </w:tcPr>
          <w:p w:rsidR="00EE6BBF" w:rsidRPr="00360DCD" w:rsidRDefault="00EE6BBF" w:rsidP="004430C5">
            <w:pPr>
              <w:rPr>
                <w:rFonts w:ascii="Arial" w:hAnsi="Arial" w:cs="Arial"/>
                <w:sz w:val="20"/>
                <w:szCs w:val="20"/>
              </w:rPr>
            </w:pPr>
          </w:p>
        </w:tc>
        <w:tc>
          <w:tcPr>
            <w:tcW w:w="3605" w:type="dxa"/>
          </w:tcPr>
          <w:p w:rsidR="00EE6BBF" w:rsidRPr="00360DCD" w:rsidRDefault="00EE6BBF" w:rsidP="004430C5">
            <w:pPr>
              <w:rPr>
                <w:rFonts w:ascii="Arial" w:hAnsi="Arial" w:cs="Arial"/>
                <w:sz w:val="20"/>
                <w:szCs w:val="20"/>
              </w:rPr>
            </w:pPr>
          </w:p>
        </w:tc>
        <w:tc>
          <w:tcPr>
            <w:tcW w:w="1870" w:type="dxa"/>
          </w:tcPr>
          <w:p w:rsidR="00EE6BBF" w:rsidRPr="00360DCD" w:rsidRDefault="00EE6BBF" w:rsidP="004430C5">
            <w:pPr>
              <w:rPr>
                <w:rFonts w:ascii="Arial" w:hAnsi="Arial" w:cs="Arial"/>
                <w:sz w:val="20"/>
                <w:szCs w:val="20"/>
              </w:rPr>
            </w:pPr>
          </w:p>
        </w:tc>
      </w:tr>
      <w:tr w:rsidR="00EE6BBF" w:rsidTr="004430C5">
        <w:tc>
          <w:tcPr>
            <w:tcW w:w="390" w:type="dxa"/>
          </w:tcPr>
          <w:p w:rsidR="00EE6BBF" w:rsidRPr="00360DCD" w:rsidRDefault="00EE6BBF" w:rsidP="004430C5">
            <w:pPr>
              <w:rPr>
                <w:rFonts w:ascii="Arial" w:hAnsi="Arial" w:cs="Arial"/>
                <w:sz w:val="20"/>
                <w:szCs w:val="20"/>
              </w:rPr>
            </w:pPr>
            <w:r w:rsidRPr="00360DCD">
              <w:rPr>
                <w:rFonts w:ascii="Arial" w:hAnsi="Arial" w:cs="Arial"/>
                <w:sz w:val="20"/>
                <w:szCs w:val="20"/>
              </w:rPr>
              <w:t>ii</w:t>
            </w:r>
          </w:p>
        </w:tc>
        <w:tc>
          <w:tcPr>
            <w:tcW w:w="1870" w:type="dxa"/>
          </w:tcPr>
          <w:p w:rsidR="00EE6BBF" w:rsidRPr="00360DCD" w:rsidRDefault="00EE6BBF" w:rsidP="004430C5">
            <w:pPr>
              <w:rPr>
                <w:rFonts w:ascii="Arial" w:hAnsi="Arial" w:cs="Arial"/>
                <w:sz w:val="20"/>
                <w:szCs w:val="20"/>
              </w:rPr>
            </w:pPr>
            <w:r>
              <w:rPr>
                <w:rFonts w:ascii="Arial" w:hAnsi="Arial" w:cs="Arial"/>
                <w:sz w:val="20"/>
                <w:szCs w:val="20"/>
              </w:rPr>
              <w:t>Expenses - GA non-RPP: Charge Type 148</w:t>
            </w:r>
            <w:r w:rsidRPr="00360DCD">
              <w:rPr>
                <w:rFonts w:ascii="Arial" w:hAnsi="Arial" w:cs="Arial"/>
                <w:sz w:val="20"/>
                <w:szCs w:val="20"/>
              </w:rPr>
              <w:t xml:space="preserve"> with respect and RPP/non-RPP pro-ration percentages</w:t>
            </w:r>
          </w:p>
          <w:p w:rsidR="00EE6BBF" w:rsidRPr="00360DCD" w:rsidRDefault="00EE6BBF" w:rsidP="004430C5">
            <w:pPr>
              <w:rPr>
                <w:rFonts w:ascii="Arial" w:hAnsi="Arial" w:cs="Arial"/>
                <w:sz w:val="20"/>
                <w:szCs w:val="20"/>
              </w:rPr>
            </w:pPr>
          </w:p>
        </w:tc>
        <w:tc>
          <w:tcPr>
            <w:tcW w:w="1870" w:type="dxa"/>
          </w:tcPr>
          <w:p w:rsidR="00EE6BBF" w:rsidRPr="00360DCD" w:rsidRDefault="00EE6BBF" w:rsidP="004430C5">
            <w:pPr>
              <w:rPr>
                <w:rFonts w:ascii="Arial" w:hAnsi="Arial" w:cs="Arial"/>
                <w:sz w:val="20"/>
                <w:szCs w:val="20"/>
              </w:rPr>
            </w:pPr>
          </w:p>
        </w:tc>
        <w:tc>
          <w:tcPr>
            <w:tcW w:w="3605" w:type="dxa"/>
          </w:tcPr>
          <w:p w:rsidR="00EE6BBF" w:rsidRPr="00360DCD" w:rsidRDefault="00EE6BBF" w:rsidP="004430C5">
            <w:pPr>
              <w:rPr>
                <w:rFonts w:ascii="Arial" w:hAnsi="Arial" w:cs="Arial"/>
                <w:sz w:val="20"/>
                <w:szCs w:val="20"/>
              </w:rPr>
            </w:pPr>
          </w:p>
        </w:tc>
        <w:tc>
          <w:tcPr>
            <w:tcW w:w="1870" w:type="dxa"/>
          </w:tcPr>
          <w:p w:rsidR="00EE6BBF" w:rsidRPr="00360DCD" w:rsidRDefault="00EE6BBF" w:rsidP="004430C5">
            <w:pPr>
              <w:rPr>
                <w:rFonts w:ascii="Arial" w:hAnsi="Arial" w:cs="Arial"/>
                <w:sz w:val="20"/>
                <w:szCs w:val="20"/>
              </w:rPr>
            </w:pPr>
          </w:p>
        </w:tc>
      </w:tr>
      <w:tr w:rsidR="00EE6BBF" w:rsidTr="004430C5">
        <w:tc>
          <w:tcPr>
            <w:tcW w:w="390" w:type="dxa"/>
          </w:tcPr>
          <w:p w:rsidR="00EE6BBF" w:rsidRPr="00360DCD" w:rsidRDefault="00EE6BBF" w:rsidP="00005A46">
            <w:pPr>
              <w:rPr>
                <w:rFonts w:ascii="Arial" w:hAnsi="Arial" w:cs="Arial"/>
                <w:sz w:val="20"/>
                <w:szCs w:val="20"/>
              </w:rPr>
            </w:pPr>
            <w:r w:rsidRPr="00360DCD">
              <w:rPr>
                <w:rFonts w:ascii="Arial" w:hAnsi="Arial" w:cs="Arial"/>
                <w:sz w:val="20"/>
                <w:szCs w:val="20"/>
              </w:rPr>
              <w:t>i</w:t>
            </w:r>
            <w:r w:rsidR="00005A46">
              <w:rPr>
                <w:rFonts w:ascii="Arial" w:hAnsi="Arial" w:cs="Arial"/>
                <w:sz w:val="20"/>
                <w:szCs w:val="20"/>
              </w:rPr>
              <w:t>ii</w:t>
            </w:r>
          </w:p>
        </w:tc>
        <w:tc>
          <w:tcPr>
            <w:tcW w:w="1870" w:type="dxa"/>
          </w:tcPr>
          <w:p w:rsidR="00EE6BBF" w:rsidRPr="00360DCD" w:rsidRDefault="00EE6BBF" w:rsidP="004430C5">
            <w:pPr>
              <w:rPr>
                <w:rFonts w:ascii="Arial" w:hAnsi="Arial" w:cs="Arial"/>
                <w:sz w:val="20"/>
                <w:szCs w:val="20"/>
              </w:rPr>
            </w:pPr>
            <w:r w:rsidRPr="00360DCD">
              <w:rPr>
                <w:rFonts w:ascii="Arial" w:hAnsi="Arial" w:cs="Arial"/>
                <w:sz w:val="20"/>
                <w:szCs w:val="20"/>
              </w:rPr>
              <w:t xml:space="preserve">Credit of GA </w:t>
            </w:r>
            <w:r>
              <w:rPr>
                <w:rFonts w:ascii="Arial" w:hAnsi="Arial" w:cs="Arial"/>
                <w:sz w:val="20"/>
                <w:szCs w:val="20"/>
              </w:rPr>
              <w:t xml:space="preserve">RPP: Charge Type 142 </w:t>
            </w:r>
            <w:r w:rsidRPr="00360DCD">
              <w:rPr>
                <w:rFonts w:ascii="Arial" w:hAnsi="Arial" w:cs="Arial"/>
                <w:sz w:val="20"/>
                <w:szCs w:val="20"/>
              </w:rPr>
              <w:t>if the approach under IR 1b is used</w:t>
            </w:r>
          </w:p>
          <w:p w:rsidR="00EE6BBF" w:rsidRPr="00360DCD" w:rsidRDefault="00EE6BBF" w:rsidP="004430C5">
            <w:pPr>
              <w:rPr>
                <w:rFonts w:ascii="Arial" w:hAnsi="Arial" w:cs="Arial"/>
                <w:sz w:val="20"/>
                <w:szCs w:val="20"/>
              </w:rPr>
            </w:pPr>
          </w:p>
        </w:tc>
        <w:tc>
          <w:tcPr>
            <w:tcW w:w="1870" w:type="dxa"/>
          </w:tcPr>
          <w:p w:rsidR="00EE6BBF" w:rsidRPr="00360DCD" w:rsidRDefault="00EE6BBF" w:rsidP="004430C5">
            <w:pPr>
              <w:rPr>
                <w:rFonts w:ascii="Arial" w:hAnsi="Arial" w:cs="Arial"/>
                <w:sz w:val="20"/>
                <w:szCs w:val="20"/>
              </w:rPr>
            </w:pPr>
          </w:p>
        </w:tc>
        <w:tc>
          <w:tcPr>
            <w:tcW w:w="3605" w:type="dxa"/>
          </w:tcPr>
          <w:p w:rsidR="00EE6BBF" w:rsidRPr="00360DCD" w:rsidRDefault="00EE6BBF" w:rsidP="004430C5">
            <w:pPr>
              <w:rPr>
                <w:rFonts w:ascii="Arial" w:hAnsi="Arial" w:cs="Arial"/>
                <w:sz w:val="20"/>
                <w:szCs w:val="20"/>
              </w:rPr>
            </w:pPr>
          </w:p>
        </w:tc>
        <w:tc>
          <w:tcPr>
            <w:tcW w:w="1870" w:type="dxa"/>
          </w:tcPr>
          <w:p w:rsidR="00EE6BBF" w:rsidRPr="00360DCD" w:rsidRDefault="00EE6BBF" w:rsidP="004430C5">
            <w:pPr>
              <w:rPr>
                <w:rFonts w:ascii="Arial" w:hAnsi="Arial" w:cs="Arial"/>
                <w:sz w:val="20"/>
                <w:szCs w:val="20"/>
              </w:rPr>
            </w:pPr>
          </w:p>
        </w:tc>
      </w:tr>
    </w:tbl>
    <w:p w:rsidR="00D923E9" w:rsidRPr="00CE4AE7" w:rsidRDefault="00D923E9" w:rsidP="008F56B9">
      <w:pPr>
        <w:rPr>
          <w:rFonts w:ascii="Arial" w:hAnsi="Arial" w:cs="Arial"/>
          <w:sz w:val="28"/>
        </w:rPr>
      </w:pPr>
    </w:p>
    <w:p w:rsidR="00EE6BBF" w:rsidRDefault="00D923E9" w:rsidP="00CE4AE7">
      <w:pPr>
        <w:pStyle w:val="ListParagraph"/>
        <w:numPr>
          <w:ilvl w:val="0"/>
          <w:numId w:val="1"/>
        </w:numPr>
        <w:rPr>
          <w:rFonts w:ascii="Arial" w:hAnsi="Arial" w:cs="Arial"/>
          <w:sz w:val="24"/>
        </w:rPr>
      </w:pPr>
      <w:r>
        <w:rPr>
          <w:rFonts w:ascii="Arial" w:hAnsi="Arial" w:cs="Arial"/>
          <w:sz w:val="24"/>
        </w:rPr>
        <w:t xml:space="preserve">GA Analysis </w:t>
      </w:r>
      <w:proofErr w:type="spellStart"/>
      <w:r>
        <w:rPr>
          <w:rFonts w:ascii="Arial" w:hAnsi="Arial" w:cs="Arial"/>
          <w:sz w:val="24"/>
        </w:rPr>
        <w:t>Workform</w:t>
      </w:r>
      <w:proofErr w:type="spellEnd"/>
    </w:p>
    <w:p w:rsidR="001B4F0C" w:rsidRDefault="001B4F0C" w:rsidP="00CE4AE7">
      <w:pPr>
        <w:pStyle w:val="ListParagraph"/>
        <w:numPr>
          <w:ilvl w:val="1"/>
          <w:numId w:val="2"/>
        </w:numPr>
        <w:rPr>
          <w:rFonts w:ascii="Arial" w:hAnsi="Arial" w:cs="Arial"/>
          <w:sz w:val="24"/>
        </w:rPr>
      </w:pPr>
      <w:bookmarkStart w:id="0" w:name="_GoBack"/>
      <w:bookmarkEnd w:id="0"/>
      <w:r>
        <w:rPr>
          <w:rFonts w:ascii="Arial" w:hAnsi="Arial" w:cs="Arial"/>
          <w:sz w:val="24"/>
        </w:rPr>
        <w:t xml:space="preserve">What GA rate(s) does Hydro Ottawa use to accrue unbilled revenue </w:t>
      </w:r>
      <w:r w:rsidR="00DD3CCB">
        <w:rPr>
          <w:rFonts w:ascii="Arial" w:hAnsi="Arial" w:cs="Arial"/>
          <w:sz w:val="24"/>
        </w:rPr>
        <w:t>for non-RPP Class B customers within each</w:t>
      </w:r>
      <w:r>
        <w:rPr>
          <w:rFonts w:ascii="Arial" w:hAnsi="Arial" w:cs="Arial"/>
          <w:sz w:val="24"/>
        </w:rPr>
        <w:t xml:space="preserve"> customer </w:t>
      </w:r>
      <w:r>
        <w:rPr>
          <w:rFonts w:ascii="Arial" w:hAnsi="Arial" w:cs="Arial"/>
          <w:sz w:val="24"/>
        </w:rPr>
        <w:lastRenderedPageBreak/>
        <w:t>class.</w:t>
      </w:r>
      <w:r w:rsidR="008F56B9">
        <w:rPr>
          <w:rFonts w:ascii="Arial" w:hAnsi="Arial" w:cs="Arial"/>
          <w:sz w:val="24"/>
        </w:rPr>
        <w:t xml:space="preserve"> If the rates used for unbilled revenue are different from the rates that were used for billing purposes please calculate this amount and add additional reconciling items for the opening year and closing year adjustments.</w:t>
      </w:r>
    </w:p>
    <w:p w:rsidR="00D923E9" w:rsidRDefault="001B4F0C" w:rsidP="00CE4AE7">
      <w:pPr>
        <w:pStyle w:val="ListParagraph"/>
        <w:numPr>
          <w:ilvl w:val="1"/>
          <w:numId w:val="2"/>
        </w:numPr>
        <w:rPr>
          <w:rFonts w:ascii="Arial" w:hAnsi="Arial" w:cs="Arial"/>
          <w:sz w:val="24"/>
        </w:rPr>
      </w:pPr>
      <w:r>
        <w:rPr>
          <w:rFonts w:ascii="Arial" w:hAnsi="Arial" w:cs="Arial"/>
          <w:sz w:val="24"/>
        </w:rPr>
        <w:t xml:space="preserve">Please explain how the GA billing rate is determined for billing cycles that span more than one calendar month. </w:t>
      </w:r>
    </w:p>
    <w:p w:rsidR="008F56B9" w:rsidRDefault="008F56B9" w:rsidP="00CE4AE7">
      <w:pPr>
        <w:pStyle w:val="ListParagraph"/>
        <w:numPr>
          <w:ilvl w:val="1"/>
          <w:numId w:val="2"/>
        </w:numPr>
        <w:rPr>
          <w:rFonts w:ascii="Arial" w:hAnsi="Arial" w:cs="Arial"/>
          <w:sz w:val="24"/>
        </w:rPr>
      </w:pPr>
      <w:r>
        <w:rPr>
          <w:rFonts w:ascii="Arial" w:hAnsi="Arial" w:cs="Arial"/>
          <w:sz w:val="24"/>
          <w:szCs w:val="24"/>
        </w:rPr>
        <w:t>Please explain how you determined Reconciling Items 2a and 2b.</w:t>
      </w:r>
    </w:p>
    <w:p w:rsidR="003D3FE5" w:rsidRDefault="003D3FE5" w:rsidP="00CE4AE7">
      <w:pPr>
        <w:pStyle w:val="ListParagraph"/>
        <w:numPr>
          <w:ilvl w:val="1"/>
          <w:numId w:val="2"/>
        </w:numPr>
        <w:rPr>
          <w:rFonts w:ascii="Arial" w:hAnsi="Arial" w:cs="Arial"/>
          <w:sz w:val="24"/>
        </w:rPr>
      </w:pPr>
      <w:r>
        <w:rPr>
          <w:rFonts w:ascii="Arial" w:hAnsi="Arial" w:cs="Arial"/>
          <w:sz w:val="24"/>
        </w:rPr>
        <w:t>Please explain why the d</w:t>
      </w:r>
      <w:r w:rsidRPr="003D3FE5">
        <w:rPr>
          <w:rFonts w:ascii="Arial" w:hAnsi="Arial" w:cs="Arial"/>
          <w:sz w:val="24"/>
        </w:rPr>
        <w:t xml:space="preserve">ifference related to </w:t>
      </w:r>
      <w:r>
        <w:rPr>
          <w:rFonts w:ascii="Arial" w:hAnsi="Arial" w:cs="Arial"/>
          <w:sz w:val="24"/>
        </w:rPr>
        <w:t xml:space="preserve">GA </w:t>
      </w:r>
      <w:r w:rsidRPr="003D3FE5">
        <w:rPr>
          <w:rFonts w:ascii="Arial" w:hAnsi="Arial" w:cs="Arial"/>
          <w:sz w:val="24"/>
        </w:rPr>
        <w:t xml:space="preserve">revenue calculated in 'Expected GA Amount' Table compared to </w:t>
      </w:r>
      <w:r>
        <w:rPr>
          <w:rFonts w:ascii="Arial" w:hAnsi="Arial" w:cs="Arial"/>
          <w:sz w:val="24"/>
        </w:rPr>
        <w:t>the G</w:t>
      </w:r>
      <w:r w:rsidRPr="003D3FE5">
        <w:rPr>
          <w:rFonts w:ascii="Arial" w:hAnsi="Arial" w:cs="Arial"/>
          <w:sz w:val="24"/>
        </w:rPr>
        <w:t xml:space="preserve">eneral </w:t>
      </w:r>
      <w:r>
        <w:rPr>
          <w:rFonts w:ascii="Arial" w:hAnsi="Arial" w:cs="Arial"/>
          <w:sz w:val="24"/>
        </w:rPr>
        <w:t>L</w:t>
      </w:r>
      <w:r w:rsidRPr="003D3FE5">
        <w:rPr>
          <w:rFonts w:ascii="Arial" w:hAnsi="Arial" w:cs="Arial"/>
          <w:sz w:val="24"/>
        </w:rPr>
        <w:t>edger</w:t>
      </w:r>
      <w:r>
        <w:rPr>
          <w:rFonts w:ascii="Arial" w:hAnsi="Arial" w:cs="Arial"/>
          <w:sz w:val="24"/>
        </w:rPr>
        <w:t xml:space="preserve"> GA revenue amount is being treated as a reconciling item. The difference between the aforementioned amounts is already being explained in part by reconciling items 2a and 2b.</w:t>
      </w:r>
      <w:r w:rsidR="008F56B9">
        <w:rPr>
          <w:rFonts w:ascii="Arial" w:hAnsi="Arial" w:cs="Arial"/>
          <w:sz w:val="24"/>
        </w:rPr>
        <w:t xml:space="preserve"> Please update the GA Analysis </w:t>
      </w:r>
      <w:proofErr w:type="spellStart"/>
      <w:r w:rsidR="008F56B9">
        <w:rPr>
          <w:rFonts w:ascii="Arial" w:hAnsi="Arial" w:cs="Arial"/>
          <w:sz w:val="24"/>
        </w:rPr>
        <w:t>Workform</w:t>
      </w:r>
      <w:proofErr w:type="spellEnd"/>
      <w:r w:rsidR="008F56B9">
        <w:rPr>
          <w:rFonts w:ascii="Arial" w:hAnsi="Arial" w:cs="Arial"/>
          <w:sz w:val="24"/>
        </w:rPr>
        <w:t xml:space="preserve"> </w:t>
      </w:r>
      <w:r w:rsidR="00CE4AE7">
        <w:rPr>
          <w:rFonts w:ascii="Arial" w:hAnsi="Arial" w:cs="Arial"/>
          <w:sz w:val="24"/>
        </w:rPr>
        <w:t xml:space="preserve">as appropriate </w:t>
      </w:r>
      <w:r w:rsidR="008F56B9">
        <w:rPr>
          <w:rFonts w:ascii="Arial" w:hAnsi="Arial" w:cs="Arial"/>
          <w:sz w:val="24"/>
        </w:rPr>
        <w:t>if this should not be a reconciling item.</w:t>
      </w:r>
    </w:p>
    <w:p w:rsidR="003D3FE5" w:rsidRDefault="003D3FE5" w:rsidP="00CE4AE7">
      <w:pPr>
        <w:pStyle w:val="ListParagraph"/>
        <w:numPr>
          <w:ilvl w:val="1"/>
          <w:numId w:val="2"/>
        </w:numPr>
        <w:rPr>
          <w:rFonts w:ascii="Arial" w:hAnsi="Arial" w:cs="Arial"/>
          <w:sz w:val="24"/>
        </w:rPr>
      </w:pPr>
      <w:r>
        <w:rPr>
          <w:rFonts w:ascii="Arial" w:hAnsi="Arial" w:cs="Arial"/>
          <w:sz w:val="24"/>
        </w:rPr>
        <w:t xml:space="preserve">Relating to reconciling item 3a, please explain if the </w:t>
      </w:r>
      <w:r w:rsidRPr="003D3FE5">
        <w:rPr>
          <w:rFonts w:ascii="Arial" w:hAnsi="Arial" w:cs="Arial"/>
          <w:sz w:val="24"/>
        </w:rPr>
        <w:t xml:space="preserve">difference between </w:t>
      </w:r>
      <w:r>
        <w:rPr>
          <w:rFonts w:ascii="Arial" w:hAnsi="Arial" w:cs="Arial"/>
          <w:sz w:val="24"/>
        </w:rPr>
        <w:t xml:space="preserve">the </w:t>
      </w:r>
      <w:r w:rsidRPr="003D3FE5">
        <w:rPr>
          <w:rFonts w:ascii="Arial" w:hAnsi="Arial" w:cs="Arial"/>
          <w:sz w:val="24"/>
        </w:rPr>
        <w:t>prior year accrual to forecast from long term load transfers</w:t>
      </w:r>
      <w:r>
        <w:rPr>
          <w:rFonts w:ascii="Arial" w:hAnsi="Arial" w:cs="Arial"/>
          <w:sz w:val="24"/>
        </w:rPr>
        <w:t xml:space="preserve"> relates to GA revenue or wholesale GA costs?</w:t>
      </w:r>
      <w:r w:rsidR="008F56B9">
        <w:rPr>
          <w:rFonts w:ascii="Arial" w:hAnsi="Arial" w:cs="Arial"/>
          <w:sz w:val="24"/>
        </w:rPr>
        <w:t xml:space="preserve"> How was this amount determined?</w:t>
      </w:r>
    </w:p>
    <w:p w:rsidR="003D3FE5" w:rsidRDefault="003D3FE5" w:rsidP="00CE4AE7">
      <w:pPr>
        <w:pStyle w:val="ListParagraph"/>
        <w:ind w:left="1440"/>
        <w:rPr>
          <w:rFonts w:ascii="Arial" w:hAnsi="Arial" w:cs="Arial"/>
          <w:sz w:val="24"/>
        </w:rPr>
      </w:pPr>
    </w:p>
    <w:p w:rsidR="001B4F0C" w:rsidRDefault="001B4F0C" w:rsidP="00CE4AE7">
      <w:pPr>
        <w:pStyle w:val="ListParagraph"/>
        <w:ind w:left="360"/>
        <w:rPr>
          <w:rFonts w:ascii="Arial" w:hAnsi="Arial" w:cs="Arial"/>
          <w:sz w:val="24"/>
        </w:rPr>
      </w:pPr>
    </w:p>
    <w:p w:rsidR="001B4F0C" w:rsidRPr="00CE4AE7" w:rsidRDefault="001B4F0C" w:rsidP="00CE4AE7">
      <w:pPr>
        <w:pStyle w:val="ListParagraph"/>
        <w:ind w:left="360"/>
        <w:rPr>
          <w:rFonts w:ascii="Arial" w:hAnsi="Arial" w:cs="Arial"/>
          <w:sz w:val="24"/>
        </w:rPr>
      </w:pPr>
    </w:p>
    <w:sectPr w:rsidR="001B4F0C" w:rsidRPr="00CE4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E0327"/>
    <w:multiLevelType w:val="hybridMultilevel"/>
    <w:tmpl w:val="44E095B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E956CEF"/>
    <w:multiLevelType w:val="hybridMultilevel"/>
    <w:tmpl w:val="DB34011E"/>
    <w:lvl w:ilvl="0" w:tplc="10090011">
      <w:start w:val="1"/>
      <w:numFmt w:val="decimal"/>
      <w:lvlText w:val="%1)"/>
      <w:lvlJc w:val="left"/>
      <w:pPr>
        <w:ind w:left="360" w:hanging="360"/>
      </w:pPr>
      <w:rPr>
        <w:rFonts w:hint="default"/>
      </w:rPr>
    </w:lvl>
    <w:lvl w:ilvl="1" w:tplc="A2B6BE60">
      <w:start w:val="1"/>
      <w:numFmt w:val="lowerLetter"/>
      <w:lvlText w:val="%2)"/>
      <w:lvlJc w:val="left"/>
      <w:pPr>
        <w:ind w:left="1080" w:hanging="360"/>
      </w:pPr>
      <w:rPr>
        <w:rFonts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C9C"/>
    <w:rsid w:val="00005A46"/>
    <w:rsid w:val="00035CFF"/>
    <w:rsid w:val="001B4F0C"/>
    <w:rsid w:val="0033649D"/>
    <w:rsid w:val="003D3FE5"/>
    <w:rsid w:val="00655C9C"/>
    <w:rsid w:val="007737C9"/>
    <w:rsid w:val="008F56B9"/>
    <w:rsid w:val="00CE4AE7"/>
    <w:rsid w:val="00D923E9"/>
    <w:rsid w:val="00DD3CCB"/>
    <w:rsid w:val="00EE6BBF"/>
    <w:rsid w:val="00EE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D062A"/>
  <w15:chartTrackingRefBased/>
  <w15:docId w15:val="{FAD2DC13-1DC9-494F-BEA9-B4E631E5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BBF"/>
    <w:pPr>
      <w:spacing w:after="200" w:line="276" w:lineRule="auto"/>
      <w:ind w:left="720"/>
      <w:contextualSpacing/>
    </w:pPr>
    <w:rPr>
      <w:lang w:val="en-CA"/>
    </w:rPr>
  </w:style>
  <w:style w:type="table" w:styleId="TableGrid">
    <w:name w:val="Table Grid"/>
    <w:basedOn w:val="TableNormal"/>
    <w:uiPriority w:val="59"/>
    <w:rsid w:val="00EE6BBF"/>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5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A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Wang</dc:creator>
  <cp:keywords/>
  <dc:description/>
  <cp:lastModifiedBy>Katherine Wang</cp:lastModifiedBy>
  <cp:revision>3</cp:revision>
  <cp:lastPrinted>2017-10-20T13:56:00Z</cp:lastPrinted>
  <dcterms:created xsi:type="dcterms:W3CDTF">2017-10-20T13:10:00Z</dcterms:created>
  <dcterms:modified xsi:type="dcterms:W3CDTF">2017-10-20T14:50:00Z</dcterms:modified>
</cp:coreProperties>
</file>