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3FDD17" w14:textId="77777777" w:rsidR="00A07077" w:rsidRDefault="00A07077" w:rsidP="00A07077">
      <w:pPr>
        <w:pStyle w:val="Default"/>
        <w:rPr>
          <w:rFonts w:ascii="Arial" w:hAnsi="Arial" w:cs="Arial"/>
          <w:sz w:val="22"/>
          <w:szCs w:val="22"/>
        </w:rPr>
      </w:pPr>
    </w:p>
    <w:p w14:paraId="4611BE08" w14:textId="77777777" w:rsidR="00241AF6" w:rsidRPr="00241AF6" w:rsidRDefault="00241AF6" w:rsidP="00241AF6">
      <w:pPr>
        <w:spacing w:after="0"/>
        <w:jc w:val="center"/>
        <w:rPr>
          <w:rFonts w:ascii="Arial" w:hAnsi="Arial" w:cs="Arial"/>
          <w:b/>
          <w:bCs/>
          <w:sz w:val="28"/>
          <w:szCs w:val="24"/>
        </w:rPr>
      </w:pPr>
      <w:r w:rsidRPr="00241AF6">
        <w:rPr>
          <w:rFonts w:ascii="Arial" w:hAnsi="Arial" w:cs="Arial"/>
          <w:b/>
          <w:bCs/>
          <w:sz w:val="28"/>
          <w:szCs w:val="24"/>
        </w:rPr>
        <w:t>OEB Staff Interrogatories</w:t>
      </w:r>
    </w:p>
    <w:p w14:paraId="31B40A5B" w14:textId="77777777" w:rsidR="00241AF6" w:rsidRPr="00241AF6" w:rsidRDefault="00241AF6" w:rsidP="00241AF6">
      <w:pPr>
        <w:spacing w:after="0"/>
        <w:jc w:val="center"/>
        <w:rPr>
          <w:rFonts w:ascii="Arial" w:hAnsi="Arial" w:cs="Arial"/>
          <w:b/>
          <w:bCs/>
          <w:sz w:val="28"/>
          <w:szCs w:val="24"/>
        </w:rPr>
      </w:pPr>
      <w:bookmarkStart w:id="0" w:name="App_Name_2"/>
      <w:bookmarkEnd w:id="0"/>
      <w:r w:rsidRPr="00241AF6">
        <w:rPr>
          <w:rFonts w:ascii="Arial" w:hAnsi="Arial" w:cs="Arial"/>
          <w:b/>
          <w:bCs/>
          <w:sz w:val="28"/>
          <w:szCs w:val="24"/>
        </w:rPr>
        <w:t>2018 Electricity Distribution Rates Application</w:t>
      </w:r>
    </w:p>
    <w:p w14:paraId="62FE098B" w14:textId="77777777" w:rsidR="00241AF6" w:rsidRPr="00241AF6" w:rsidRDefault="00241AF6" w:rsidP="00241AF6">
      <w:pPr>
        <w:spacing w:after="0"/>
        <w:jc w:val="center"/>
        <w:rPr>
          <w:rFonts w:ascii="Arial" w:hAnsi="Arial" w:cs="Arial"/>
          <w:b/>
          <w:bCs/>
          <w:sz w:val="28"/>
          <w:szCs w:val="24"/>
        </w:rPr>
      </w:pPr>
      <w:bookmarkStart w:id="1" w:name="LDC_LName_2"/>
      <w:bookmarkEnd w:id="1"/>
      <w:r w:rsidRPr="00241AF6">
        <w:rPr>
          <w:rFonts w:ascii="Arial" w:hAnsi="Arial" w:cs="Arial"/>
          <w:b/>
          <w:bCs/>
          <w:sz w:val="28"/>
          <w:szCs w:val="24"/>
        </w:rPr>
        <w:t>Hydro Ottawa Limited (</w:t>
      </w:r>
      <w:bookmarkStart w:id="2" w:name="LDC_SName_4"/>
      <w:bookmarkEnd w:id="2"/>
      <w:r w:rsidRPr="00241AF6">
        <w:rPr>
          <w:rFonts w:ascii="Arial" w:hAnsi="Arial" w:cs="Arial"/>
          <w:b/>
          <w:bCs/>
          <w:sz w:val="28"/>
          <w:szCs w:val="24"/>
        </w:rPr>
        <w:t>Hydro Ottawa)</w:t>
      </w:r>
    </w:p>
    <w:p w14:paraId="46C0F416" w14:textId="77777777" w:rsidR="00241AF6" w:rsidRPr="00241AF6" w:rsidRDefault="00241AF6" w:rsidP="00241AF6">
      <w:pPr>
        <w:spacing w:after="0"/>
        <w:jc w:val="center"/>
        <w:rPr>
          <w:rFonts w:ascii="Arial" w:hAnsi="Arial" w:cs="Arial"/>
          <w:b/>
          <w:bCs/>
          <w:sz w:val="28"/>
          <w:szCs w:val="24"/>
        </w:rPr>
      </w:pPr>
      <w:bookmarkStart w:id="3" w:name="Case_Num_2"/>
      <w:bookmarkEnd w:id="3"/>
      <w:r w:rsidRPr="00241AF6">
        <w:rPr>
          <w:rFonts w:ascii="Arial" w:hAnsi="Arial" w:cs="Arial"/>
          <w:b/>
          <w:bCs/>
          <w:sz w:val="28"/>
          <w:szCs w:val="24"/>
        </w:rPr>
        <w:t>EB-2017-0052</w:t>
      </w:r>
    </w:p>
    <w:p w14:paraId="60E43C4D" w14:textId="7016A8E4" w:rsidR="00A07077" w:rsidRPr="003C5522" w:rsidRDefault="000B354A" w:rsidP="003C5522">
      <w:pPr>
        <w:spacing w:after="0"/>
        <w:jc w:val="center"/>
        <w:rPr>
          <w:rFonts w:ascii="Arial" w:hAnsi="Arial" w:cs="Arial"/>
          <w:b/>
          <w:bCs/>
          <w:sz w:val="28"/>
          <w:szCs w:val="24"/>
        </w:rPr>
      </w:pPr>
      <w:r w:rsidRPr="00FD29AF">
        <w:rPr>
          <w:rFonts w:ascii="Arial" w:hAnsi="Arial" w:cs="Arial"/>
          <w:b/>
          <w:bCs/>
          <w:sz w:val="28"/>
          <w:szCs w:val="24"/>
        </w:rPr>
        <w:t>November</w:t>
      </w:r>
      <w:r w:rsidR="00241AF6" w:rsidRPr="00FD29AF">
        <w:rPr>
          <w:rFonts w:ascii="Arial" w:hAnsi="Arial" w:cs="Arial"/>
          <w:b/>
          <w:bCs/>
          <w:sz w:val="28"/>
          <w:szCs w:val="24"/>
        </w:rPr>
        <w:t xml:space="preserve"> </w:t>
      </w:r>
      <w:r w:rsidR="004B5C27" w:rsidRPr="00FD29AF">
        <w:rPr>
          <w:rFonts w:ascii="Arial" w:hAnsi="Arial" w:cs="Arial"/>
          <w:b/>
          <w:bCs/>
          <w:sz w:val="28"/>
          <w:szCs w:val="24"/>
        </w:rPr>
        <w:t>7</w:t>
      </w:r>
      <w:r w:rsidR="00241AF6" w:rsidRPr="00FD29AF">
        <w:rPr>
          <w:rFonts w:ascii="Arial" w:hAnsi="Arial" w:cs="Arial"/>
          <w:b/>
          <w:bCs/>
          <w:sz w:val="28"/>
          <w:szCs w:val="24"/>
        </w:rPr>
        <w:t>, 2017</w:t>
      </w:r>
      <w:bookmarkStart w:id="4" w:name="_GoBack"/>
      <w:bookmarkEnd w:id="4"/>
    </w:p>
    <w:p w14:paraId="2EEA4E62" w14:textId="77777777" w:rsidR="00EC0B55" w:rsidRDefault="00EC0B55" w:rsidP="00302509">
      <w:pPr>
        <w:autoSpaceDE w:val="0"/>
        <w:autoSpaceDN w:val="0"/>
        <w:adjustRightInd w:val="0"/>
        <w:spacing w:after="0" w:line="240" w:lineRule="auto"/>
        <w:rPr>
          <w:rFonts w:ascii="Arial" w:hAnsi="Arial" w:cs="Arial"/>
          <w:b/>
          <w:bCs/>
          <w:color w:val="000000"/>
          <w:sz w:val="24"/>
          <w:szCs w:val="24"/>
        </w:rPr>
      </w:pPr>
    </w:p>
    <w:p w14:paraId="6DCDDB78" w14:textId="77777777" w:rsidR="008E6045" w:rsidRDefault="008E6045" w:rsidP="008E6045">
      <w:pPr>
        <w:rPr>
          <w:rFonts w:ascii="Arial" w:hAnsi="Arial" w:cs="Arial"/>
          <w:b/>
          <w:sz w:val="24"/>
          <w:szCs w:val="24"/>
        </w:rPr>
      </w:pPr>
      <w:r w:rsidRPr="002D056D">
        <w:rPr>
          <w:rFonts w:ascii="Arial" w:hAnsi="Arial" w:cs="Arial"/>
          <w:b/>
          <w:sz w:val="24"/>
          <w:szCs w:val="24"/>
        </w:rPr>
        <w:t>Staff IR-1</w:t>
      </w:r>
    </w:p>
    <w:p w14:paraId="0D696A95" w14:textId="77777777" w:rsidR="00B34082" w:rsidRDefault="00B34082" w:rsidP="008E6045">
      <w:pPr>
        <w:rPr>
          <w:rFonts w:ascii="Arial" w:hAnsi="Arial" w:cs="Arial"/>
          <w:b/>
          <w:sz w:val="24"/>
          <w:szCs w:val="24"/>
        </w:rPr>
      </w:pPr>
      <w:r>
        <w:rPr>
          <w:rFonts w:ascii="Arial" w:hAnsi="Arial" w:cs="Arial"/>
          <w:b/>
          <w:sz w:val="24"/>
          <w:szCs w:val="24"/>
        </w:rPr>
        <w:t>Ref:</w:t>
      </w:r>
      <w:r w:rsidR="00053AA5">
        <w:rPr>
          <w:rFonts w:ascii="Arial" w:hAnsi="Arial" w:cs="Arial"/>
          <w:b/>
          <w:sz w:val="24"/>
          <w:szCs w:val="24"/>
        </w:rPr>
        <w:t xml:space="preserve"> Revenue Requirement Workform (RRWF) – Tab 12 Res_Rate_Design</w:t>
      </w:r>
    </w:p>
    <w:p w14:paraId="202A7D78" w14:textId="77777777" w:rsidR="00B811BD" w:rsidRDefault="00053AA5" w:rsidP="008E6045">
      <w:pPr>
        <w:rPr>
          <w:rFonts w:ascii="Arial" w:hAnsi="Arial" w:cs="Arial"/>
          <w:sz w:val="24"/>
          <w:szCs w:val="24"/>
        </w:rPr>
      </w:pPr>
      <w:r>
        <w:rPr>
          <w:rFonts w:ascii="Arial" w:hAnsi="Arial" w:cs="Arial"/>
          <w:sz w:val="24"/>
          <w:szCs w:val="24"/>
        </w:rPr>
        <w:t xml:space="preserve">In cell D41 of the above noted tab in the RRWF, </w:t>
      </w:r>
      <w:r w:rsidRPr="00053AA5">
        <w:rPr>
          <w:rFonts w:ascii="Arial" w:hAnsi="Arial" w:cs="Arial"/>
          <w:sz w:val="24"/>
          <w:szCs w:val="24"/>
        </w:rPr>
        <w:t xml:space="preserve">Hydro Ottawa entered 4 as </w:t>
      </w:r>
      <w:r>
        <w:rPr>
          <w:rFonts w:ascii="Arial" w:hAnsi="Arial" w:cs="Arial"/>
          <w:sz w:val="24"/>
          <w:szCs w:val="24"/>
        </w:rPr>
        <w:t xml:space="preserve">the </w:t>
      </w:r>
      <w:r w:rsidRPr="00053AA5">
        <w:rPr>
          <w:rFonts w:ascii="Arial" w:hAnsi="Arial" w:cs="Arial"/>
          <w:sz w:val="24"/>
          <w:szCs w:val="24"/>
        </w:rPr>
        <w:t>number of remaining transi</w:t>
      </w:r>
      <w:r>
        <w:rPr>
          <w:rFonts w:ascii="Arial" w:hAnsi="Arial" w:cs="Arial"/>
          <w:sz w:val="24"/>
          <w:szCs w:val="24"/>
        </w:rPr>
        <w:t>tion years. As stated on page 27</w:t>
      </w:r>
      <w:r w:rsidRPr="00053AA5">
        <w:rPr>
          <w:rFonts w:ascii="Arial" w:hAnsi="Arial" w:cs="Arial"/>
          <w:sz w:val="24"/>
          <w:szCs w:val="24"/>
        </w:rPr>
        <w:t xml:space="preserve"> of the approved settlement proposal</w:t>
      </w:r>
      <w:r>
        <w:rPr>
          <w:rFonts w:ascii="Arial" w:hAnsi="Arial" w:cs="Arial"/>
          <w:sz w:val="24"/>
          <w:szCs w:val="24"/>
        </w:rPr>
        <w:t xml:space="preserve"> in EB-2015-0004</w:t>
      </w:r>
      <w:r w:rsidRPr="00053AA5">
        <w:rPr>
          <w:rFonts w:ascii="Arial" w:hAnsi="Arial" w:cs="Arial"/>
          <w:sz w:val="24"/>
          <w:szCs w:val="24"/>
        </w:rPr>
        <w:t xml:space="preserve">, “for the residential class, charges will be fully fixed by 2020, as proposed by Hydro Ottawa and as required by the OEB.” Therefore, the transition years remaining now for residential rates to be fully fixed are 2018, 2019 and 2020. </w:t>
      </w:r>
    </w:p>
    <w:p w14:paraId="191C25EF" w14:textId="77777777" w:rsidR="00B34082" w:rsidRPr="003C5C66" w:rsidRDefault="00B811BD" w:rsidP="008E6045">
      <w:pPr>
        <w:rPr>
          <w:rFonts w:ascii="Arial" w:hAnsi="Arial" w:cs="Arial"/>
          <w:sz w:val="24"/>
          <w:szCs w:val="24"/>
        </w:rPr>
      </w:pPr>
      <w:r>
        <w:rPr>
          <w:rFonts w:ascii="Arial" w:hAnsi="Arial" w:cs="Arial"/>
          <w:sz w:val="24"/>
          <w:szCs w:val="24"/>
        </w:rPr>
        <w:t>Please confirm that there are three</w:t>
      </w:r>
      <w:r w:rsidR="00053AA5">
        <w:rPr>
          <w:rFonts w:ascii="Arial" w:hAnsi="Arial" w:cs="Arial"/>
          <w:sz w:val="24"/>
          <w:szCs w:val="24"/>
        </w:rPr>
        <w:t xml:space="preserve"> remaining </w:t>
      </w:r>
      <w:r>
        <w:rPr>
          <w:rFonts w:ascii="Arial" w:hAnsi="Arial" w:cs="Arial"/>
          <w:sz w:val="24"/>
          <w:szCs w:val="24"/>
        </w:rPr>
        <w:t>years in Hydro Ottawa’s conversion to a fully fixed residential rate</w:t>
      </w:r>
      <w:r w:rsidR="00053AA5" w:rsidRPr="00053AA5">
        <w:rPr>
          <w:rFonts w:ascii="Arial" w:hAnsi="Arial" w:cs="Arial"/>
          <w:sz w:val="24"/>
          <w:szCs w:val="24"/>
        </w:rPr>
        <w:t>.</w:t>
      </w:r>
    </w:p>
    <w:p w14:paraId="67E80449" w14:textId="77777777" w:rsidR="00B34082" w:rsidRDefault="00B34082" w:rsidP="008E6045">
      <w:pPr>
        <w:rPr>
          <w:rFonts w:ascii="Arial" w:hAnsi="Arial" w:cs="Arial"/>
          <w:b/>
          <w:sz w:val="24"/>
          <w:szCs w:val="24"/>
        </w:rPr>
      </w:pPr>
    </w:p>
    <w:p w14:paraId="4AF942C7" w14:textId="77777777" w:rsidR="00B34082" w:rsidRDefault="00B34082" w:rsidP="00B34082">
      <w:pPr>
        <w:rPr>
          <w:rFonts w:ascii="Arial" w:hAnsi="Arial" w:cs="Arial"/>
          <w:b/>
          <w:sz w:val="24"/>
          <w:szCs w:val="24"/>
        </w:rPr>
      </w:pPr>
      <w:r>
        <w:rPr>
          <w:rFonts w:ascii="Arial" w:hAnsi="Arial" w:cs="Arial"/>
          <w:b/>
          <w:sz w:val="24"/>
          <w:szCs w:val="24"/>
        </w:rPr>
        <w:t>Staff IR-2</w:t>
      </w:r>
    </w:p>
    <w:p w14:paraId="5783B976" w14:textId="77777777" w:rsidR="003C5C66" w:rsidRDefault="00B34082" w:rsidP="00B34082">
      <w:pPr>
        <w:rPr>
          <w:rFonts w:ascii="Arial" w:hAnsi="Arial" w:cs="Arial"/>
          <w:b/>
          <w:sz w:val="24"/>
          <w:szCs w:val="24"/>
        </w:rPr>
      </w:pPr>
      <w:r>
        <w:rPr>
          <w:rFonts w:ascii="Arial" w:hAnsi="Arial" w:cs="Arial"/>
          <w:b/>
          <w:sz w:val="24"/>
          <w:szCs w:val="24"/>
        </w:rPr>
        <w:t>Ref:</w:t>
      </w:r>
      <w:r w:rsidR="003C5C66">
        <w:rPr>
          <w:rFonts w:ascii="Arial" w:hAnsi="Arial" w:cs="Arial"/>
          <w:b/>
          <w:sz w:val="24"/>
          <w:szCs w:val="24"/>
        </w:rPr>
        <w:t xml:space="preserve"> </w:t>
      </w:r>
      <w:r w:rsidR="007C791A">
        <w:rPr>
          <w:rFonts w:ascii="Arial" w:hAnsi="Arial" w:cs="Arial"/>
          <w:b/>
          <w:sz w:val="24"/>
          <w:szCs w:val="24"/>
        </w:rPr>
        <w:t>DVA Workform – Continuity Schedule</w:t>
      </w:r>
      <w:r w:rsidR="00346309">
        <w:rPr>
          <w:rFonts w:ascii="Arial" w:hAnsi="Arial" w:cs="Arial"/>
          <w:b/>
          <w:sz w:val="24"/>
          <w:szCs w:val="24"/>
        </w:rPr>
        <w:t xml:space="preserve"> – Balances in Account 1595 (multiple years)</w:t>
      </w:r>
    </w:p>
    <w:p w14:paraId="736ED6A8" w14:textId="77777777" w:rsidR="00E539D8" w:rsidRDefault="005D67B0" w:rsidP="00E539D8">
      <w:pPr>
        <w:rPr>
          <w:rFonts w:ascii="Arial" w:hAnsi="Arial" w:cs="Arial"/>
          <w:sz w:val="24"/>
          <w:szCs w:val="24"/>
        </w:rPr>
      </w:pPr>
      <w:r>
        <w:rPr>
          <w:rFonts w:ascii="Arial" w:hAnsi="Arial" w:cs="Arial"/>
          <w:sz w:val="24"/>
          <w:szCs w:val="24"/>
        </w:rPr>
        <w:t>Based on the review of the</w:t>
      </w:r>
      <w:r w:rsidR="00F8442B">
        <w:rPr>
          <w:rFonts w:ascii="Arial" w:hAnsi="Arial" w:cs="Arial"/>
          <w:sz w:val="24"/>
          <w:szCs w:val="24"/>
        </w:rPr>
        <w:t xml:space="preserve"> updated</w:t>
      </w:r>
      <w:r>
        <w:rPr>
          <w:rFonts w:ascii="Arial" w:hAnsi="Arial" w:cs="Arial"/>
          <w:sz w:val="24"/>
          <w:szCs w:val="24"/>
        </w:rPr>
        <w:t xml:space="preserve"> Continuity Schedule (filed on </w:t>
      </w:r>
      <w:r w:rsidR="00F8442B">
        <w:rPr>
          <w:rFonts w:ascii="Arial" w:hAnsi="Arial" w:cs="Arial"/>
          <w:sz w:val="24"/>
          <w:szCs w:val="24"/>
        </w:rPr>
        <w:t>Oct 11, 2017), OEB staff noted tha</w:t>
      </w:r>
      <w:r w:rsidR="004955D7">
        <w:rPr>
          <w:rFonts w:ascii="Arial" w:hAnsi="Arial" w:cs="Arial"/>
          <w:sz w:val="24"/>
          <w:szCs w:val="24"/>
        </w:rPr>
        <w:t xml:space="preserve">t some account </w:t>
      </w:r>
      <w:r w:rsidR="00F8442B">
        <w:rPr>
          <w:rFonts w:ascii="Arial" w:hAnsi="Arial" w:cs="Arial"/>
          <w:sz w:val="24"/>
          <w:szCs w:val="24"/>
        </w:rPr>
        <w:t xml:space="preserve">balances </w:t>
      </w:r>
      <w:r w:rsidR="004955D7">
        <w:rPr>
          <w:rFonts w:ascii="Arial" w:hAnsi="Arial" w:cs="Arial"/>
          <w:sz w:val="24"/>
          <w:szCs w:val="24"/>
        </w:rPr>
        <w:t xml:space="preserve">in account 1595 (for multiple years) were entered in the wrong accounts/rows. For example, the balances in account 1595 (2011) were entered in </w:t>
      </w:r>
      <w:r w:rsidR="00F8442B">
        <w:rPr>
          <w:rFonts w:ascii="Arial" w:hAnsi="Arial" w:cs="Arial"/>
          <w:sz w:val="24"/>
          <w:szCs w:val="24"/>
        </w:rPr>
        <w:t>row 36 for account 1595 (2012)</w:t>
      </w:r>
      <w:r w:rsidR="004955D7">
        <w:rPr>
          <w:rFonts w:ascii="Arial" w:hAnsi="Arial" w:cs="Arial"/>
          <w:sz w:val="24"/>
          <w:szCs w:val="24"/>
        </w:rPr>
        <w:t xml:space="preserve">. Please review all the balances in account 1595 Disposition and Recovery/Refund of Regulatory Balances and update the continuity schedule </w:t>
      </w:r>
      <w:r w:rsidR="00617F74">
        <w:rPr>
          <w:rFonts w:ascii="Arial" w:hAnsi="Arial" w:cs="Arial"/>
          <w:sz w:val="24"/>
          <w:szCs w:val="24"/>
        </w:rPr>
        <w:t xml:space="preserve">(and other related tabs if any) </w:t>
      </w:r>
      <w:r w:rsidR="004955D7">
        <w:rPr>
          <w:rFonts w:ascii="Arial" w:hAnsi="Arial" w:cs="Arial"/>
          <w:sz w:val="24"/>
          <w:szCs w:val="24"/>
        </w:rPr>
        <w:t xml:space="preserve">in the DVA model to ensure that these balances are </w:t>
      </w:r>
      <w:r w:rsidR="003E6BD6">
        <w:rPr>
          <w:rFonts w:ascii="Arial" w:hAnsi="Arial" w:cs="Arial"/>
          <w:sz w:val="24"/>
          <w:szCs w:val="24"/>
        </w:rPr>
        <w:t xml:space="preserve">filed </w:t>
      </w:r>
      <w:r w:rsidR="004955D7">
        <w:rPr>
          <w:rFonts w:ascii="Arial" w:hAnsi="Arial" w:cs="Arial"/>
          <w:sz w:val="24"/>
          <w:szCs w:val="24"/>
        </w:rPr>
        <w:t>in the correct rows for the corresponding years.</w:t>
      </w:r>
    </w:p>
    <w:p w14:paraId="7E2DCF5B" w14:textId="77777777" w:rsidR="006058C4" w:rsidRDefault="006058C4" w:rsidP="006058C4">
      <w:pPr>
        <w:rPr>
          <w:rFonts w:ascii="Arial" w:hAnsi="Arial" w:cs="Arial"/>
          <w:b/>
          <w:sz w:val="24"/>
          <w:szCs w:val="24"/>
        </w:rPr>
      </w:pPr>
    </w:p>
    <w:p w14:paraId="3E78DEA7" w14:textId="77777777" w:rsidR="006058C4" w:rsidRDefault="006058C4" w:rsidP="006058C4">
      <w:pPr>
        <w:rPr>
          <w:rFonts w:ascii="Arial" w:hAnsi="Arial" w:cs="Arial"/>
          <w:b/>
          <w:sz w:val="24"/>
          <w:szCs w:val="24"/>
        </w:rPr>
      </w:pPr>
      <w:r w:rsidRPr="00E539D8">
        <w:rPr>
          <w:rFonts w:ascii="Arial" w:hAnsi="Arial" w:cs="Arial"/>
          <w:b/>
          <w:sz w:val="24"/>
          <w:szCs w:val="24"/>
        </w:rPr>
        <w:t>Staff IR-</w:t>
      </w:r>
      <w:r w:rsidR="00566F7F">
        <w:rPr>
          <w:rFonts w:ascii="Arial" w:hAnsi="Arial" w:cs="Arial"/>
          <w:b/>
          <w:sz w:val="24"/>
          <w:szCs w:val="24"/>
        </w:rPr>
        <w:t>3</w:t>
      </w:r>
    </w:p>
    <w:p w14:paraId="3E028B9A" w14:textId="77777777" w:rsidR="00566F7F" w:rsidRPr="00566F7F" w:rsidRDefault="004B5C27" w:rsidP="00566F7F">
      <w:pPr>
        <w:spacing w:after="0"/>
        <w:rPr>
          <w:rFonts w:ascii="Arial" w:hAnsi="Arial" w:cs="Arial"/>
          <w:b/>
          <w:sz w:val="24"/>
          <w:lang w:val="en-US"/>
        </w:rPr>
      </w:pPr>
      <w:r w:rsidRPr="004B5C27">
        <w:rPr>
          <w:rFonts w:ascii="Arial" w:hAnsi="Arial" w:cs="Arial"/>
          <w:b/>
          <w:sz w:val="24"/>
        </w:rPr>
        <w:t xml:space="preserve">Ref: </w:t>
      </w:r>
      <w:r w:rsidRPr="004B5C27">
        <w:rPr>
          <w:rFonts w:ascii="Arial" w:hAnsi="Arial" w:cs="Arial"/>
          <w:b/>
          <w:sz w:val="24"/>
        </w:rPr>
        <w:tab/>
      </w:r>
      <w:r w:rsidR="00566F7F" w:rsidRPr="00566F7F">
        <w:rPr>
          <w:rFonts w:ascii="Arial" w:hAnsi="Arial" w:cs="Arial"/>
          <w:b/>
          <w:sz w:val="24"/>
          <w:lang w:val="en-US"/>
        </w:rPr>
        <w:t>GA Analysis WorkForm</w:t>
      </w:r>
    </w:p>
    <w:p w14:paraId="02B2721C" w14:textId="77777777" w:rsidR="00566F7F" w:rsidRPr="00566F7F" w:rsidRDefault="00566F7F" w:rsidP="00566F7F">
      <w:pPr>
        <w:spacing w:after="0"/>
        <w:rPr>
          <w:rFonts w:ascii="Arial" w:hAnsi="Arial" w:cs="Arial"/>
          <w:b/>
          <w:sz w:val="24"/>
          <w:lang w:val="en-US"/>
        </w:rPr>
      </w:pPr>
      <w:r w:rsidRPr="00566F7F">
        <w:rPr>
          <w:rFonts w:ascii="Arial" w:hAnsi="Arial" w:cs="Arial"/>
          <w:b/>
          <w:sz w:val="24"/>
          <w:lang w:val="en-US"/>
        </w:rPr>
        <w:tab/>
        <w:t>Hydro Ottawa’s response to Preliminary Questions 1 &amp; 2</w:t>
      </w:r>
    </w:p>
    <w:p w14:paraId="12D04383" w14:textId="77777777" w:rsidR="00566F7F" w:rsidRDefault="00566F7F" w:rsidP="00566F7F">
      <w:pPr>
        <w:spacing w:after="0"/>
        <w:rPr>
          <w:rFonts w:ascii="Arial" w:hAnsi="Arial" w:cs="Arial"/>
          <w:b/>
          <w:sz w:val="24"/>
          <w:lang w:val="en-US"/>
        </w:rPr>
      </w:pPr>
      <w:r w:rsidRPr="00566F7F">
        <w:rPr>
          <w:rFonts w:ascii="Arial" w:hAnsi="Arial" w:cs="Arial"/>
          <w:b/>
          <w:sz w:val="24"/>
          <w:lang w:val="en-US"/>
        </w:rPr>
        <w:tab/>
        <w:t>DVA Continuity Schedule</w:t>
      </w:r>
    </w:p>
    <w:p w14:paraId="5ABAB9EE" w14:textId="77777777" w:rsidR="00566F7F" w:rsidRPr="00566F7F" w:rsidRDefault="00566F7F" w:rsidP="00566F7F">
      <w:pPr>
        <w:spacing w:after="0"/>
        <w:ind w:firstLine="720"/>
        <w:rPr>
          <w:rFonts w:ascii="Arial" w:hAnsi="Arial" w:cs="Arial"/>
          <w:b/>
          <w:sz w:val="24"/>
          <w:lang w:val="en-US"/>
        </w:rPr>
      </w:pPr>
      <w:r w:rsidRPr="00566F7F">
        <w:rPr>
          <w:rFonts w:ascii="Arial" w:hAnsi="Arial" w:cs="Arial"/>
          <w:b/>
          <w:sz w:val="24"/>
          <w:lang w:val="en-US"/>
        </w:rPr>
        <w:t>E9/T2/S1, page 4</w:t>
      </w:r>
    </w:p>
    <w:p w14:paraId="487BB8ED" w14:textId="77777777" w:rsidR="00566F7F" w:rsidRPr="004B5C27" w:rsidRDefault="00566F7F" w:rsidP="00566F7F">
      <w:pPr>
        <w:spacing w:after="0"/>
        <w:rPr>
          <w:rFonts w:ascii="Arial" w:hAnsi="Arial" w:cs="Arial"/>
          <w:b/>
          <w:sz w:val="24"/>
        </w:rPr>
      </w:pPr>
    </w:p>
    <w:p w14:paraId="4D72314A" w14:textId="77777777" w:rsidR="00566F7F" w:rsidRPr="00566F7F" w:rsidRDefault="00566F7F" w:rsidP="00566F7F">
      <w:pPr>
        <w:pStyle w:val="ListParagraph"/>
        <w:numPr>
          <w:ilvl w:val="0"/>
          <w:numId w:val="31"/>
        </w:numPr>
        <w:spacing w:after="160" w:line="259" w:lineRule="auto"/>
        <w:rPr>
          <w:rFonts w:ascii="Arial" w:hAnsi="Arial" w:cs="Arial"/>
          <w:sz w:val="24"/>
        </w:rPr>
      </w:pPr>
      <w:r w:rsidRPr="00566F7F">
        <w:rPr>
          <w:rFonts w:ascii="Arial" w:hAnsi="Arial" w:cs="Arial"/>
          <w:sz w:val="24"/>
        </w:rPr>
        <w:t>Hydro Ottawa stated:</w:t>
      </w:r>
    </w:p>
    <w:p w14:paraId="30D9D1E1" w14:textId="77777777" w:rsidR="00566F7F" w:rsidRDefault="00566F7F" w:rsidP="00566F7F">
      <w:pPr>
        <w:ind w:left="1440"/>
        <w:rPr>
          <w:rFonts w:ascii="Arial" w:hAnsi="Arial" w:cs="Arial"/>
          <w:sz w:val="24"/>
        </w:rPr>
      </w:pPr>
      <w:r w:rsidRPr="00566F7F">
        <w:rPr>
          <w:rFonts w:ascii="Arial" w:hAnsi="Arial" w:cs="Arial"/>
          <w:sz w:val="24"/>
        </w:rPr>
        <w:t>For clarity and for the unaudited balances to be easily identifiable, Hydro Ottawa has entered the amount related to the true-ups in the “Projected Interest from January 1, 2018 to April 30, 2018 on Dec 31 -16 balance adjusted for disposition during 2017” column on the DVA Continuity Schedule.</w:t>
      </w:r>
    </w:p>
    <w:p w14:paraId="2F557117" w14:textId="77777777" w:rsidR="00566F7F" w:rsidRPr="00566F7F" w:rsidRDefault="00566F7F" w:rsidP="00566F7F">
      <w:pPr>
        <w:ind w:left="1440"/>
        <w:rPr>
          <w:rFonts w:ascii="Arial" w:hAnsi="Arial" w:cs="Arial"/>
          <w:sz w:val="24"/>
        </w:rPr>
      </w:pPr>
      <w:r>
        <w:rPr>
          <w:noProof/>
          <w:lang w:val="en-US"/>
        </w:rPr>
        <w:drawing>
          <wp:inline distT="0" distB="0" distL="0" distR="0" wp14:anchorId="7A3D97A1" wp14:editId="27EEF181">
            <wp:extent cx="3885714" cy="3114286"/>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885714" cy="3114286"/>
                    </a:xfrm>
                    <a:prstGeom prst="rect">
                      <a:avLst/>
                    </a:prstGeom>
                  </pic:spPr>
                </pic:pic>
              </a:graphicData>
            </a:graphic>
          </wp:inline>
        </w:drawing>
      </w:r>
    </w:p>
    <w:p w14:paraId="7BE05CB6" w14:textId="77777777" w:rsidR="00566F7F" w:rsidRPr="00566F7F" w:rsidRDefault="00566F7F" w:rsidP="00566F7F">
      <w:pPr>
        <w:ind w:left="720"/>
        <w:rPr>
          <w:rFonts w:ascii="Arial" w:hAnsi="Arial" w:cs="Arial"/>
          <w:sz w:val="24"/>
        </w:rPr>
      </w:pPr>
      <w:r w:rsidRPr="00566F7F">
        <w:rPr>
          <w:rFonts w:ascii="Arial" w:hAnsi="Arial" w:cs="Arial"/>
          <w:sz w:val="24"/>
        </w:rPr>
        <w:t>Please describe in detail how the adjustment of ($1,462,534) was derived for Account 1588. Please include in your discussion the total true-up amount from the IESO for Charge Type 1142, and how it was proportioned between Accounts 1588 and 1589.</w:t>
      </w:r>
    </w:p>
    <w:p w14:paraId="6951BEC1" w14:textId="77777777" w:rsidR="00566F7F" w:rsidRPr="00566F7F" w:rsidRDefault="00566F7F" w:rsidP="00566F7F">
      <w:pPr>
        <w:pStyle w:val="ListParagraph"/>
        <w:numPr>
          <w:ilvl w:val="0"/>
          <w:numId w:val="31"/>
        </w:numPr>
        <w:spacing w:after="160" w:line="259" w:lineRule="auto"/>
        <w:rPr>
          <w:rFonts w:ascii="Arial" w:hAnsi="Arial" w:cs="Arial"/>
          <w:sz w:val="24"/>
        </w:rPr>
      </w:pPr>
      <w:r w:rsidRPr="00566F7F">
        <w:rPr>
          <w:rFonts w:ascii="Arial" w:hAnsi="Arial" w:cs="Arial"/>
          <w:sz w:val="24"/>
        </w:rPr>
        <w:t xml:space="preserve">Hydro Ottawa has shown reconciling items 1b and 2b, but its DVA continuity schedule shows only one of these amounts. </w:t>
      </w:r>
    </w:p>
    <w:p w14:paraId="000FF012" w14:textId="77777777" w:rsidR="00566F7F" w:rsidRPr="00566F7F" w:rsidRDefault="00566F7F" w:rsidP="00566F7F">
      <w:pPr>
        <w:pStyle w:val="ListParagraph"/>
        <w:numPr>
          <w:ilvl w:val="1"/>
          <w:numId w:val="31"/>
        </w:numPr>
        <w:spacing w:after="160" w:line="259" w:lineRule="auto"/>
        <w:rPr>
          <w:rFonts w:ascii="Arial" w:hAnsi="Arial" w:cs="Arial"/>
          <w:sz w:val="24"/>
        </w:rPr>
      </w:pPr>
      <w:r w:rsidRPr="00566F7F">
        <w:rPr>
          <w:rFonts w:ascii="Arial" w:hAnsi="Arial" w:cs="Arial"/>
          <w:sz w:val="24"/>
        </w:rPr>
        <w:t>As per the OEB letter dated May 23, 2017, please make the necessary true-up adjustments to Hydro Ottawa’s DVA Continuity Schedule to ensure that the balances proposed for disposition reflect actual expense and revenue components and all estimates are trued up to actuals.</w:t>
      </w:r>
    </w:p>
    <w:p w14:paraId="7E79A2F9" w14:textId="77777777" w:rsidR="00566F7F" w:rsidRPr="00566F7F" w:rsidRDefault="00566F7F" w:rsidP="00566F7F">
      <w:pPr>
        <w:pStyle w:val="ListParagraph"/>
        <w:numPr>
          <w:ilvl w:val="1"/>
          <w:numId w:val="31"/>
        </w:numPr>
        <w:spacing w:after="160" w:line="259" w:lineRule="auto"/>
        <w:rPr>
          <w:rFonts w:ascii="Arial" w:hAnsi="Arial" w:cs="Arial"/>
          <w:sz w:val="24"/>
        </w:rPr>
      </w:pPr>
      <w:r w:rsidRPr="00566F7F">
        <w:rPr>
          <w:rFonts w:ascii="Arial" w:hAnsi="Arial" w:cs="Arial"/>
          <w:sz w:val="24"/>
        </w:rPr>
        <w:t>Explain Hydro Ottawa’s rationale as to why the adjustment related to 2b was not made to the DVA Continuity Schedule.</w:t>
      </w:r>
    </w:p>
    <w:p w14:paraId="1B6E32C1" w14:textId="77777777" w:rsidR="00566F7F" w:rsidRPr="00566F7F" w:rsidRDefault="00566F7F" w:rsidP="00566F7F">
      <w:pPr>
        <w:pStyle w:val="ListParagraph"/>
        <w:rPr>
          <w:rFonts w:ascii="Arial" w:hAnsi="Arial" w:cs="Arial"/>
          <w:sz w:val="24"/>
        </w:rPr>
      </w:pPr>
    </w:p>
    <w:p w14:paraId="6D9DE6CF" w14:textId="77777777" w:rsidR="00566F7F" w:rsidRPr="00566F7F" w:rsidRDefault="00566F7F" w:rsidP="00566F7F">
      <w:pPr>
        <w:pStyle w:val="ListParagraph"/>
        <w:numPr>
          <w:ilvl w:val="0"/>
          <w:numId w:val="31"/>
        </w:numPr>
        <w:spacing w:after="160" w:line="259" w:lineRule="auto"/>
        <w:rPr>
          <w:rFonts w:ascii="Arial" w:hAnsi="Arial" w:cs="Arial"/>
          <w:sz w:val="24"/>
        </w:rPr>
      </w:pPr>
      <w:r w:rsidRPr="00566F7F">
        <w:rPr>
          <w:rFonts w:ascii="Arial" w:hAnsi="Arial" w:cs="Arial"/>
          <w:sz w:val="24"/>
        </w:rPr>
        <w:t xml:space="preserve">For the Reconciling Item part 3b of the GA Analysis, Hydro Ottawa has indicated that the “Final True-up to be completed later in 2017”. As it is already 10 months </w:t>
      </w:r>
      <w:r w:rsidRPr="00566F7F">
        <w:rPr>
          <w:rFonts w:ascii="Arial" w:hAnsi="Arial" w:cs="Arial"/>
          <w:sz w:val="24"/>
        </w:rPr>
        <w:lastRenderedPageBreak/>
        <w:t xml:space="preserve">past the year-end, please provide the reconciling item related to part 3b on the GA Analysis Workform. </w:t>
      </w:r>
    </w:p>
    <w:p w14:paraId="5DAC8517" w14:textId="77777777" w:rsidR="00566F7F" w:rsidRPr="00566F7F" w:rsidRDefault="00566F7F" w:rsidP="00566F7F">
      <w:pPr>
        <w:pStyle w:val="ListParagraph"/>
        <w:ind w:left="1440"/>
        <w:rPr>
          <w:rFonts w:ascii="Arial" w:hAnsi="Arial" w:cs="Arial"/>
          <w:sz w:val="24"/>
        </w:rPr>
      </w:pPr>
    </w:p>
    <w:p w14:paraId="3E7AA0CB" w14:textId="77777777" w:rsidR="00566F7F" w:rsidRPr="00566F7F" w:rsidRDefault="00566F7F" w:rsidP="00566F7F">
      <w:pPr>
        <w:pStyle w:val="ListParagraph"/>
        <w:numPr>
          <w:ilvl w:val="0"/>
          <w:numId w:val="31"/>
        </w:numPr>
        <w:spacing w:after="160" w:line="259" w:lineRule="auto"/>
        <w:rPr>
          <w:rFonts w:ascii="Arial" w:hAnsi="Arial" w:cs="Arial"/>
          <w:sz w:val="24"/>
        </w:rPr>
      </w:pPr>
      <w:r w:rsidRPr="00566F7F">
        <w:rPr>
          <w:rFonts w:ascii="Arial" w:hAnsi="Arial" w:cs="Arial"/>
          <w:sz w:val="24"/>
        </w:rPr>
        <w:t>In response to the Preliminary Question 1, Hydro Ottawa has indicated that it uses approach b). However, this approach would have entailed debiting all of Charge Type 148 into 1589 and then crediting the portion related to RPP GA from Charge Type 1142 (formerly 142) into this account. The Notes/Comments in IRR 2)ii indicate that Hydro Ottawa’s process may be different from the approach described in OEB staff IR 1)b). Please describe Hydro Ottawa’s approach to booking expense journal entries for Charge Type 1142 (formerly 142) and Charge Type 148 from the IESO invoice in detail.</w:t>
      </w:r>
    </w:p>
    <w:p w14:paraId="017752A2" w14:textId="77777777" w:rsidR="00566F7F" w:rsidRPr="00566F7F" w:rsidRDefault="00566F7F" w:rsidP="00566F7F">
      <w:pPr>
        <w:pStyle w:val="ListParagraph"/>
        <w:rPr>
          <w:rFonts w:ascii="Arial" w:hAnsi="Arial" w:cs="Arial"/>
          <w:sz w:val="24"/>
        </w:rPr>
      </w:pPr>
    </w:p>
    <w:p w14:paraId="59A9BDE2" w14:textId="77777777" w:rsidR="00566F7F" w:rsidRPr="00566F7F" w:rsidRDefault="00566F7F" w:rsidP="00566F7F">
      <w:pPr>
        <w:pStyle w:val="ListParagraph"/>
        <w:numPr>
          <w:ilvl w:val="0"/>
          <w:numId w:val="31"/>
        </w:numPr>
        <w:spacing w:after="160" w:line="259" w:lineRule="auto"/>
        <w:rPr>
          <w:rFonts w:ascii="Arial" w:hAnsi="Arial" w:cs="Arial"/>
          <w:sz w:val="24"/>
        </w:rPr>
      </w:pPr>
      <w:r w:rsidRPr="00566F7F">
        <w:rPr>
          <w:rFonts w:ascii="Arial" w:hAnsi="Arial" w:cs="Arial"/>
          <w:sz w:val="24"/>
        </w:rPr>
        <w:t>With respect to Hydro Ottawa’s responses to Question 2, please describe in detail Hydro Ottawa’s process (how are the estimated amounts initially determined, what data is used for estimation, how are estimates used in booking entries, what is the true-up process after billing data becomes available, data used for making entries etc.) with respect to reconciling items related to:</w:t>
      </w:r>
    </w:p>
    <w:p w14:paraId="5FE6674F" w14:textId="77777777" w:rsidR="00566F7F" w:rsidRPr="00566F7F" w:rsidRDefault="00566F7F" w:rsidP="00566F7F">
      <w:pPr>
        <w:pStyle w:val="ListParagraph"/>
        <w:numPr>
          <w:ilvl w:val="1"/>
          <w:numId w:val="32"/>
        </w:numPr>
        <w:spacing w:after="160" w:line="259" w:lineRule="auto"/>
        <w:rPr>
          <w:rFonts w:ascii="Arial" w:hAnsi="Arial" w:cs="Arial"/>
          <w:sz w:val="24"/>
        </w:rPr>
      </w:pPr>
      <w:r w:rsidRPr="00566F7F">
        <w:rPr>
          <w:rFonts w:ascii="Arial" w:hAnsi="Arial" w:cs="Arial"/>
          <w:sz w:val="24"/>
        </w:rPr>
        <w:t>Part 1a ii – please explain how ($1,635,798) was derived.</w:t>
      </w:r>
    </w:p>
    <w:p w14:paraId="25162FB2" w14:textId="77777777" w:rsidR="00566F7F" w:rsidRPr="00566F7F" w:rsidRDefault="00566F7F" w:rsidP="00566F7F">
      <w:pPr>
        <w:pStyle w:val="ListParagraph"/>
        <w:numPr>
          <w:ilvl w:val="1"/>
          <w:numId w:val="32"/>
        </w:numPr>
        <w:spacing w:after="160" w:line="259" w:lineRule="auto"/>
        <w:rPr>
          <w:rFonts w:ascii="Arial" w:hAnsi="Arial" w:cs="Arial"/>
          <w:sz w:val="24"/>
        </w:rPr>
      </w:pPr>
      <w:r w:rsidRPr="00566F7F">
        <w:rPr>
          <w:rFonts w:ascii="Arial" w:hAnsi="Arial" w:cs="Arial"/>
          <w:sz w:val="24"/>
        </w:rPr>
        <w:t>Part 1a iii – please explain how $1,371,426 was derived.</w:t>
      </w:r>
    </w:p>
    <w:p w14:paraId="5F308C04" w14:textId="77777777" w:rsidR="00566F7F" w:rsidRPr="00566F7F" w:rsidRDefault="00566F7F" w:rsidP="00566F7F">
      <w:pPr>
        <w:pStyle w:val="ListParagraph"/>
        <w:rPr>
          <w:rFonts w:ascii="Arial" w:hAnsi="Arial" w:cs="Arial"/>
          <w:sz w:val="24"/>
        </w:rPr>
      </w:pPr>
    </w:p>
    <w:p w14:paraId="647852D0" w14:textId="77777777" w:rsidR="00566F7F" w:rsidRPr="00566F7F" w:rsidRDefault="00566F7F" w:rsidP="00566F7F">
      <w:pPr>
        <w:pStyle w:val="ListParagraph"/>
        <w:numPr>
          <w:ilvl w:val="0"/>
          <w:numId w:val="31"/>
        </w:numPr>
        <w:spacing w:after="160" w:line="259" w:lineRule="auto"/>
        <w:rPr>
          <w:rFonts w:ascii="Arial" w:hAnsi="Arial" w:cs="Arial"/>
          <w:sz w:val="24"/>
        </w:rPr>
      </w:pPr>
      <w:r w:rsidRPr="00566F7F">
        <w:rPr>
          <w:rFonts w:ascii="Arial" w:hAnsi="Arial" w:cs="Arial"/>
          <w:sz w:val="24"/>
        </w:rPr>
        <w:t>With respect to Hydro Ottawa’s responses to Question 2, please describe in detail Hydro Ottawa’s process (how are the amounts determined, what data is used and how are estimates determined and used in booking entries etc.) with respect to reconciling items related to:</w:t>
      </w:r>
    </w:p>
    <w:p w14:paraId="770DDBD6" w14:textId="77777777" w:rsidR="00566F7F" w:rsidRPr="00566F7F" w:rsidRDefault="00566F7F" w:rsidP="00566F7F">
      <w:pPr>
        <w:pStyle w:val="ListParagraph"/>
        <w:numPr>
          <w:ilvl w:val="1"/>
          <w:numId w:val="31"/>
        </w:numPr>
        <w:spacing w:after="160" w:line="259" w:lineRule="auto"/>
        <w:rPr>
          <w:rFonts w:ascii="Arial" w:hAnsi="Arial" w:cs="Arial"/>
          <w:sz w:val="24"/>
        </w:rPr>
      </w:pPr>
      <w:r w:rsidRPr="00566F7F">
        <w:rPr>
          <w:rFonts w:ascii="Arial" w:hAnsi="Arial" w:cs="Arial"/>
          <w:sz w:val="24"/>
        </w:rPr>
        <w:t>Part 1b ii – please explain how ($284,576) was derived.</w:t>
      </w:r>
    </w:p>
    <w:p w14:paraId="69B79E9F" w14:textId="77777777" w:rsidR="00566F7F" w:rsidRPr="00566F7F" w:rsidRDefault="00566F7F" w:rsidP="00566F7F">
      <w:pPr>
        <w:pStyle w:val="ListParagraph"/>
        <w:numPr>
          <w:ilvl w:val="1"/>
          <w:numId w:val="31"/>
        </w:numPr>
        <w:spacing w:after="160" w:line="259" w:lineRule="auto"/>
        <w:rPr>
          <w:rFonts w:ascii="Arial" w:hAnsi="Arial" w:cs="Arial"/>
          <w:szCs w:val="20"/>
        </w:rPr>
      </w:pPr>
      <w:r w:rsidRPr="00566F7F">
        <w:rPr>
          <w:rFonts w:ascii="Arial" w:hAnsi="Arial" w:cs="Arial"/>
          <w:sz w:val="24"/>
        </w:rPr>
        <w:t>Part 1b iii – please explain how $918,303 was derived.</w:t>
      </w:r>
    </w:p>
    <w:p w14:paraId="444D1998" w14:textId="77777777" w:rsidR="00566F7F" w:rsidRPr="00566F7F" w:rsidRDefault="00566F7F" w:rsidP="00566F7F">
      <w:pPr>
        <w:pStyle w:val="ListParagraph"/>
        <w:rPr>
          <w:rFonts w:ascii="Arial" w:hAnsi="Arial" w:cs="Arial"/>
          <w:szCs w:val="20"/>
        </w:rPr>
      </w:pPr>
    </w:p>
    <w:p w14:paraId="5CDBC245" w14:textId="77777777" w:rsidR="00566F7F" w:rsidRPr="00566F7F" w:rsidRDefault="00566F7F" w:rsidP="00566F7F">
      <w:pPr>
        <w:pStyle w:val="ListParagraph"/>
        <w:numPr>
          <w:ilvl w:val="0"/>
          <w:numId w:val="31"/>
        </w:numPr>
        <w:rPr>
          <w:rFonts w:ascii="Arial" w:hAnsi="Arial" w:cs="Arial"/>
          <w:sz w:val="24"/>
          <w:szCs w:val="20"/>
        </w:rPr>
      </w:pPr>
      <w:r w:rsidRPr="00566F7F">
        <w:rPr>
          <w:rFonts w:ascii="Arial" w:hAnsi="Arial" w:cs="Arial"/>
          <w:sz w:val="24"/>
          <w:szCs w:val="20"/>
        </w:rPr>
        <w:t>With regards to the Dec. 31, 2016 balance in Account 1588, all components that flow into Account 1588 (i to iv in table below) should be all based on actuals at year end. Please complete the following table to a) indicate whether the component is based on estimates or actuals at year end and b) quantify the adjustment pertaining to each component that is trued up from estimate to actual</w:t>
      </w:r>
    </w:p>
    <w:tbl>
      <w:tblPr>
        <w:tblStyle w:val="TableGrid"/>
        <w:tblW w:w="9605" w:type="dxa"/>
        <w:tblLook w:val="04A0" w:firstRow="1" w:lastRow="0" w:firstColumn="1" w:lastColumn="0" w:noHBand="0" w:noVBand="1"/>
      </w:tblPr>
      <w:tblGrid>
        <w:gridCol w:w="390"/>
        <w:gridCol w:w="1870"/>
        <w:gridCol w:w="1870"/>
        <w:gridCol w:w="3605"/>
        <w:gridCol w:w="1870"/>
      </w:tblGrid>
      <w:tr w:rsidR="00566F7F" w:rsidRPr="00566F7F" w14:paraId="293558E3" w14:textId="77777777" w:rsidTr="00BA7EB9">
        <w:tc>
          <w:tcPr>
            <w:tcW w:w="390" w:type="dxa"/>
          </w:tcPr>
          <w:p w14:paraId="75B8BA0A" w14:textId="77777777" w:rsidR="00566F7F" w:rsidRPr="00566F7F" w:rsidRDefault="00566F7F" w:rsidP="00BA7EB9">
            <w:pPr>
              <w:rPr>
                <w:rFonts w:ascii="Arial" w:hAnsi="Arial" w:cs="Arial"/>
                <w:szCs w:val="20"/>
              </w:rPr>
            </w:pPr>
          </w:p>
        </w:tc>
        <w:tc>
          <w:tcPr>
            <w:tcW w:w="1870" w:type="dxa"/>
          </w:tcPr>
          <w:p w14:paraId="4AC5FDD4" w14:textId="77777777" w:rsidR="00566F7F" w:rsidRPr="00566F7F" w:rsidRDefault="00566F7F" w:rsidP="00BA7EB9">
            <w:pPr>
              <w:rPr>
                <w:rFonts w:ascii="Arial" w:hAnsi="Arial" w:cs="Arial"/>
                <w:b/>
                <w:szCs w:val="20"/>
              </w:rPr>
            </w:pPr>
            <w:r w:rsidRPr="00566F7F">
              <w:rPr>
                <w:rFonts w:ascii="Arial" w:hAnsi="Arial" w:cs="Arial"/>
                <w:b/>
                <w:szCs w:val="20"/>
              </w:rPr>
              <w:t>Component</w:t>
            </w:r>
          </w:p>
        </w:tc>
        <w:tc>
          <w:tcPr>
            <w:tcW w:w="1870" w:type="dxa"/>
          </w:tcPr>
          <w:p w14:paraId="28A792F2" w14:textId="77777777" w:rsidR="00566F7F" w:rsidRPr="00566F7F" w:rsidRDefault="00566F7F" w:rsidP="00BA7EB9">
            <w:pPr>
              <w:rPr>
                <w:rFonts w:ascii="Arial" w:hAnsi="Arial" w:cs="Arial"/>
                <w:b/>
                <w:szCs w:val="20"/>
              </w:rPr>
            </w:pPr>
            <w:r w:rsidRPr="00566F7F">
              <w:rPr>
                <w:rFonts w:ascii="Arial" w:hAnsi="Arial" w:cs="Arial"/>
                <w:b/>
                <w:szCs w:val="20"/>
              </w:rPr>
              <w:t>a) Estimate or Actual</w:t>
            </w:r>
          </w:p>
        </w:tc>
        <w:tc>
          <w:tcPr>
            <w:tcW w:w="3605" w:type="dxa"/>
          </w:tcPr>
          <w:p w14:paraId="3FBD1B17" w14:textId="77777777" w:rsidR="00566F7F" w:rsidRPr="00566F7F" w:rsidRDefault="00566F7F" w:rsidP="00BA7EB9">
            <w:pPr>
              <w:rPr>
                <w:rFonts w:ascii="Arial" w:hAnsi="Arial" w:cs="Arial"/>
                <w:b/>
                <w:szCs w:val="20"/>
              </w:rPr>
            </w:pPr>
            <w:r w:rsidRPr="00566F7F">
              <w:rPr>
                <w:rFonts w:ascii="Arial" w:hAnsi="Arial" w:cs="Arial"/>
                <w:b/>
                <w:szCs w:val="20"/>
              </w:rPr>
              <w:t>Notes/Comments</w:t>
            </w:r>
          </w:p>
        </w:tc>
        <w:tc>
          <w:tcPr>
            <w:tcW w:w="1870" w:type="dxa"/>
          </w:tcPr>
          <w:p w14:paraId="54C51EA4" w14:textId="77777777" w:rsidR="00566F7F" w:rsidRPr="00566F7F" w:rsidRDefault="00566F7F" w:rsidP="00BA7EB9">
            <w:pPr>
              <w:rPr>
                <w:rFonts w:ascii="Arial" w:hAnsi="Arial" w:cs="Arial"/>
                <w:b/>
                <w:szCs w:val="20"/>
              </w:rPr>
            </w:pPr>
            <w:r w:rsidRPr="00566F7F">
              <w:rPr>
                <w:rFonts w:ascii="Arial" w:hAnsi="Arial" w:cs="Arial"/>
                <w:b/>
                <w:szCs w:val="20"/>
              </w:rPr>
              <w:t>b) Quantify True Up  Adjustment</w:t>
            </w:r>
          </w:p>
        </w:tc>
      </w:tr>
      <w:tr w:rsidR="00566F7F" w:rsidRPr="00566F7F" w14:paraId="7D48084E" w14:textId="77777777" w:rsidTr="00BA7EB9">
        <w:tc>
          <w:tcPr>
            <w:tcW w:w="390" w:type="dxa"/>
          </w:tcPr>
          <w:p w14:paraId="7E9FD819" w14:textId="77777777" w:rsidR="00566F7F" w:rsidRPr="00566F7F" w:rsidRDefault="00566F7F" w:rsidP="00BA7EB9">
            <w:pPr>
              <w:rPr>
                <w:rFonts w:ascii="Arial" w:hAnsi="Arial" w:cs="Arial"/>
                <w:szCs w:val="20"/>
              </w:rPr>
            </w:pPr>
            <w:r w:rsidRPr="00566F7F">
              <w:rPr>
                <w:rFonts w:ascii="Arial" w:hAnsi="Arial" w:cs="Arial"/>
                <w:szCs w:val="20"/>
              </w:rPr>
              <w:t>i</w:t>
            </w:r>
          </w:p>
        </w:tc>
        <w:tc>
          <w:tcPr>
            <w:tcW w:w="1870" w:type="dxa"/>
          </w:tcPr>
          <w:p w14:paraId="55323CE7" w14:textId="77777777" w:rsidR="00566F7F" w:rsidRPr="00566F7F" w:rsidRDefault="00566F7F" w:rsidP="00BA7EB9">
            <w:pPr>
              <w:rPr>
                <w:rFonts w:ascii="Arial" w:hAnsi="Arial" w:cs="Arial"/>
                <w:szCs w:val="20"/>
              </w:rPr>
            </w:pPr>
            <w:r w:rsidRPr="00566F7F">
              <w:rPr>
                <w:rFonts w:ascii="Arial" w:hAnsi="Arial" w:cs="Arial"/>
                <w:szCs w:val="20"/>
              </w:rPr>
              <w:t xml:space="preserve">Revenues (i.e. is unbilled revenues trued up by year end) </w:t>
            </w:r>
          </w:p>
          <w:p w14:paraId="035753A5" w14:textId="77777777" w:rsidR="00566F7F" w:rsidRPr="00566F7F" w:rsidRDefault="00566F7F" w:rsidP="00BA7EB9">
            <w:pPr>
              <w:rPr>
                <w:rFonts w:ascii="Arial" w:hAnsi="Arial" w:cs="Arial"/>
                <w:szCs w:val="20"/>
              </w:rPr>
            </w:pPr>
          </w:p>
        </w:tc>
        <w:tc>
          <w:tcPr>
            <w:tcW w:w="1870" w:type="dxa"/>
          </w:tcPr>
          <w:p w14:paraId="48309FBB" w14:textId="77777777" w:rsidR="00566F7F" w:rsidRPr="00566F7F" w:rsidRDefault="00566F7F" w:rsidP="00BA7EB9">
            <w:pPr>
              <w:rPr>
                <w:rFonts w:ascii="Arial" w:hAnsi="Arial" w:cs="Arial"/>
                <w:szCs w:val="20"/>
              </w:rPr>
            </w:pPr>
          </w:p>
        </w:tc>
        <w:tc>
          <w:tcPr>
            <w:tcW w:w="3605" w:type="dxa"/>
          </w:tcPr>
          <w:p w14:paraId="0C6CAB05" w14:textId="77777777" w:rsidR="00566F7F" w:rsidRPr="00566F7F" w:rsidRDefault="00566F7F" w:rsidP="00BA7EB9">
            <w:pPr>
              <w:rPr>
                <w:rFonts w:ascii="Arial" w:hAnsi="Arial" w:cs="Arial"/>
                <w:szCs w:val="20"/>
              </w:rPr>
            </w:pPr>
          </w:p>
        </w:tc>
        <w:tc>
          <w:tcPr>
            <w:tcW w:w="1870" w:type="dxa"/>
          </w:tcPr>
          <w:p w14:paraId="3FE98960" w14:textId="77777777" w:rsidR="00566F7F" w:rsidRPr="00566F7F" w:rsidRDefault="00566F7F" w:rsidP="00BA7EB9">
            <w:pPr>
              <w:rPr>
                <w:rFonts w:ascii="Arial" w:hAnsi="Arial" w:cs="Arial"/>
                <w:szCs w:val="20"/>
              </w:rPr>
            </w:pPr>
          </w:p>
        </w:tc>
      </w:tr>
      <w:tr w:rsidR="00566F7F" w:rsidRPr="00566F7F" w14:paraId="7DB69F72" w14:textId="77777777" w:rsidTr="00BA7EB9">
        <w:tc>
          <w:tcPr>
            <w:tcW w:w="390" w:type="dxa"/>
          </w:tcPr>
          <w:p w14:paraId="4F738FC5" w14:textId="77777777" w:rsidR="00566F7F" w:rsidRPr="00566F7F" w:rsidRDefault="00566F7F" w:rsidP="00BA7EB9">
            <w:pPr>
              <w:rPr>
                <w:rFonts w:ascii="Arial" w:hAnsi="Arial" w:cs="Arial"/>
                <w:szCs w:val="20"/>
              </w:rPr>
            </w:pPr>
            <w:r w:rsidRPr="00566F7F">
              <w:rPr>
                <w:rFonts w:ascii="Arial" w:hAnsi="Arial" w:cs="Arial"/>
                <w:szCs w:val="20"/>
              </w:rPr>
              <w:t>Ii</w:t>
            </w:r>
          </w:p>
        </w:tc>
        <w:tc>
          <w:tcPr>
            <w:tcW w:w="1870" w:type="dxa"/>
          </w:tcPr>
          <w:p w14:paraId="1F5F6717" w14:textId="77777777" w:rsidR="00566F7F" w:rsidRPr="00566F7F" w:rsidRDefault="00566F7F" w:rsidP="00BA7EB9">
            <w:pPr>
              <w:rPr>
                <w:rFonts w:ascii="Arial" w:hAnsi="Arial" w:cs="Arial"/>
                <w:szCs w:val="20"/>
              </w:rPr>
            </w:pPr>
            <w:r w:rsidRPr="00566F7F">
              <w:rPr>
                <w:rFonts w:ascii="Arial" w:hAnsi="Arial" w:cs="Arial"/>
                <w:szCs w:val="20"/>
              </w:rPr>
              <w:t xml:space="preserve">Expenses – Commodity: Charge Type </w:t>
            </w:r>
            <w:r w:rsidRPr="00566F7F">
              <w:rPr>
                <w:rFonts w:ascii="Arial" w:hAnsi="Arial" w:cs="Arial"/>
                <w:szCs w:val="20"/>
              </w:rPr>
              <w:lastRenderedPageBreak/>
              <w:t>101 (i.e. is expense based on IESO invoice at year end)</w:t>
            </w:r>
          </w:p>
        </w:tc>
        <w:tc>
          <w:tcPr>
            <w:tcW w:w="1870" w:type="dxa"/>
          </w:tcPr>
          <w:p w14:paraId="2A028DC3" w14:textId="77777777" w:rsidR="00566F7F" w:rsidRPr="00566F7F" w:rsidRDefault="00566F7F" w:rsidP="00BA7EB9">
            <w:pPr>
              <w:rPr>
                <w:rFonts w:ascii="Arial" w:hAnsi="Arial" w:cs="Arial"/>
                <w:szCs w:val="20"/>
              </w:rPr>
            </w:pPr>
          </w:p>
        </w:tc>
        <w:tc>
          <w:tcPr>
            <w:tcW w:w="3605" w:type="dxa"/>
          </w:tcPr>
          <w:p w14:paraId="3F05325A" w14:textId="77777777" w:rsidR="00566F7F" w:rsidRPr="00566F7F" w:rsidRDefault="00566F7F" w:rsidP="00BA7EB9">
            <w:pPr>
              <w:rPr>
                <w:rFonts w:ascii="Arial" w:hAnsi="Arial" w:cs="Arial"/>
                <w:szCs w:val="20"/>
              </w:rPr>
            </w:pPr>
          </w:p>
        </w:tc>
        <w:tc>
          <w:tcPr>
            <w:tcW w:w="1870" w:type="dxa"/>
          </w:tcPr>
          <w:p w14:paraId="45698F98" w14:textId="77777777" w:rsidR="00566F7F" w:rsidRPr="00566F7F" w:rsidRDefault="00566F7F" w:rsidP="00BA7EB9">
            <w:pPr>
              <w:rPr>
                <w:rFonts w:ascii="Arial" w:hAnsi="Arial" w:cs="Arial"/>
                <w:szCs w:val="20"/>
              </w:rPr>
            </w:pPr>
          </w:p>
        </w:tc>
      </w:tr>
      <w:tr w:rsidR="00566F7F" w:rsidRPr="00566F7F" w14:paraId="123625C4" w14:textId="77777777" w:rsidTr="00BA7EB9">
        <w:tc>
          <w:tcPr>
            <w:tcW w:w="390" w:type="dxa"/>
          </w:tcPr>
          <w:p w14:paraId="620FC176" w14:textId="77777777" w:rsidR="00566F7F" w:rsidRPr="00566F7F" w:rsidRDefault="00566F7F" w:rsidP="00BA7EB9">
            <w:pPr>
              <w:rPr>
                <w:rFonts w:ascii="Arial" w:hAnsi="Arial" w:cs="Arial"/>
                <w:szCs w:val="20"/>
              </w:rPr>
            </w:pPr>
            <w:r w:rsidRPr="00566F7F">
              <w:rPr>
                <w:rFonts w:ascii="Arial" w:hAnsi="Arial" w:cs="Arial"/>
                <w:szCs w:val="20"/>
              </w:rPr>
              <w:t>ijj</w:t>
            </w:r>
          </w:p>
        </w:tc>
        <w:tc>
          <w:tcPr>
            <w:tcW w:w="1870" w:type="dxa"/>
          </w:tcPr>
          <w:p w14:paraId="117DBF2F" w14:textId="77777777" w:rsidR="00566F7F" w:rsidRPr="00566F7F" w:rsidRDefault="00566F7F" w:rsidP="00BA7EB9">
            <w:pPr>
              <w:rPr>
                <w:rFonts w:ascii="Arial" w:hAnsi="Arial" w:cs="Arial"/>
                <w:szCs w:val="20"/>
              </w:rPr>
            </w:pPr>
            <w:r w:rsidRPr="00566F7F">
              <w:rPr>
                <w:rFonts w:ascii="Arial" w:hAnsi="Arial" w:cs="Arial"/>
                <w:szCs w:val="20"/>
              </w:rPr>
              <w:t>Expenses - GA RPP: Charge Type 148 with respect to the quantum dollar amount (i.e. is expense based on IESO invoice at year end)</w:t>
            </w:r>
          </w:p>
          <w:p w14:paraId="201C3675" w14:textId="77777777" w:rsidR="00566F7F" w:rsidRPr="00566F7F" w:rsidRDefault="00566F7F" w:rsidP="00BA7EB9">
            <w:pPr>
              <w:rPr>
                <w:rFonts w:ascii="Arial" w:hAnsi="Arial" w:cs="Arial"/>
                <w:szCs w:val="20"/>
              </w:rPr>
            </w:pPr>
          </w:p>
        </w:tc>
        <w:tc>
          <w:tcPr>
            <w:tcW w:w="1870" w:type="dxa"/>
          </w:tcPr>
          <w:p w14:paraId="7561EBCF" w14:textId="77777777" w:rsidR="00566F7F" w:rsidRPr="00566F7F" w:rsidRDefault="00566F7F" w:rsidP="00BA7EB9">
            <w:pPr>
              <w:rPr>
                <w:rFonts w:ascii="Arial" w:hAnsi="Arial" w:cs="Arial"/>
                <w:szCs w:val="20"/>
              </w:rPr>
            </w:pPr>
          </w:p>
        </w:tc>
        <w:tc>
          <w:tcPr>
            <w:tcW w:w="3605" w:type="dxa"/>
          </w:tcPr>
          <w:p w14:paraId="48A06513" w14:textId="77777777" w:rsidR="00566F7F" w:rsidRPr="00566F7F" w:rsidRDefault="00566F7F" w:rsidP="00BA7EB9">
            <w:pPr>
              <w:rPr>
                <w:rFonts w:ascii="Arial" w:hAnsi="Arial" w:cs="Arial"/>
                <w:szCs w:val="20"/>
              </w:rPr>
            </w:pPr>
          </w:p>
        </w:tc>
        <w:tc>
          <w:tcPr>
            <w:tcW w:w="1870" w:type="dxa"/>
          </w:tcPr>
          <w:p w14:paraId="4C5273ED" w14:textId="77777777" w:rsidR="00566F7F" w:rsidRPr="00566F7F" w:rsidRDefault="00566F7F" w:rsidP="00BA7EB9">
            <w:pPr>
              <w:rPr>
                <w:rFonts w:ascii="Arial" w:hAnsi="Arial" w:cs="Arial"/>
                <w:szCs w:val="20"/>
              </w:rPr>
            </w:pPr>
          </w:p>
        </w:tc>
      </w:tr>
      <w:tr w:rsidR="00566F7F" w:rsidRPr="00566F7F" w14:paraId="2F73B340" w14:textId="77777777" w:rsidTr="00BA7EB9">
        <w:tc>
          <w:tcPr>
            <w:tcW w:w="390" w:type="dxa"/>
          </w:tcPr>
          <w:p w14:paraId="42537B70" w14:textId="77777777" w:rsidR="00566F7F" w:rsidRPr="00566F7F" w:rsidRDefault="00566F7F" w:rsidP="00BA7EB9">
            <w:pPr>
              <w:rPr>
                <w:rFonts w:ascii="Arial" w:hAnsi="Arial" w:cs="Arial"/>
                <w:szCs w:val="20"/>
              </w:rPr>
            </w:pPr>
            <w:r w:rsidRPr="00566F7F">
              <w:rPr>
                <w:rFonts w:ascii="Arial" w:hAnsi="Arial" w:cs="Arial"/>
                <w:szCs w:val="20"/>
              </w:rPr>
              <w:t>iv</w:t>
            </w:r>
          </w:p>
        </w:tc>
        <w:tc>
          <w:tcPr>
            <w:tcW w:w="1870" w:type="dxa"/>
          </w:tcPr>
          <w:p w14:paraId="17B34A1D" w14:textId="77777777" w:rsidR="00566F7F" w:rsidRPr="00566F7F" w:rsidRDefault="00566F7F" w:rsidP="00BA7EB9">
            <w:pPr>
              <w:rPr>
                <w:rFonts w:ascii="Arial" w:hAnsi="Arial" w:cs="Arial"/>
                <w:szCs w:val="20"/>
              </w:rPr>
            </w:pPr>
            <w:r w:rsidRPr="00566F7F">
              <w:rPr>
                <w:rFonts w:ascii="Arial" w:hAnsi="Arial" w:cs="Arial"/>
                <w:szCs w:val="20"/>
              </w:rPr>
              <w:t>Expenses - GA RPP: Charge Type 148 with respect and RPP/non-RPP pro-ration percentages</w:t>
            </w:r>
          </w:p>
          <w:p w14:paraId="542EE684" w14:textId="77777777" w:rsidR="00566F7F" w:rsidRPr="00566F7F" w:rsidRDefault="00566F7F" w:rsidP="00BA7EB9">
            <w:pPr>
              <w:rPr>
                <w:rFonts w:ascii="Arial" w:hAnsi="Arial" w:cs="Arial"/>
                <w:szCs w:val="20"/>
              </w:rPr>
            </w:pPr>
          </w:p>
        </w:tc>
        <w:tc>
          <w:tcPr>
            <w:tcW w:w="1870" w:type="dxa"/>
          </w:tcPr>
          <w:p w14:paraId="264E47B2" w14:textId="77777777" w:rsidR="00566F7F" w:rsidRPr="00566F7F" w:rsidRDefault="00566F7F" w:rsidP="00BA7EB9">
            <w:pPr>
              <w:rPr>
                <w:rFonts w:ascii="Arial" w:hAnsi="Arial" w:cs="Arial"/>
                <w:szCs w:val="20"/>
              </w:rPr>
            </w:pPr>
          </w:p>
        </w:tc>
        <w:tc>
          <w:tcPr>
            <w:tcW w:w="3605" w:type="dxa"/>
          </w:tcPr>
          <w:p w14:paraId="2421472A" w14:textId="77777777" w:rsidR="00566F7F" w:rsidRPr="00566F7F" w:rsidRDefault="00566F7F" w:rsidP="00BA7EB9">
            <w:pPr>
              <w:rPr>
                <w:rFonts w:ascii="Arial" w:hAnsi="Arial" w:cs="Arial"/>
                <w:szCs w:val="20"/>
              </w:rPr>
            </w:pPr>
          </w:p>
        </w:tc>
        <w:tc>
          <w:tcPr>
            <w:tcW w:w="1870" w:type="dxa"/>
          </w:tcPr>
          <w:p w14:paraId="2BB3E562" w14:textId="77777777" w:rsidR="00566F7F" w:rsidRPr="00566F7F" w:rsidRDefault="00566F7F" w:rsidP="00BA7EB9">
            <w:pPr>
              <w:rPr>
                <w:rFonts w:ascii="Arial" w:hAnsi="Arial" w:cs="Arial"/>
                <w:szCs w:val="20"/>
              </w:rPr>
            </w:pPr>
          </w:p>
        </w:tc>
      </w:tr>
      <w:tr w:rsidR="00566F7F" w:rsidRPr="00566F7F" w14:paraId="20967F0F" w14:textId="77777777" w:rsidTr="00BA7EB9">
        <w:tc>
          <w:tcPr>
            <w:tcW w:w="390" w:type="dxa"/>
          </w:tcPr>
          <w:p w14:paraId="04B05F24" w14:textId="77777777" w:rsidR="00566F7F" w:rsidRPr="00566F7F" w:rsidRDefault="00566F7F" w:rsidP="00BA7EB9">
            <w:pPr>
              <w:rPr>
                <w:rFonts w:ascii="Arial" w:hAnsi="Arial" w:cs="Arial"/>
                <w:szCs w:val="20"/>
              </w:rPr>
            </w:pPr>
            <w:r w:rsidRPr="00566F7F">
              <w:rPr>
                <w:rFonts w:ascii="Arial" w:hAnsi="Arial" w:cs="Arial"/>
                <w:szCs w:val="20"/>
              </w:rPr>
              <w:t>v</w:t>
            </w:r>
          </w:p>
        </w:tc>
        <w:tc>
          <w:tcPr>
            <w:tcW w:w="1870" w:type="dxa"/>
          </w:tcPr>
          <w:p w14:paraId="7D3EA717" w14:textId="77777777" w:rsidR="00566F7F" w:rsidRPr="00566F7F" w:rsidRDefault="00566F7F" w:rsidP="00BA7EB9">
            <w:pPr>
              <w:rPr>
                <w:rFonts w:ascii="Arial" w:hAnsi="Arial" w:cs="Arial"/>
                <w:szCs w:val="20"/>
              </w:rPr>
            </w:pPr>
            <w:r w:rsidRPr="00566F7F">
              <w:rPr>
                <w:rFonts w:ascii="Arial" w:hAnsi="Arial" w:cs="Arial"/>
                <w:szCs w:val="20"/>
              </w:rPr>
              <w:t>RPP Settlement: Charge Type 142 including any data used for determining the RPP/HOEP/RPP GA components of  the charge type</w:t>
            </w:r>
          </w:p>
          <w:p w14:paraId="679D1457" w14:textId="77777777" w:rsidR="00566F7F" w:rsidRPr="00566F7F" w:rsidRDefault="00566F7F" w:rsidP="00BA7EB9">
            <w:pPr>
              <w:rPr>
                <w:rFonts w:ascii="Arial" w:hAnsi="Arial" w:cs="Arial"/>
                <w:szCs w:val="20"/>
              </w:rPr>
            </w:pPr>
          </w:p>
        </w:tc>
        <w:tc>
          <w:tcPr>
            <w:tcW w:w="1870" w:type="dxa"/>
          </w:tcPr>
          <w:p w14:paraId="10223888" w14:textId="77777777" w:rsidR="00566F7F" w:rsidRPr="00566F7F" w:rsidRDefault="00566F7F" w:rsidP="00BA7EB9">
            <w:pPr>
              <w:rPr>
                <w:rFonts w:ascii="Arial" w:hAnsi="Arial" w:cs="Arial"/>
                <w:szCs w:val="20"/>
              </w:rPr>
            </w:pPr>
          </w:p>
        </w:tc>
        <w:tc>
          <w:tcPr>
            <w:tcW w:w="3605" w:type="dxa"/>
          </w:tcPr>
          <w:p w14:paraId="0BDF749A" w14:textId="77777777" w:rsidR="00566F7F" w:rsidRPr="00566F7F" w:rsidRDefault="00566F7F" w:rsidP="00BA7EB9">
            <w:pPr>
              <w:rPr>
                <w:rFonts w:ascii="Arial" w:hAnsi="Arial" w:cs="Arial"/>
                <w:szCs w:val="20"/>
              </w:rPr>
            </w:pPr>
          </w:p>
        </w:tc>
        <w:tc>
          <w:tcPr>
            <w:tcW w:w="1870" w:type="dxa"/>
          </w:tcPr>
          <w:p w14:paraId="1688FE75" w14:textId="77777777" w:rsidR="00566F7F" w:rsidRPr="00566F7F" w:rsidRDefault="00566F7F" w:rsidP="00BA7EB9">
            <w:pPr>
              <w:rPr>
                <w:rFonts w:ascii="Arial" w:hAnsi="Arial" w:cs="Arial"/>
                <w:szCs w:val="20"/>
              </w:rPr>
            </w:pPr>
          </w:p>
        </w:tc>
      </w:tr>
    </w:tbl>
    <w:p w14:paraId="489530E6" w14:textId="77777777" w:rsidR="00E539D8" w:rsidRDefault="00E539D8" w:rsidP="00B34082">
      <w:pPr>
        <w:rPr>
          <w:rFonts w:ascii="Arial" w:hAnsi="Arial" w:cs="Arial"/>
          <w:sz w:val="24"/>
        </w:rPr>
      </w:pPr>
    </w:p>
    <w:p w14:paraId="1E81C837" w14:textId="77777777" w:rsidR="00566F7F" w:rsidRDefault="00566F7F" w:rsidP="00B34082">
      <w:pPr>
        <w:rPr>
          <w:rFonts w:ascii="Arial" w:hAnsi="Arial" w:cs="Arial"/>
          <w:sz w:val="24"/>
          <w:szCs w:val="24"/>
        </w:rPr>
      </w:pPr>
    </w:p>
    <w:p w14:paraId="73EAA597" w14:textId="77777777" w:rsidR="001B023D" w:rsidRPr="001B023D" w:rsidRDefault="00E539D8" w:rsidP="00B34082">
      <w:pPr>
        <w:rPr>
          <w:rFonts w:ascii="Arial" w:hAnsi="Arial" w:cs="Arial"/>
          <w:b/>
          <w:sz w:val="24"/>
          <w:szCs w:val="24"/>
        </w:rPr>
      </w:pPr>
      <w:r>
        <w:rPr>
          <w:rFonts w:ascii="Arial" w:hAnsi="Arial" w:cs="Arial"/>
          <w:b/>
          <w:sz w:val="24"/>
          <w:szCs w:val="24"/>
        </w:rPr>
        <w:t>Staff IR-</w:t>
      </w:r>
      <w:r w:rsidR="00566F7F">
        <w:rPr>
          <w:rFonts w:ascii="Arial" w:hAnsi="Arial" w:cs="Arial"/>
          <w:b/>
          <w:sz w:val="24"/>
          <w:szCs w:val="24"/>
        </w:rPr>
        <w:t>4</w:t>
      </w:r>
    </w:p>
    <w:p w14:paraId="0BDF9A3A" w14:textId="77777777" w:rsidR="001B023D" w:rsidRDefault="001B023D" w:rsidP="00B34082">
      <w:pPr>
        <w:rPr>
          <w:rFonts w:ascii="Arial" w:hAnsi="Arial" w:cs="Arial"/>
          <w:b/>
          <w:sz w:val="24"/>
          <w:szCs w:val="24"/>
        </w:rPr>
      </w:pPr>
      <w:r w:rsidRPr="001B023D">
        <w:rPr>
          <w:rFonts w:ascii="Arial" w:hAnsi="Arial" w:cs="Arial"/>
          <w:b/>
          <w:sz w:val="24"/>
          <w:szCs w:val="24"/>
        </w:rPr>
        <w:t xml:space="preserve">Ref: DVA Workform – Billing </w:t>
      </w:r>
      <w:r w:rsidR="0051231B">
        <w:rPr>
          <w:rFonts w:ascii="Arial" w:hAnsi="Arial" w:cs="Arial"/>
          <w:b/>
          <w:sz w:val="24"/>
          <w:szCs w:val="24"/>
        </w:rPr>
        <w:t>Determinants</w:t>
      </w:r>
    </w:p>
    <w:p w14:paraId="1C2C6D07" w14:textId="77777777" w:rsidR="0051231B" w:rsidRDefault="0051231B" w:rsidP="00B34082">
      <w:pPr>
        <w:rPr>
          <w:rFonts w:ascii="Arial" w:hAnsi="Arial" w:cs="Arial"/>
          <w:sz w:val="24"/>
          <w:szCs w:val="24"/>
        </w:rPr>
      </w:pPr>
      <w:r>
        <w:rPr>
          <w:rFonts w:ascii="Arial" w:hAnsi="Arial" w:cs="Arial"/>
          <w:sz w:val="24"/>
          <w:szCs w:val="24"/>
        </w:rPr>
        <w:t>In tab 4 Billing Determinants of the DVA model, Hydro Ottawa reported 37,049,412 kWh and 6</w:t>
      </w:r>
      <w:r w:rsidR="00E539D8">
        <w:rPr>
          <w:rFonts w:ascii="Arial" w:hAnsi="Arial" w:cs="Arial"/>
          <w:sz w:val="24"/>
          <w:szCs w:val="24"/>
        </w:rPr>
        <w:t xml:space="preserve">6,568 kW as metered consumption and </w:t>
      </w:r>
      <w:r>
        <w:rPr>
          <w:rFonts w:ascii="Arial" w:hAnsi="Arial" w:cs="Arial"/>
          <w:sz w:val="24"/>
          <w:szCs w:val="24"/>
        </w:rPr>
        <w:t>demand for Wholesale Market Participants in the GS 1,500 to 1,499 kW rate class. However, in the RRR 2.1.5.4 reporting, the same consumption and demand amounts were reported in the GS 50 to 1,499 kW rate class. Please confirm which rate class should these consumption and demand amounts belong to. Please update the DVA model i</w:t>
      </w:r>
      <w:r w:rsidR="006058C4">
        <w:rPr>
          <w:rFonts w:ascii="Arial" w:hAnsi="Arial" w:cs="Arial"/>
          <w:sz w:val="24"/>
          <w:szCs w:val="24"/>
        </w:rPr>
        <w:t>f</w:t>
      </w:r>
      <w:r>
        <w:rPr>
          <w:rFonts w:ascii="Arial" w:hAnsi="Arial" w:cs="Arial"/>
          <w:sz w:val="24"/>
          <w:szCs w:val="24"/>
        </w:rPr>
        <w:t xml:space="preserve"> necessary.</w:t>
      </w:r>
    </w:p>
    <w:p w14:paraId="6F5F63BB" w14:textId="77777777" w:rsidR="005C1D1E" w:rsidRDefault="005C1D1E" w:rsidP="00B34082">
      <w:pPr>
        <w:rPr>
          <w:rFonts w:ascii="Arial" w:hAnsi="Arial" w:cs="Arial"/>
          <w:sz w:val="24"/>
          <w:szCs w:val="24"/>
        </w:rPr>
      </w:pPr>
    </w:p>
    <w:p w14:paraId="3981F3FF" w14:textId="77777777" w:rsidR="005C1D1E" w:rsidRPr="00F04340" w:rsidRDefault="005C1D1E" w:rsidP="005C1D1E">
      <w:pPr>
        <w:spacing w:after="0"/>
        <w:rPr>
          <w:rFonts w:ascii="Arial" w:hAnsi="Arial" w:cs="Arial"/>
          <w:b/>
          <w:sz w:val="24"/>
          <w:szCs w:val="24"/>
        </w:rPr>
      </w:pPr>
      <w:r w:rsidRPr="00F04340">
        <w:rPr>
          <w:rFonts w:ascii="Arial" w:hAnsi="Arial" w:cs="Arial"/>
          <w:b/>
          <w:sz w:val="24"/>
          <w:szCs w:val="24"/>
        </w:rPr>
        <w:lastRenderedPageBreak/>
        <w:t>Staff</w:t>
      </w:r>
      <w:r>
        <w:rPr>
          <w:rFonts w:ascii="Arial" w:hAnsi="Arial" w:cs="Arial"/>
          <w:b/>
          <w:sz w:val="24"/>
          <w:szCs w:val="24"/>
        </w:rPr>
        <w:t xml:space="preserve"> IR</w:t>
      </w:r>
      <w:r w:rsidRPr="00F04340">
        <w:rPr>
          <w:rFonts w:ascii="Arial" w:hAnsi="Arial" w:cs="Arial"/>
          <w:b/>
          <w:sz w:val="24"/>
          <w:szCs w:val="24"/>
        </w:rPr>
        <w:t>-</w:t>
      </w:r>
      <w:r w:rsidR="00566F7F">
        <w:rPr>
          <w:rFonts w:ascii="Arial" w:hAnsi="Arial" w:cs="Arial"/>
          <w:b/>
          <w:sz w:val="24"/>
          <w:szCs w:val="24"/>
        </w:rPr>
        <w:t>5</w:t>
      </w:r>
    </w:p>
    <w:p w14:paraId="497A493D" w14:textId="77777777" w:rsidR="005C1D1E" w:rsidRPr="00F04340" w:rsidRDefault="005C1D1E" w:rsidP="005C1D1E">
      <w:pPr>
        <w:spacing w:after="0"/>
        <w:rPr>
          <w:rFonts w:ascii="Arial" w:hAnsi="Arial" w:cs="Arial"/>
          <w:b/>
          <w:sz w:val="24"/>
          <w:szCs w:val="24"/>
        </w:rPr>
      </w:pPr>
      <w:r w:rsidRPr="00F04340">
        <w:rPr>
          <w:rFonts w:ascii="Arial" w:hAnsi="Arial" w:cs="Arial"/>
          <w:b/>
          <w:sz w:val="24"/>
          <w:szCs w:val="24"/>
        </w:rPr>
        <w:t>Ref: Exhibit 7, Schedule 1</w:t>
      </w:r>
    </w:p>
    <w:p w14:paraId="73588D90" w14:textId="77777777" w:rsidR="005C1D1E" w:rsidRPr="00F04340" w:rsidRDefault="005C1D1E" w:rsidP="005C1D1E">
      <w:pPr>
        <w:spacing w:after="0"/>
        <w:rPr>
          <w:rFonts w:ascii="Arial" w:hAnsi="Arial" w:cs="Arial"/>
          <w:b/>
          <w:sz w:val="24"/>
          <w:szCs w:val="24"/>
        </w:rPr>
      </w:pPr>
      <w:r w:rsidRPr="00F04340">
        <w:rPr>
          <w:rFonts w:ascii="Arial" w:hAnsi="Arial" w:cs="Arial"/>
          <w:b/>
          <w:sz w:val="24"/>
          <w:szCs w:val="24"/>
        </w:rPr>
        <w:t>Ref: Exhibit 7, Schedule 1, Attachment 7-1(B), Page 1</w:t>
      </w:r>
    </w:p>
    <w:p w14:paraId="273BB670" w14:textId="77777777" w:rsidR="005C1D1E" w:rsidRPr="00F04340" w:rsidRDefault="005C1D1E" w:rsidP="005C1D1E">
      <w:pPr>
        <w:rPr>
          <w:rFonts w:ascii="Arial" w:hAnsi="Arial" w:cs="Arial"/>
          <w:b/>
          <w:sz w:val="24"/>
          <w:szCs w:val="24"/>
        </w:rPr>
      </w:pPr>
      <w:r w:rsidRPr="00F04340">
        <w:rPr>
          <w:rFonts w:ascii="Arial" w:hAnsi="Arial" w:cs="Arial"/>
          <w:b/>
          <w:sz w:val="24"/>
          <w:szCs w:val="24"/>
        </w:rPr>
        <w:t>Ref: Amended Settlement Proposal in 2016-2020 Custom IR, filed December 7 2015, p. 22</w:t>
      </w:r>
    </w:p>
    <w:p w14:paraId="38D2BA88" w14:textId="77777777" w:rsidR="005C1D1E" w:rsidRPr="00F04340" w:rsidRDefault="005C1D1E" w:rsidP="005C1D1E">
      <w:pPr>
        <w:rPr>
          <w:rFonts w:ascii="Arial" w:hAnsi="Arial" w:cs="Arial"/>
          <w:sz w:val="24"/>
          <w:szCs w:val="24"/>
        </w:rPr>
      </w:pPr>
      <w:r w:rsidRPr="00F04340">
        <w:rPr>
          <w:rFonts w:ascii="Arial" w:hAnsi="Arial" w:cs="Arial"/>
          <w:sz w:val="24"/>
          <w:szCs w:val="24"/>
        </w:rPr>
        <w:t>Hydro Ottawa has adjusted the 2018 Cost Allocation model to reflect the Pole Attachment Decision.  However, the settlement agreement specified “In the event that, as a result of the OEB’s decision on Issue 4.11, the poles attachment revenues are a different amount, then the distribution rates will be adjusted by an equal amount so that the service revenue requirement for each year is unchanged.”</w:t>
      </w:r>
    </w:p>
    <w:p w14:paraId="074AD711" w14:textId="77777777" w:rsidR="005C1D1E" w:rsidRDefault="005C1D1E" w:rsidP="005C1D1E">
      <w:pPr>
        <w:pStyle w:val="ListParagraph"/>
        <w:numPr>
          <w:ilvl w:val="0"/>
          <w:numId w:val="29"/>
        </w:numPr>
        <w:spacing w:after="160" w:line="259" w:lineRule="auto"/>
        <w:rPr>
          <w:rFonts w:ascii="Arial" w:hAnsi="Arial" w:cs="Arial"/>
          <w:sz w:val="24"/>
          <w:szCs w:val="24"/>
        </w:rPr>
      </w:pPr>
      <w:r w:rsidRPr="00F04340">
        <w:rPr>
          <w:rFonts w:ascii="Arial" w:hAnsi="Arial" w:cs="Arial"/>
          <w:sz w:val="24"/>
          <w:szCs w:val="24"/>
        </w:rPr>
        <w:t>Please explain why Hydro Ottawa chose to update their Cost Allocation study when the adjustment specified by the settlement agreement does not require an update to cost allocation.</w:t>
      </w:r>
    </w:p>
    <w:p w14:paraId="5D294A9E" w14:textId="77777777" w:rsidR="005C1D1E" w:rsidRPr="00F04340" w:rsidRDefault="005C1D1E" w:rsidP="005C1D1E">
      <w:pPr>
        <w:pStyle w:val="ListParagraph"/>
        <w:numPr>
          <w:ilvl w:val="0"/>
          <w:numId w:val="29"/>
        </w:numPr>
        <w:spacing w:after="160" w:line="259" w:lineRule="auto"/>
        <w:rPr>
          <w:rFonts w:ascii="Arial" w:hAnsi="Arial" w:cs="Arial"/>
          <w:sz w:val="24"/>
          <w:szCs w:val="24"/>
        </w:rPr>
      </w:pPr>
      <w:r>
        <w:rPr>
          <w:rFonts w:ascii="Arial" w:hAnsi="Arial" w:cs="Arial"/>
          <w:sz w:val="24"/>
          <w:szCs w:val="24"/>
        </w:rPr>
        <w:t>Please confirm that Hydro Ottawa relied on the settlement agreement, and not the updated Cost Allocation study in setting the revenue requirement by class in the second reference.</w:t>
      </w:r>
    </w:p>
    <w:p w14:paraId="14206605" w14:textId="77777777" w:rsidR="005C1D1E" w:rsidRPr="00F04340" w:rsidRDefault="005C1D1E" w:rsidP="005C1D1E">
      <w:pPr>
        <w:rPr>
          <w:rFonts w:ascii="Arial" w:hAnsi="Arial" w:cs="Arial"/>
          <w:sz w:val="24"/>
          <w:szCs w:val="24"/>
        </w:rPr>
      </w:pPr>
    </w:p>
    <w:p w14:paraId="39F68065" w14:textId="77777777" w:rsidR="00E539D8" w:rsidRDefault="00E539D8" w:rsidP="00B34082">
      <w:pPr>
        <w:rPr>
          <w:rFonts w:ascii="Arial" w:hAnsi="Arial" w:cs="Arial"/>
          <w:sz w:val="24"/>
          <w:szCs w:val="24"/>
        </w:rPr>
      </w:pPr>
    </w:p>
    <w:p w14:paraId="40A86D78" w14:textId="77777777" w:rsidR="0051231B" w:rsidRPr="0051231B" w:rsidRDefault="0051231B" w:rsidP="00B34082">
      <w:pPr>
        <w:rPr>
          <w:rFonts w:ascii="Arial" w:hAnsi="Arial" w:cs="Arial"/>
          <w:sz w:val="24"/>
          <w:szCs w:val="24"/>
        </w:rPr>
      </w:pPr>
    </w:p>
    <w:p w14:paraId="187C7913" w14:textId="77777777" w:rsidR="00B34082" w:rsidRPr="002D056D" w:rsidRDefault="00B34082" w:rsidP="008E6045">
      <w:pPr>
        <w:rPr>
          <w:rFonts w:ascii="Arial" w:hAnsi="Arial" w:cs="Arial"/>
          <w:b/>
          <w:sz w:val="24"/>
          <w:szCs w:val="24"/>
        </w:rPr>
      </w:pPr>
    </w:p>
    <w:sectPr w:rsidR="00B34082" w:rsidRPr="002D056D" w:rsidSect="00EA0919">
      <w:headerReference w:type="default" r:id="rId9"/>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36771E" w14:textId="77777777" w:rsidR="000851FC" w:rsidRDefault="000851FC" w:rsidP="00241AF6">
      <w:pPr>
        <w:spacing w:after="0" w:line="240" w:lineRule="auto"/>
      </w:pPr>
      <w:r>
        <w:separator/>
      </w:r>
    </w:p>
  </w:endnote>
  <w:endnote w:type="continuationSeparator" w:id="0">
    <w:p w14:paraId="6DD4BCFE" w14:textId="77777777" w:rsidR="000851FC" w:rsidRDefault="000851FC" w:rsidP="00241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0C3FF5" w14:textId="77777777" w:rsidR="000851FC" w:rsidRDefault="000851FC" w:rsidP="00241AF6">
      <w:pPr>
        <w:spacing w:after="0" w:line="240" w:lineRule="auto"/>
      </w:pPr>
      <w:r>
        <w:separator/>
      </w:r>
    </w:p>
  </w:footnote>
  <w:footnote w:type="continuationSeparator" w:id="0">
    <w:p w14:paraId="2C77548A" w14:textId="77777777" w:rsidR="000851FC" w:rsidRDefault="000851FC" w:rsidP="00241A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E7882" w14:textId="77777777" w:rsidR="00241AF6" w:rsidRDefault="00241AF6">
    <w:pPr>
      <w:pStyle w:val="Header"/>
    </w:pPr>
    <w:r>
      <w:ptab w:relativeTo="margin" w:alignment="center" w:leader="none"/>
    </w:r>
    <w:r>
      <w:ptab w:relativeTo="margin" w:alignment="right" w:leader="none"/>
    </w:r>
    <w:r>
      <w:t>Hydro Ottawa Limited</w:t>
    </w:r>
  </w:p>
  <w:p w14:paraId="5DE1C92C" w14:textId="77777777" w:rsidR="00241AF6" w:rsidRDefault="00241AF6">
    <w:pPr>
      <w:pStyle w:val="Header"/>
    </w:pPr>
    <w:r>
      <w:tab/>
    </w:r>
    <w:r>
      <w:tab/>
      <w:t>OEB Staff Interrogatories</w:t>
    </w:r>
  </w:p>
  <w:p w14:paraId="39EF94CC" w14:textId="77777777" w:rsidR="00241AF6" w:rsidRDefault="00241AF6">
    <w:pPr>
      <w:pStyle w:val="Header"/>
    </w:pPr>
    <w:r>
      <w:tab/>
    </w:r>
    <w:r>
      <w:tab/>
      <w:t>EB-2017-0052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81843"/>
    <w:multiLevelType w:val="hybridMultilevel"/>
    <w:tmpl w:val="F4FE5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D2574F5"/>
    <w:multiLevelType w:val="hybridMultilevel"/>
    <w:tmpl w:val="512C6D10"/>
    <w:lvl w:ilvl="0" w:tplc="80303286">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A52736"/>
    <w:multiLevelType w:val="hybridMultilevel"/>
    <w:tmpl w:val="500EA85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95D4592"/>
    <w:multiLevelType w:val="hybridMultilevel"/>
    <w:tmpl w:val="DC1A503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A3808AF"/>
    <w:multiLevelType w:val="hybridMultilevel"/>
    <w:tmpl w:val="B09CBCEC"/>
    <w:lvl w:ilvl="0" w:tplc="D9E256FE">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246327C4"/>
    <w:multiLevelType w:val="hybridMultilevel"/>
    <w:tmpl w:val="AE1E44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5835BCC"/>
    <w:multiLevelType w:val="hybridMultilevel"/>
    <w:tmpl w:val="C434A7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C170AD"/>
    <w:multiLevelType w:val="hybridMultilevel"/>
    <w:tmpl w:val="9AF07AE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C904027"/>
    <w:multiLevelType w:val="hybridMultilevel"/>
    <w:tmpl w:val="BA68CF2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B214EF"/>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B0F7F76"/>
    <w:multiLevelType w:val="hybridMultilevel"/>
    <w:tmpl w:val="460A55F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1" w15:restartNumberingAfterBreak="0">
    <w:nsid w:val="3F992221"/>
    <w:multiLevelType w:val="hybridMultilevel"/>
    <w:tmpl w:val="21F406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140645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7152769"/>
    <w:multiLevelType w:val="hybridMultilevel"/>
    <w:tmpl w:val="778217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3602B4"/>
    <w:multiLevelType w:val="hybridMultilevel"/>
    <w:tmpl w:val="778217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5A77D6"/>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EC22C9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53F05669"/>
    <w:multiLevelType w:val="hybridMultilevel"/>
    <w:tmpl w:val="412223B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57E371CF"/>
    <w:multiLevelType w:val="hybridMultilevel"/>
    <w:tmpl w:val="0DF6050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9235D00"/>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5BB61263"/>
    <w:multiLevelType w:val="hybridMultilevel"/>
    <w:tmpl w:val="102E1F06"/>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15:restartNumberingAfterBreak="0">
    <w:nsid w:val="61AA03A7"/>
    <w:multiLevelType w:val="hybridMultilevel"/>
    <w:tmpl w:val="B072AE3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4D2073D"/>
    <w:multiLevelType w:val="hybridMultilevel"/>
    <w:tmpl w:val="9D788B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3" w15:restartNumberingAfterBreak="0">
    <w:nsid w:val="64F029E6"/>
    <w:multiLevelType w:val="hybridMultilevel"/>
    <w:tmpl w:val="1A98A2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636038A"/>
    <w:multiLevelType w:val="hybridMultilevel"/>
    <w:tmpl w:val="FE802948"/>
    <w:lvl w:ilvl="0" w:tplc="4850A7F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7294C82"/>
    <w:multiLevelType w:val="hybridMultilevel"/>
    <w:tmpl w:val="52B2D3B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A951BB4"/>
    <w:multiLevelType w:val="hybridMultilevel"/>
    <w:tmpl w:val="28E8C6B2"/>
    <w:lvl w:ilvl="0" w:tplc="88140018">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D343399"/>
    <w:multiLevelType w:val="hybridMultilevel"/>
    <w:tmpl w:val="EF5064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722D6F0B"/>
    <w:multiLevelType w:val="hybridMultilevel"/>
    <w:tmpl w:val="ADBA401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780A6A11"/>
    <w:multiLevelType w:val="hybridMultilevel"/>
    <w:tmpl w:val="15C45F6A"/>
    <w:lvl w:ilvl="0" w:tplc="BD3C2368">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A64222C"/>
    <w:multiLevelType w:val="hybridMultilevel"/>
    <w:tmpl w:val="12DA9BF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7E956CEF"/>
    <w:multiLevelType w:val="hybridMultilevel"/>
    <w:tmpl w:val="DB34011E"/>
    <w:lvl w:ilvl="0" w:tplc="10090011">
      <w:start w:val="1"/>
      <w:numFmt w:val="decimal"/>
      <w:lvlText w:val="%1)"/>
      <w:lvlJc w:val="left"/>
      <w:pPr>
        <w:ind w:left="360" w:hanging="360"/>
      </w:pPr>
      <w:rPr>
        <w:rFonts w:hint="default"/>
      </w:rPr>
    </w:lvl>
    <w:lvl w:ilvl="1" w:tplc="A2B6BE60">
      <w:start w:val="1"/>
      <w:numFmt w:val="lowerLetter"/>
      <w:lvlText w:val="%2)"/>
      <w:lvlJc w:val="left"/>
      <w:pPr>
        <w:ind w:left="1080" w:hanging="360"/>
      </w:pPr>
      <w:rPr>
        <w:rFonts w:hint="default"/>
      </w:r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0"/>
  </w:num>
  <w:num w:numId="2">
    <w:abstractNumId w:val="5"/>
  </w:num>
  <w:num w:numId="3">
    <w:abstractNumId w:val="23"/>
  </w:num>
  <w:num w:numId="4">
    <w:abstractNumId w:val="30"/>
  </w:num>
  <w:num w:numId="5">
    <w:abstractNumId w:val="12"/>
  </w:num>
  <w:num w:numId="6">
    <w:abstractNumId w:val="9"/>
  </w:num>
  <w:num w:numId="7">
    <w:abstractNumId w:val="19"/>
  </w:num>
  <w:num w:numId="8">
    <w:abstractNumId w:val="15"/>
  </w:num>
  <w:num w:numId="9">
    <w:abstractNumId w:val="16"/>
  </w:num>
  <w:num w:numId="10">
    <w:abstractNumId w:val="4"/>
  </w:num>
  <w:num w:numId="11">
    <w:abstractNumId w:val="18"/>
  </w:num>
  <w:num w:numId="12">
    <w:abstractNumId w:val="25"/>
  </w:num>
  <w:num w:numId="13">
    <w:abstractNumId w:val="3"/>
  </w:num>
  <w:num w:numId="14">
    <w:abstractNumId w:val="1"/>
  </w:num>
  <w:num w:numId="15">
    <w:abstractNumId w:val="29"/>
  </w:num>
  <w:num w:numId="16">
    <w:abstractNumId w:val="7"/>
  </w:num>
  <w:num w:numId="17">
    <w:abstractNumId w:val="21"/>
  </w:num>
  <w:num w:numId="18">
    <w:abstractNumId w:val="27"/>
  </w:num>
  <w:num w:numId="19">
    <w:abstractNumId w:val="28"/>
  </w:num>
  <w:num w:numId="20">
    <w:abstractNumId w:val="11"/>
  </w:num>
  <w:num w:numId="21">
    <w:abstractNumId w:val="26"/>
  </w:num>
  <w:num w:numId="22">
    <w:abstractNumId w:val="10"/>
  </w:num>
  <w:num w:numId="23">
    <w:abstractNumId w:val="24"/>
  </w:num>
  <w:num w:numId="24">
    <w:abstractNumId w:val="22"/>
  </w:num>
  <w:num w:numId="25">
    <w:abstractNumId w:val="2"/>
  </w:num>
  <w:num w:numId="26">
    <w:abstractNumId w:val="17"/>
  </w:num>
  <w:num w:numId="27">
    <w:abstractNumId w:val="20"/>
  </w:num>
  <w:num w:numId="28">
    <w:abstractNumId w:val="31"/>
  </w:num>
  <w:num w:numId="29">
    <w:abstractNumId w:val="13"/>
  </w:num>
  <w:num w:numId="30">
    <w:abstractNumId w:val="14"/>
  </w:num>
  <w:num w:numId="31">
    <w:abstractNumId w:val="6"/>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B52"/>
    <w:rsid w:val="0003073C"/>
    <w:rsid w:val="00035337"/>
    <w:rsid w:val="00053AA5"/>
    <w:rsid w:val="00054071"/>
    <w:rsid w:val="000570CA"/>
    <w:rsid w:val="0006126D"/>
    <w:rsid w:val="00067F57"/>
    <w:rsid w:val="00071BEC"/>
    <w:rsid w:val="00074514"/>
    <w:rsid w:val="000832D4"/>
    <w:rsid w:val="000851FC"/>
    <w:rsid w:val="00090160"/>
    <w:rsid w:val="000928B6"/>
    <w:rsid w:val="000B354A"/>
    <w:rsid w:val="000B3E7E"/>
    <w:rsid w:val="000D223C"/>
    <w:rsid w:val="000E4006"/>
    <w:rsid w:val="000F1E3A"/>
    <w:rsid w:val="00164E99"/>
    <w:rsid w:val="00183CC8"/>
    <w:rsid w:val="00187E9B"/>
    <w:rsid w:val="001927C2"/>
    <w:rsid w:val="001A4DCD"/>
    <w:rsid w:val="001B023D"/>
    <w:rsid w:val="001F1678"/>
    <w:rsid w:val="00203092"/>
    <w:rsid w:val="002208C0"/>
    <w:rsid w:val="00224C06"/>
    <w:rsid w:val="00241AF6"/>
    <w:rsid w:val="0025687C"/>
    <w:rsid w:val="00274A48"/>
    <w:rsid w:val="002803F8"/>
    <w:rsid w:val="00291CCC"/>
    <w:rsid w:val="002A6415"/>
    <w:rsid w:val="002B7B7C"/>
    <w:rsid w:val="002C7EF6"/>
    <w:rsid w:val="002F4756"/>
    <w:rsid w:val="00302509"/>
    <w:rsid w:val="003049C5"/>
    <w:rsid w:val="00340C00"/>
    <w:rsid w:val="00346309"/>
    <w:rsid w:val="003702D1"/>
    <w:rsid w:val="00373FAD"/>
    <w:rsid w:val="003777B5"/>
    <w:rsid w:val="003832E7"/>
    <w:rsid w:val="003A20A0"/>
    <w:rsid w:val="003A2E00"/>
    <w:rsid w:val="003A58B0"/>
    <w:rsid w:val="003C5522"/>
    <w:rsid w:val="003C5C66"/>
    <w:rsid w:val="003E6BD6"/>
    <w:rsid w:val="00412DC6"/>
    <w:rsid w:val="004377B0"/>
    <w:rsid w:val="00465426"/>
    <w:rsid w:val="00472C81"/>
    <w:rsid w:val="00475032"/>
    <w:rsid w:val="0047783C"/>
    <w:rsid w:val="004859EF"/>
    <w:rsid w:val="004955D7"/>
    <w:rsid w:val="004B5C27"/>
    <w:rsid w:val="0051231B"/>
    <w:rsid w:val="005164F5"/>
    <w:rsid w:val="0052560F"/>
    <w:rsid w:val="005666F2"/>
    <w:rsid w:val="00566F7F"/>
    <w:rsid w:val="00572064"/>
    <w:rsid w:val="00584369"/>
    <w:rsid w:val="00587A35"/>
    <w:rsid w:val="005C1D1E"/>
    <w:rsid w:val="005D67B0"/>
    <w:rsid w:val="005F4693"/>
    <w:rsid w:val="006058C4"/>
    <w:rsid w:val="00617F74"/>
    <w:rsid w:val="006357F6"/>
    <w:rsid w:val="0064279A"/>
    <w:rsid w:val="006837FB"/>
    <w:rsid w:val="006A5D23"/>
    <w:rsid w:val="006E3D58"/>
    <w:rsid w:val="00704EE5"/>
    <w:rsid w:val="00705166"/>
    <w:rsid w:val="007066E2"/>
    <w:rsid w:val="00722640"/>
    <w:rsid w:val="0073197E"/>
    <w:rsid w:val="00746080"/>
    <w:rsid w:val="00772B57"/>
    <w:rsid w:val="00781D04"/>
    <w:rsid w:val="007C2D45"/>
    <w:rsid w:val="007C791A"/>
    <w:rsid w:val="007F49EB"/>
    <w:rsid w:val="00812C1B"/>
    <w:rsid w:val="00835AD0"/>
    <w:rsid w:val="008747B3"/>
    <w:rsid w:val="008926F0"/>
    <w:rsid w:val="008964E8"/>
    <w:rsid w:val="008A48F6"/>
    <w:rsid w:val="008E6045"/>
    <w:rsid w:val="0090113B"/>
    <w:rsid w:val="009239D4"/>
    <w:rsid w:val="0093258A"/>
    <w:rsid w:val="0094373C"/>
    <w:rsid w:val="00946DEE"/>
    <w:rsid w:val="00947139"/>
    <w:rsid w:val="00951E2B"/>
    <w:rsid w:val="00952939"/>
    <w:rsid w:val="00961EA0"/>
    <w:rsid w:val="00983CEA"/>
    <w:rsid w:val="009A5C44"/>
    <w:rsid w:val="009B03AF"/>
    <w:rsid w:val="009C4216"/>
    <w:rsid w:val="009D5F4B"/>
    <w:rsid w:val="009E626E"/>
    <w:rsid w:val="009E7CBF"/>
    <w:rsid w:val="009F6B08"/>
    <w:rsid w:val="00A07077"/>
    <w:rsid w:val="00A516B0"/>
    <w:rsid w:val="00A5620A"/>
    <w:rsid w:val="00AA06D9"/>
    <w:rsid w:val="00AC2406"/>
    <w:rsid w:val="00AD3FCF"/>
    <w:rsid w:val="00B03802"/>
    <w:rsid w:val="00B069AA"/>
    <w:rsid w:val="00B23A36"/>
    <w:rsid w:val="00B25576"/>
    <w:rsid w:val="00B25EF5"/>
    <w:rsid w:val="00B34082"/>
    <w:rsid w:val="00B50EB2"/>
    <w:rsid w:val="00B6722A"/>
    <w:rsid w:val="00B811BD"/>
    <w:rsid w:val="00B82D78"/>
    <w:rsid w:val="00BA434C"/>
    <w:rsid w:val="00BD4F65"/>
    <w:rsid w:val="00C06F9E"/>
    <w:rsid w:val="00C13E6B"/>
    <w:rsid w:val="00C2370B"/>
    <w:rsid w:val="00C624D5"/>
    <w:rsid w:val="00C848A0"/>
    <w:rsid w:val="00C878C5"/>
    <w:rsid w:val="00C96AEA"/>
    <w:rsid w:val="00CC0B6D"/>
    <w:rsid w:val="00CE1CD3"/>
    <w:rsid w:val="00CE4F01"/>
    <w:rsid w:val="00D55546"/>
    <w:rsid w:val="00D6213C"/>
    <w:rsid w:val="00D647C0"/>
    <w:rsid w:val="00D77694"/>
    <w:rsid w:val="00D77B0F"/>
    <w:rsid w:val="00DB51CF"/>
    <w:rsid w:val="00DB6B52"/>
    <w:rsid w:val="00DE5488"/>
    <w:rsid w:val="00DE75AC"/>
    <w:rsid w:val="00DF5A52"/>
    <w:rsid w:val="00E17C58"/>
    <w:rsid w:val="00E231C2"/>
    <w:rsid w:val="00E429DA"/>
    <w:rsid w:val="00E539D8"/>
    <w:rsid w:val="00E62C2A"/>
    <w:rsid w:val="00E8586E"/>
    <w:rsid w:val="00E96A06"/>
    <w:rsid w:val="00EA0919"/>
    <w:rsid w:val="00EB5240"/>
    <w:rsid w:val="00EB7BB1"/>
    <w:rsid w:val="00EC0B55"/>
    <w:rsid w:val="00F034BF"/>
    <w:rsid w:val="00F14EC1"/>
    <w:rsid w:val="00F26D30"/>
    <w:rsid w:val="00F57152"/>
    <w:rsid w:val="00F7362C"/>
    <w:rsid w:val="00F8442B"/>
    <w:rsid w:val="00F92F61"/>
    <w:rsid w:val="00FB6F10"/>
    <w:rsid w:val="00FC4CF8"/>
    <w:rsid w:val="00FC5DA7"/>
    <w:rsid w:val="00FD29A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CC50A3"/>
  <w15:docId w15:val="{A1158D8D-4525-40AA-93A9-4B16FFDAD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semiHidden/>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semiHidden/>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1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1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93191-22A2-4389-9A27-A870B8451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1019</Words>
  <Characters>5812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abramoma</dc:creator>
  <cp:lastModifiedBy>Katherine Wang</cp:lastModifiedBy>
  <cp:revision>4</cp:revision>
  <cp:lastPrinted>2017-11-06T18:25:00Z</cp:lastPrinted>
  <dcterms:created xsi:type="dcterms:W3CDTF">2017-11-07T14:45:00Z</dcterms:created>
  <dcterms:modified xsi:type="dcterms:W3CDTF">2017-11-07T15:39:00Z</dcterms:modified>
</cp:coreProperties>
</file>