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75F" w:rsidRPr="00DA475F" w:rsidRDefault="00DA475F" w:rsidP="00DA475F">
      <w:pPr>
        <w:jc w:val="center"/>
        <w:rPr>
          <w:rFonts w:ascii="Arial" w:hAnsi="Arial" w:cs="Arial"/>
          <w:b/>
          <w:sz w:val="24"/>
          <w:szCs w:val="24"/>
        </w:rPr>
      </w:pPr>
      <w:r w:rsidRPr="00DA475F">
        <w:rPr>
          <w:rFonts w:ascii="Arial" w:hAnsi="Arial" w:cs="Arial"/>
          <w:b/>
          <w:sz w:val="24"/>
          <w:szCs w:val="24"/>
        </w:rPr>
        <w:t>Hearst Power (EB-2017-0046)</w:t>
      </w:r>
    </w:p>
    <w:p w:rsidR="00DA475F" w:rsidRPr="00DA475F" w:rsidRDefault="00DA475F" w:rsidP="00DA475F">
      <w:pPr>
        <w:jc w:val="center"/>
        <w:rPr>
          <w:rFonts w:ascii="Arial" w:hAnsi="Arial" w:cs="Arial"/>
          <w:b/>
          <w:sz w:val="24"/>
          <w:szCs w:val="24"/>
        </w:rPr>
      </w:pPr>
      <w:r w:rsidRPr="00DA475F">
        <w:rPr>
          <w:rFonts w:ascii="Arial" w:hAnsi="Arial" w:cs="Arial"/>
          <w:b/>
          <w:sz w:val="24"/>
          <w:szCs w:val="24"/>
        </w:rPr>
        <w:t>GA Analysis Follow-Up Questions</w:t>
      </w:r>
      <w:r w:rsidR="0049356F">
        <w:rPr>
          <w:rFonts w:ascii="Arial" w:hAnsi="Arial" w:cs="Arial"/>
          <w:b/>
          <w:sz w:val="24"/>
          <w:szCs w:val="24"/>
        </w:rPr>
        <w:t xml:space="preserve"> (Second Round)</w:t>
      </w:r>
    </w:p>
    <w:p w:rsidR="00DA475F" w:rsidRDefault="00DA475F" w:rsidP="00DA475F">
      <w:pPr>
        <w:pStyle w:val="ListParagraph"/>
        <w:rPr>
          <w:rFonts w:ascii="Arial" w:hAnsi="Arial" w:cs="Arial"/>
          <w:sz w:val="24"/>
          <w:szCs w:val="24"/>
        </w:rPr>
      </w:pPr>
    </w:p>
    <w:p w:rsidR="0049356F" w:rsidRDefault="0049356F" w:rsidP="00DA475F">
      <w:pPr>
        <w:pStyle w:val="ListParagraph"/>
        <w:rPr>
          <w:rFonts w:ascii="Arial" w:hAnsi="Arial" w:cs="Arial"/>
          <w:sz w:val="24"/>
          <w:szCs w:val="24"/>
        </w:rPr>
      </w:pPr>
    </w:p>
    <w:p w:rsidR="0049356F" w:rsidRDefault="0049356F" w:rsidP="0049356F">
      <w:pPr>
        <w:pStyle w:val="ListParagraph"/>
        <w:numPr>
          <w:ilvl w:val="0"/>
          <w:numId w:val="6"/>
        </w:numPr>
        <w:rPr>
          <w:rFonts w:ascii="Arial" w:hAnsi="Arial" w:cs="Arial"/>
          <w:sz w:val="24"/>
          <w:szCs w:val="24"/>
        </w:rPr>
      </w:pPr>
      <w:r w:rsidRPr="0049356F">
        <w:rPr>
          <w:rFonts w:ascii="Arial" w:hAnsi="Arial" w:cs="Arial"/>
          <w:sz w:val="24"/>
          <w:szCs w:val="24"/>
        </w:rPr>
        <w:t>Based on the response provided for question 3a</w:t>
      </w:r>
      <w:r>
        <w:rPr>
          <w:rFonts w:ascii="Arial" w:hAnsi="Arial" w:cs="Arial"/>
          <w:sz w:val="24"/>
          <w:szCs w:val="24"/>
        </w:rPr>
        <w:t xml:space="preserve"> to OEB staff’s follow-up questions on November 13, 2017</w:t>
      </w:r>
      <w:r w:rsidRPr="0049356F">
        <w:rPr>
          <w:rFonts w:ascii="Arial" w:hAnsi="Arial" w:cs="Arial"/>
          <w:sz w:val="24"/>
          <w:szCs w:val="24"/>
        </w:rPr>
        <w:t>, it appears that approach A is in fact being used as this is the only method that would require an accounting entry to prorate charge type 148 between accounts 1588 and 1589.</w:t>
      </w:r>
    </w:p>
    <w:p w:rsidR="0049356F" w:rsidRPr="0049356F" w:rsidRDefault="0049356F" w:rsidP="0049356F">
      <w:pPr>
        <w:pStyle w:val="ListParagraph"/>
        <w:rPr>
          <w:rFonts w:ascii="Arial" w:hAnsi="Arial" w:cs="Arial"/>
          <w:sz w:val="24"/>
          <w:szCs w:val="24"/>
        </w:rPr>
      </w:pPr>
    </w:p>
    <w:p w:rsidR="0049356F" w:rsidRDefault="0049356F" w:rsidP="0049356F">
      <w:pPr>
        <w:pStyle w:val="ListParagraph"/>
        <w:numPr>
          <w:ilvl w:val="0"/>
          <w:numId w:val="5"/>
        </w:numPr>
        <w:rPr>
          <w:rFonts w:ascii="Arial" w:hAnsi="Arial" w:cs="Arial"/>
          <w:sz w:val="24"/>
          <w:szCs w:val="24"/>
        </w:rPr>
      </w:pPr>
      <w:r>
        <w:rPr>
          <w:rFonts w:ascii="Arial" w:hAnsi="Arial" w:cs="Arial"/>
          <w:sz w:val="24"/>
          <w:szCs w:val="24"/>
        </w:rPr>
        <w:t>Pl</w:t>
      </w:r>
      <w:r w:rsidRPr="0049356F">
        <w:rPr>
          <w:rFonts w:ascii="Arial" w:hAnsi="Arial" w:cs="Arial"/>
          <w:sz w:val="24"/>
          <w:szCs w:val="24"/>
        </w:rPr>
        <w:t>ease re-confirm your response as to what approach is being used.</w:t>
      </w:r>
    </w:p>
    <w:p w:rsidR="0049356F" w:rsidRDefault="0049356F" w:rsidP="0049356F">
      <w:pPr>
        <w:pStyle w:val="ListParagraph"/>
        <w:numPr>
          <w:ilvl w:val="0"/>
          <w:numId w:val="5"/>
        </w:numPr>
        <w:rPr>
          <w:rFonts w:ascii="Arial" w:hAnsi="Arial" w:cs="Arial"/>
          <w:sz w:val="24"/>
          <w:szCs w:val="24"/>
        </w:rPr>
      </w:pPr>
      <w:r w:rsidRPr="0049356F">
        <w:rPr>
          <w:rFonts w:ascii="Arial" w:hAnsi="Arial" w:cs="Arial"/>
          <w:sz w:val="24"/>
          <w:szCs w:val="24"/>
        </w:rPr>
        <w:t xml:space="preserve">Under Approach B, wouldn’t the entire IESO GA invoice for charge type 148 (both RPP and non-RPP) get recorded into account 1589? </w:t>
      </w:r>
    </w:p>
    <w:p w:rsidR="0049356F" w:rsidRDefault="0049356F" w:rsidP="0049356F">
      <w:pPr>
        <w:pStyle w:val="ListParagraph"/>
        <w:numPr>
          <w:ilvl w:val="0"/>
          <w:numId w:val="5"/>
        </w:numPr>
        <w:rPr>
          <w:rFonts w:ascii="Arial" w:hAnsi="Arial" w:cs="Arial"/>
          <w:sz w:val="24"/>
          <w:szCs w:val="24"/>
        </w:rPr>
      </w:pPr>
      <w:r w:rsidRPr="0049356F">
        <w:rPr>
          <w:rFonts w:ascii="Arial" w:hAnsi="Arial" w:cs="Arial"/>
          <w:sz w:val="24"/>
          <w:szCs w:val="24"/>
        </w:rPr>
        <w:t xml:space="preserve">If so, then doesn’t the RPP- GA component of that invoice then get offset by the IESO settlement credit for RPP-GA, which would also get recorded in account 1589 under approach B (therefore only leaving the non-RPP GA amount in Account 1589)?  </w:t>
      </w:r>
    </w:p>
    <w:p w:rsidR="0049356F" w:rsidRPr="0049356F" w:rsidRDefault="0049356F" w:rsidP="0049356F">
      <w:pPr>
        <w:pStyle w:val="ListParagraph"/>
        <w:numPr>
          <w:ilvl w:val="0"/>
          <w:numId w:val="5"/>
        </w:numPr>
        <w:rPr>
          <w:rFonts w:ascii="Arial" w:hAnsi="Arial" w:cs="Arial"/>
          <w:sz w:val="24"/>
          <w:szCs w:val="24"/>
        </w:rPr>
      </w:pPr>
      <w:r w:rsidRPr="0049356F">
        <w:rPr>
          <w:rFonts w:ascii="Arial" w:hAnsi="Arial" w:cs="Arial"/>
          <w:sz w:val="24"/>
          <w:szCs w:val="24"/>
        </w:rPr>
        <w:t>If so, then under approach B, why would an accounting entry be necessary to move the CT 148 cost of GA attributable to RPP customers to account 1588 when it has already been zeroed out in account 1589 through recording the IESO settlement?</w:t>
      </w:r>
    </w:p>
    <w:p w:rsidR="009C7E65" w:rsidRPr="0049356F" w:rsidRDefault="009C7E65" w:rsidP="0049356F">
      <w:pPr>
        <w:rPr>
          <w:rFonts w:ascii="Arial" w:hAnsi="Arial" w:cs="Arial"/>
          <w:sz w:val="24"/>
          <w:szCs w:val="24"/>
        </w:rPr>
      </w:pPr>
    </w:p>
    <w:p w:rsidR="00193F8A" w:rsidRDefault="00E02677" w:rsidP="00193F8A">
      <w:pPr>
        <w:ind w:left="720"/>
        <w:rPr>
          <w:rFonts w:ascii="Arial" w:hAnsi="Arial" w:cs="Arial"/>
          <w:color w:val="4472C4" w:themeColor="accent5"/>
          <w:sz w:val="24"/>
          <w:szCs w:val="24"/>
        </w:rPr>
      </w:pPr>
      <w:r>
        <w:rPr>
          <w:rFonts w:ascii="Arial" w:hAnsi="Arial" w:cs="Arial"/>
          <w:color w:val="4472C4" w:themeColor="accent5"/>
          <w:sz w:val="24"/>
          <w:szCs w:val="24"/>
        </w:rPr>
        <w:t xml:space="preserve">We found </w:t>
      </w:r>
      <w:r w:rsidR="00193F8A">
        <w:rPr>
          <w:rFonts w:ascii="Arial" w:hAnsi="Arial" w:cs="Arial"/>
          <w:color w:val="4472C4" w:themeColor="accent5"/>
          <w:sz w:val="24"/>
          <w:szCs w:val="24"/>
        </w:rPr>
        <w:t>the</w:t>
      </w:r>
      <w:r w:rsidR="00193F8A" w:rsidRPr="00BD71A6">
        <w:rPr>
          <w:rFonts w:ascii="Arial" w:hAnsi="Arial" w:cs="Arial"/>
          <w:color w:val="4472C4" w:themeColor="accent5"/>
          <w:sz w:val="24"/>
          <w:szCs w:val="24"/>
        </w:rPr>
        <w:t xml:space="preserve"> wording</w:t>
      </w:r>
      <w:r w:rsidR="00193F8A">
        <w:rPr>
          <w:rFonts w:ascii="Arial" w:hAnsi="Arial" w:cs="Arial"/>
          <w:color w:val="4472C4" w:themeColor="accent5"/>
          <w:sz w:val="24"/>
          <w:szCs w:val="24"/>
        </w:rPr>
        <w:t xml:space="preserve"> of approach A and B confusing as they seem to suggest Charge Type 1142 and 148 are booked directly into Account 1588 or 1589.  </w:t>
      </w:r>
      <w:r>
        <w:rPr>
          <w:rFonts w:ascii="Arial" w:hAnsi="Arial" w:cs="Arial"/>
          <w:color w:val="4472C4" w:themeColor="accent5"/>
          <w:sz w:val="24"/>
          <w:szCs w:val="24"/>
        </w:rPr>
        <w:t>Since we don’t transfer directly those charge</w:t>
      </w:r>
      <w:r w:rsidR="000E07D7">
        <w:rPr>
          <w:rFonts w:ascii="Arial" w:hAnsi="Arial" w:cs="Arial"/>
          <w:color w:val="4472C4" w:themeColor="accent5"/>
          <w:sz w:val="24"/>
          <w:szCs w:val="24"/>
        </w:rPr>
        <w:t>s</w:t>
      </w:r>
      <w:r>
        <w:rPr>
          <w:rFonts w:ascii="Arial" w:hAnsi="Arial" w:cs="Arial"/>
          <w:color w:val="4472C4" w:themeColor="accent5"/>
          <w:sz w:val="24"/>
          <w:szCs w:val="24"/>
        </w:rPr>
        <w:t xml:space="preserve"> to Accounts 1588 or 1589 but instead follow a process which end results are transferred to those account</w:t>
      </w:r>
      <w:r w:rsidR="000E07D7">
        <w:rPr>
          <w:rFonts w:ascii="Arial" w:hAnsi="Arial" w:cs="Arial"/>
          <w:color w:val="4472C4" w:themeColor="accent5"/>
          <w:sz w:val="24"/>
          <w:szCs w:val="24"/>
        </w:rPr>
        <w:t>s</w:t>
      </w:r>
      <w:r>
        <w:rPr>
          <w:rFonts w:ascii="Arial" w:hAnsi="Arial" w:cs="Arial"/>
          <w:color w:val="4472C4" w:themeColor="accent5"/>
          <w:sz w:val="24"/>
          <w:szCs w:val="24"/>
        </w:rPr>
        <w:t>, we</w:t>
      </w:r>
      <w:r w:rsidR="00193F8A">
        <w:rPr>
          <w:rFonts w:ascii="Arial" w:hAnsi="Arial" w:cs="Arial"/>
          <w:color w:val="4472C4" w:themeColor="accent5"/>
          <w:sz w:val="24"/>
          <w:szCs w:val="24"/>
        </w:rPr>
        <w:t xml:space="preserve"> would like to change our answer to Question 1, from b) to c) “Another approach”.</w:t>
      </w:r>
    </w:p>
    <w:p w:rsidR="00193F8A" w:rsidRDefault="00193F8A" w:rsidP="00193F8A">
      <w:pPr>
        <w:ind w:left="720"/>
        <w:rPr>
          <w:rFonts w:ascii="Arial" w:hAnsi="Arial" w:cs="Arial"/>
          <w:color w:val="4472C4" w:themeColor="accent5"/>
          <w:sz w:val="24"/>
          <w:szCs w:val="24"/>
        </w:rPr>
      </w:pPr>
    </w:p>
    <w:p w:rsidR="00193F8A" w:rsidRDefault="00193F8A" w:rsidP="00193F8A">
      <w:pPr>
        <w:ind w:left="720"/>
        <w:rPr>
          <w:rFonts w:ascii="Arial" w:hAnsi="Arial" w:cs="Arial"/>
          <w:color w:val="4472C4" w:themeColor="accent5"/>
          <w:sz w:val="24"/>
          <w:szCs w:val="24"/>
        </w:rPr>
      </w:pPr>
      <w:r>
        <w:rPr>
          <w:rFonts w:ascii="Arial" w:hAnsi="Arial" w:cs="Arial"/>
          <w:color w:val="4472C4" w:themeColor="accent5"/>
          <w:sz w:val="24"/>
          <w:szCs w:val="24"/>
        </w:rPr>
        <w:t>Our step by step approach is the following:</w:t>
      </w:r>
    </w:p>
    <w:p w:rsidR="00193F8A" w:rsidRDefault="00193F8A" w:rsidP="00193F8A">
      <w:pPr>
        <w:pStyle w:val="ListParagraph"/>
        <w:numPr>
          <w:ilvl w:val="0"/>
          <w:numId w:val="7"/>
        </w:numPr>
        <w:rPr>
          <w:rFonts w:ascii="Arial" w:hAnsi="Arial" w:cs="Arial"/>
          <w:color w:val="4472C4" w:themeColor="accent5"/>
          <w:sz w:val="24"/>
          <w:szCs w:val="24"/>
        </w:rPr>
      </w:pPr>
      <w:r w:rsidRPr="00BD71A6">
        <w:rPr>
          <w:rFonts w:ascii="Arial" w:hAnsi="Arial" w:cs="Arial"/>
          <w:color w:val="4472C4" w:themeColor="accent5"/>
          <w:sz w:val="24"/>
          <w:szCs w:val="24"/>
        </w:rPr>
        <w:t xml:space="preserve">Charge </w:t>
      </w:r>
      <w:r>
        <w:rPr>
          <w:rFonts w:ascii="Arial" w:hAnsi="Arial" w:cs="Arial"/>
          <w:color w:val="4472C4" w:themeColor="accent5"/>
          <w:sz w:val="24"/>
          <w:szCs w:val="24"/>
        </w:rPr>
        <w:t>type</w:t>
      </w:r>
      <w:r w:rsidR="00E02677">
        <w:rPr>
          <w:rFonts w:ascii="Arial" w:hAnsi="Arial" w:cs="Arial"/>
          <w:color w:val="4472C4" w:themeColor="accent5"/>
          <w:sz w:val="24"/>
          <w:szCs w:val="24"/>
        </w:rPr>
        <w:t>s</w:t>
      </w:r>
      <w:r>
        <w:rPr>
          <w:rFonts w:ascii="Arial" w:hAnsi="Arial" w:cs="Arial"/>
          <w:color w:val="4472C4" w:themeColor="accent5"/>
          <w:sz w:val="24"/>
          <w:szCs w:val="24"/>
        </w:rPr>
        <w:t xml:space="preserve"> 1142</w:t>
      </w:r>
      <w:r w:rsidR="00E02677">
        <w:rPr>
          <w:rFonts w:ascii="Arial" w:hAnsi="Arial" w:cs="Arial"/>
          <w:color w:val="4472C4" w:themeColor="accent5"/>
          <w:sz w:val="24"/>
          <w:szCs w:val="24"/>
        </w:rPr>
        <w:t>, 1412, 101</w:t>
      </w:r>
      <w:r>
        <w:rPr>
          <w:rFonts w:ascii="Arial" w:hAnsi="Arial" w:cs="Arial"/>
          <w:color w:val="4472C4" w:themeColor="accent5"/>
          <w:sz w:val="24"/>
          <w:szCs w:val="24"/>
        </w:rPr>
        <w:t xml:space="preserve"> and other Power expense items (including H1 and generators electricity purchase costs) are booked into Account #4705 – </w:t>
      </w:r>
      <w:r w:rsidRPr="00745F5A">
        <w:rPr>
          <w:rFonts w:ascii="Arial" w:hAnsi="Arial" w:cs="Arial"/>
          <w:color w:val="4472C4" w:themeColor="accent5"/>
          <w:sz w:val="24"/>
          <w:szCs w:val="24"/>
          <w:highlight w:val="green"/>
        </w:rPr>
        <w:t>Power expense (a)</w:t>
      </w:r>
    </w:p>
    <w:p w:rsidR="00193F8A" w:rsidRDefault="00193F8A" w:rsidP="00193F8A">
      <w:pPr>
        <w:pStyle w:val="ListParagraph"/>
        <w:numPr>
          <w:ilvl w:val="0"/>
          <w:numId w:val="7"/>
        </w:numPr>
        <w:rPr>
          <w:rFonts w:ascii="Arial" w:hAnsi="Arial" w:cs="Arial"/>
          <w:color w:val="4472C4" w:themeColor="accent5"/>
          <w:sz w:val="24"/>
          <w:szCs w:val="24"/>
        </w:rPr>
      </w:pPr>
      <w:r>
        <w:rPr>
          <w:rFonts w:ascii="Arial" w:hAnsi="Arial" w:cs="Arial"/>
          <w:color w:val="4472C4" w:themeColor="accent5"/>
          <w:sz w:val="24"/>
          <w:szCs w:val="24"/>
        </w:rPr>
        <w:t xml:space="preserve">Charge type 148 and other Global Adjustment expense items (including H1) are booked into Account #4707 – </w:t>
      </w:r>
      <w:r w:rsidRPr="00745F5A">
        <w:rPr>
          <w:rFonts w:ascii="Arial" w:hAnsi="Arial" w:cs="Arial"/>
          <w:color w:val="4472C4" w:themeColor="accent5"/>
          <w:sz w:val="24"/>
          <w:szCs w:val="24"/>
          <w:highlight w:val="cyan"/>
        </w:rPr>
        <w:t>GA Expense (b)</w:t>
      </w:r>
    </w:p>
    <w:p w:rsidR="00193F8A" w:rsidRDefault="00193F8A" w:rsidP="00193F8A">
      <w:pPr>
        <w:pStyle w:val="ListParagraph"/>
        <w:numPr>
          <w:ilvl w:val="0"/>
          <w:numId w:val="7"/>
        </w:numPr>
        <w:rPr>
          <w:rFonts w:ascii="Arial" w:hAnsi="Arial" w:cs="Arial"/>
          <w:color w:val="4472C4" w:themeColor="accent5"/>
          <w:sz w:val="24"/>
          <w:szCs w:val="24"/>
        </w:rPr>
      </w:pPr>
      <w:r>
        <w:rPr>
          <w:rFonts w:ascii="Arial" w:hAnsi="Arial" w:cs="Arial"/>
          <w:color w:val="4472C4" w:themeColor="accent5"/>
          <w:sz w:val="24"/>
          <w:szCs w:val="24"/>
        </w:rPr>
        <w:t xml:space="preserve">The actual Non-RPP usage (kWh), provided by our billing system, is multiplied by the Actual IESO posted GA rate to obtain the </w:t>
      </w:r>
      <w:r w:rsidRPr="00745F5A">
        <w:rPr>
          <w:rFonts w:ascii="Arial" w:hAnsi="Arial" w:cs="Arial"/>
          <w:color w:val="4472C4" w:themeColor="accent5"/>
          <w:sz w:val="24"/>
          <w:szCs w:val="24"/>
          <w:highlight w:val="yellow"/>
        </w:rPr>
        <w:t>“Non-RPP GA Cost” (c)</w:t>
      </w:r>
    </w:p>
    <w:p w:rsidR="00193F8A" w:rsidRDefault="00193F8A" w:rsidP="00193F8A">
      <w:pPr>
        <w:pStyle w:val="ListParagraph"/>
        <w:numPr>
          <w:ilvl w:val="0"/>
          <w:numId w:val="7"/>
        </w:numPr>
        <w:rPr>
          <w:rFonts w:ascii="Arial" w:hAnsi="Arial" w:cs="Arial"/>
          <w:color w:val="4472C4" w:themeColor="accent5"/>
          <w:sz w:val="24"/>
          <w:szCs w:val="24"/>
        </w:rPr>
      </w:pPr>
      <w:r>
        <w:rPr>
          <w:rFonts w:ascii="Arial" w:hAnsi="Arial" w:cs="Arial"/>
          <w:color w:val="4472C4" w:themeColor="accent5"/>
          <w:sz w:val="24"/>
          <w:szCs w:val="24"/>
        </w:rPr>
        <w:t xml:space="preserve">The difference of the </w:t>
      </w:r>
      <w:r w:rsidRPr="00745F5A">
        <w:rPr>
          <w:rFonts w:ascii="Arial" w:hAnsi="Arial" w:cs="Arial"/>
          <w:color w:val="4472C4" w:themeColor="accent5"/>
          <w:sz w:val="24"/>
          <w:szCs w:val="24"/>
          <w:highlight w:val="cyan"/>
        </w:rPr>
        <w:t>“</w:t>
      </w:r>
      <w:r w:rsidR="00745F5A" w:rsidRPr="00745F5A">
        <w:rPr>
          <w:rFonts w:ascii="Arial" w:hAnsi="Arial" w:cs="Arial"/>
          <w:color w:val="4472C4" w:themeColor="accent5"/>
          <w:sz w:val="24"/>
          <w:szCs w:val="24"/>
          <w:highlight w:val="cyan"/>
        </w:rPr>
        <w:t>GA</w:t>
      </w:r>
      <w:r w:rsidRPr="00745F5A">
        <w:rPr>
          <w:rFonts w:ascii="Arial" w:hAnsi="Arial" w:cs="Arial"/>
          <w:color w:val="4472C4" w:themeColor="accent5"/>
          <w:sz w:val="24"/>
          <w:szCs w:val="24"/>
          <w:highlight w:val="cyan"/>
        </w:rPr>
        <w:t xml:space="preserve"> expense” (b)</w:t>
      </w:r>
      <w:r>
        <w:rPr>
          <w:rFonts w:ascii="Arial" w:hAnsi="Arial" w:cs="Arial"/>
          <w:color w:val="4472C4" w:themeColor="accent5"/>
          <w:sz w:val="24"/>
          <w:szCs w:val="24"/>
        </w:rPr>
        <w:t xml:space="preserve"> less the </w:t>
      </w:r>
      <w:r w:rsidRPr="00745F5A">
        <w:rPr>
          <w:rFonts w:ascii="Arial" w:hAnsi="Arial" w:cs="Arial"/>
          <w:color w:val="4472C4" w:themeColor="accent5"/>
          <w:sz w:val="24"/>
          <w:szCs w:val="24"/>
          <w:highlight w:val="yellow"/>
        </w:rPr>
        <w:t>“Non-RPP GA Cost” (c)</w:t>
      </w:r>
      <w:r>
        <w:rPr>
          <w:rFonts w:ascii="Arial" w:hAnsi="Arial" w:cs="Arial"/>
          <w:color w:val="4472C4" w:themeColor="accent5"/>
          <w:sz w:val="24"/>
          <w:szCs w:val="24"/>
        </w:rPr>
        <w:t xml:space="preserve"> is credited from Account #4707 and debited in Account #4705.  For easier identification, this difference is named </w:t>
      </w:r>
      <w:r w:rsidRPr="00745F5A">
        <w:rPr>
          <w:rFonts w:ascii="Arial" w:hAnsi="Arial" w:cs="Arial"/>
          <w:color w:val="4472C4" w:themeColor="accent5"/>
          <w:sz w:val="24"/>
          <w:szCs w:val="24"/>
          <w:highlight w:val="lightGray"/>
        </w:rPr>
        <w:t>“GA RPP portion transferred to Power” (d)</w:t>
      </w:r>
      <w:r>
        <w:rPr>
          <w:rFonts w:ascii="Arial" w:hAnsi="Arial" w:cs="Arial"/>
          <w:color w:val="4472C4" w:themeColor="accent5"/>
          <w:sz w:val="24"/>
          <w:szCs w:val="24"/>
        </w:rPr>
        <w:t xml:space="preserve"> in the steps below. </w:t>
      </w:r>
    </w:p>
    <w:p w:rsidR="00193F8A" w:rsidRPr="001553B8" w:rsidRDefault="00193F8A" w:rsidP="00193F8A">
      <w:pPr>
        <w:pStyle w:val="ListParagraph"/>
        <w:ind w:left="1080"/>
        <w:rPr>
          <w:rFonts w:ascii="Arial" w:hAnsi="Arial" w:cs="Arial"/>
          <w:color w:val="4472C4" w:themeColor="accent5"/>
          <w:sz w:val="24"/>
          <w:szCs w:val="24"/>
          <w:u w:val="single"/>
        </w:rPr>
      </w:pPr>
      <w:r w:rsidRPr="001553B8">
        <w:rPr>
          <w:rFonts w:ascii="Arial" w:hAnsi="Arial" w:cs="Arial"/>
          <w:color w:val="4472C4" w:themeColor="accent5"/>
          <w:sz w:val="24"/>
          <w:szCs w:val="24"/>
          <w:u w:val="single"/>
        </w:rPr>
        <w:t>Account #1589</w:t>
      </w:r>
    </w:p>
    <w:p w:rsidR="00193F8A" w:rsidRDefault="00661F55" w:rsidP="00193F8A">
      <w:pPr>
        <w:pStyle w:val="ListParagraph"/>
        <w:numPr>
          <w:ilvl w:val="0"/>
          <w:numId w:val="7"/>
        </w:numPr>
        <w:rPr>
          <w:rFonts w:ascii="Arial" w:hAnsi="Arial" w:cs="Arial"/>
          <w:color w:val="4472C4" w:themeColor="accent5"/>
          <w:sz w:val="24"/>
          <w:szCs w:val="24"/>
        </w:rPr>
      </w:pPr>
      <w:r>
        <w:rPr>
          <w:rFonts w:ascii="Arial" w:hAnsi="Arial" w:cs="Arial"/>
          <w:color w:val="4472C4" w:themeColor="accent5"/>
          <w:sz w:val="24"/>
          <w:szCs w:val="24"/>
        </w:rPr>
        <w:t>We calculate the billed-to-</w:t>
      </w:r>
      <w:r w:rsidR="00193F8A">
        <w:rPr>
          <w:rFonts w:ascii="Arial" w:hAnsi="Arial" w:cs="Arial"/>
          <w:color w:val="4472C4" w:themeColor="accent5"/>
          <w:sz w:val="24"/>
          <w:szCs w:val="24"/>
        </w:rPr>
        <w:t xml:space="preserve">actual variance of Non-RPP by deducting the Billed GA in our billing system (which is actual consumption multiplied by </w:t>
      </w:r>
      <w:r w:rsidR="00193F8A">
        <w:rPr>
          <w:rFonts w:ascii="Arial" w:hAnsi="Arial" w:cs="Arial"/>
          <w:color w:val="4472C4" w:themeColor="accent5"/>
          <w:sz w:val="24"/>
          <w:szCs w:val="24"/>
        </w:rPr>
        <w:lastRenderedPageBreak/>
        <w:t>1</w:t>
      </w:r>
      <w:r w:rsidR="00193F8A" w:rsidRPr="000E3225">
        <w:rPr>
          <w:rFonts w:ascii="Arial" w:hAnsi="Arial" w:cs="Arial"/>
          <w:color w:val="4472C4" w:themeColor="accent5"/>
          <w:sz w:val="24"/>
          <w:szCs w:val="24"/>
          <w:vertAlign w:val="superscript"/>
        </w:rPr>
        <w:t>st</w:t>
      </w:r>
      <w:r w:rsidR="00193F8A">
        <w:rPr>
          <w:rFonts w:ascii="Arial" w:hAnsi="Arial" w:cs="Arial"/>
          <w:color w:val="4472C4" w:themeColor="accent5"/>
          <w:sz w:val="24"/>
          <w:szCs w:val="24"/>
        </w:rPr>
        <w:t xml:space="preserve"> estimate in 2016) to the </w:t>
      </w:r>
      <w:r w:rsidR="00193F8A" w:rsidRPr="00745F5A">
        <w:rPr>
          <w:rFonts w:ascii="Arial" w:hAnsi="Arial" w:cs="Arial"/>
          <w:color w:val="4472C4" w:themeColor="accent5"/>
          <w:sz w:val="24"/>
          <w:szCs w:val="24"/>
          <w:highlight w:val="yellow"/>
        </w:rPr>
        <w:t>“Non-RPP GA cost” (c)</w:t>
      </w:r>
      <w:r w:rsidR="00193F8A">
        <w:rPr>
          <w:rFonts w:ascii="Arial" w:hAnsi="Arial" w:cs="Arial"/>
          <w:color w:val="4472C4" w:themeColor="accent5"/>
          <w:sz w:val="24"/>
          <w:szCs w:val="24"/>
        </w:rPr>
        <w:t>.  The difference is the monthly GA variance.</w:t>
      </w:r>
    </w:p>
    <w:p w:rsidR="00193F8A" w:rsidRDefault="00193F8A" w:rsidP="00193F8A">
      <w:pPr>
        <w:pStyle w:val="ListParagraph"/>
        <w:numPr>
          <w:ilvl w:val="0"/>
          <w:numId w:val="7"/>
        </w:numPr>
        <w:rPr>
          <w:rFonts w:ascii="Arial" w:hAnsi="Arial" w:cs="Arial"/>
          <w:color w:val="4472C4" w:themeColor="accent5"/>
          <w:sz w:val="24"/>
          <w:szCs w:val="24"/>
        </w:rPr>
      </w:pPr>
      <w:r>
        <w:rPr>
          <w:rFonts w:ascii="Arial" w:hAnsi="Arial" w:cs="Arial"/>
          <w:color w:val="4472C4" w:themeColor="accent5"/>
          <w:sz w:val="24"/>
          <w:szCs w:val="24"/>
        </w:rPr>
        <w:t>The monthly GA variance is then added to the yearly total GA variance which results in a credit or debit of account #1589</w:t>
      </w:r>
    </w:p>
    <w:p w:rsidR="00193F8A" w:rsidRPr="00193F8A" w:rsidRDefault="00193F8A" w:rsidP="00193F8A">
      <w:pPr>
        <w:pStyle w:val="ListParagraph"/>
        <w:ind w:left="1080"/>
        <w:rPr>
          <w:rFonts w:ascii="Arial" w:hAnsi="Arial" w:cs="Arial"/>
          <w:color w:val="4472C4" w:themeColor="accent5"/>
          <w:sz w:val="24"/>
          <w:szCs w:val="24"/>
          <w:u w:val="single"/>
        </w:rPr>
      </w:pPr>
      <w:r w:rsidRPr="00193F8A">
        <w:rPr>
          <w:rFonts w:ascii="Arial" w:hAnsi="Arial" w:cs="Arial"/>
          <w:color w:val="4472C4" w:themeColor="accent5"/>
          <w:sz w:val="24"/>
          <w:szCs w:val="24"/>
          <w:u w:val="single"/>
        </w:rPr>
        <w:t>Account #1588</w:t>
      </w:r>
    </w:p>
    <w:p w:rsidR="00193F8A" w:rsidRDefault="00661F55" w:rsidP="00193F8A">
      <w:pPr>
        <w:pStyle w:val="ListParagraph"/>
        <w:numPr>
          <w:ilvl w:val="0"/>
          <w:numId w:val="7"/>
        </w:numPr>
        <w:rPr>
          <w:rFonts w:ascii="Arial" w:hAnsi="Arial" w:cs="Arial"/>
          <w:color w:val="4472C4" w:themeColor="accent5"/>
          <w:sz w:val="24"/>
          <w:szCs w:val="24"/>
        </w:rPr>
      </w:pPr>
      <w:r>
        <w:rPr>
          <w:rFonts w:ascii="Arial" w:hAnsi="Arial" w:cs="Arial"/>
          <w:color w:val="4472C4" w:themeColor="accent5"/>
          <w:sz w:val="24"/>
          <w:szCs w:val="24"/>
        </w:rPr>
        <w:t>For the Power billed-to-</w:t>
      </w:r>
      <w:r w:rsidR="00193F8A">
        <w:rPr>
          <w:rFonts w:ascii="Arial" w:hAnsi="Arial" w:cs="Arial"/>
          <w:color w:val="4472C4" w:themeColor="accent5"/>
          <w:sz w:val="24"/>
          <w:szCs w:val="24"/>
        </w:rPr>
        <w:t xml:space="preserve">actual variance, account #1588, we deduct the actual monthly power billed in our billing system to the sum of </w:t>
      </w:r>
      <w:r w:rsidR="00745F5A">
        <w:rPr>
          <w:rFonts w:ascii="Arial" w:hAnsi="Arial" w:cs="Arial"/>
          <w:color w:val="4472C4" w:themeColor="accent5"/>
          <w:sz w:val="24"/>
          <w:szCs w:val="24"/>
        </w:rPr>
        <w:t>a</w:t>
      </w:r>
      <w:r w:rsidR="00193F8A">
        <w:rPr>
          <w:rFonts w:ascii="Arial" w:hAnsi="Arial" w:cs="Arial"/>
          <w:color w:val="4472C4" w:themeColor="accent5"/>
          <w:sz w:val="24"/>
          <w:szCs w:val="24"/>
        </w:rPr>
        <w:t xml:space="preserve">ctual </w:t>
      </w:r>
      <w:r w:rsidR="00745F5A" w:rsidRPr="00745F5A">
        <w:rPr>
          <w:rFonts w:ascii="Arial" w:hAnsi="Arial" w:cs="Arial"/>
          <w:color w:val="4472C4" w:themeColor="accent5"/>
          <w:sz w:val="24"/>
          <w:szCs w:val="24"/>
          <w:highlight w:val="green"/>
        </w:rPr>
        <w:t>Power expense (a)</w:t>
      </w:r>
      <w:r w:rsidR="00745F5A">
        <w:rPr>
          <w:rFonts w:ascii="Arial" w:hAnsi="Arial" w:cs="Arial"/>
          <w:color w:val="4472C4" w:themeColor="accent5"/>
          <w:sz w:val="24"/>
          <w:szCs w:val="24"/>
        </w:rPr>
        <w:t xml:space="preserve"> </w:t>
      </w:r>
      <w:r w:rsidR="00193F8A">
        <w:rPr>
          <w:rFonts w:ascii="Arial" w:hAnsi="Arial" w:cs="Arial"/>
          <w:color w:val="4472C4" w:themeColor="accent5"/>
          <w:sz w:val="24"/>
          <w:szCs w:val="24"/>
        </w:rPr>
        <w:t xml:space="preserve">+ the </w:t>
      </w:r>
      <w:r w:rsidR="00193F8A" w:rsidRPr="00745F5A">
        <w:rPr>
          <w:rFonts w:ascii="Arial" w:hAnsi="Arial" w:cs="Arial"/>
          <w:color w:val="4472C4" w:themeColor="accent5"/>
          <w:sz w:val="24"/>
          <w:szCs w:val="24"/>
          <w:highlight w:val="lightGray"/>
        </w:rPr>
        <w:t>“GA RPP portion transferred to power” (d)</w:t>
      </w:r>
      <w:r w:rsidR="00193F8A">
        <w:rPr>
          <w:rFonts w:ascii="Arial" w:hAnsi="Arial" w:cs="Arial"/>
          <w:color w:val="4472C4" w:themeColor="accent5"/>
          <w:sz w:val="24"/>
          <w:szCs w:val="24"/>
        </w:rPr>
        <w:t>.  The difference is the monthly Power variance.</w:t>
      </w:r>
    </w:p>
    <w:p w:rsidR="00193F8A" w:rsidRDefault="00193F8A" w:rsidP="00193F8A">
      <w:pPr>
        <w:pStyle w:val="ListParagraph"/>
        <w:numPr>
          <w:ilvl w:val="0"/>
          <w:numId w:val="7"/>
        </w:numPr>
        <w:rPr>
          <w:rFonts w:ascii="Arial" w:hAnsi="Arial" w:cs="Arial"/>
          <w:color w:val="4472C4" w:themeColor="accent5"/>
          <w:sz w:val="24"/>
          <w:szCs w:val="24"/>
        </w:rPr>
      </w:pPr>
      <w:r>
        <w:rPr>
          <w:rFonts w:ascii="Arial" w:hAnsi="Arial" w:cs="Arial"/>
          <w:color w:val="4472C4" w:themeColor="accent5"/>
          <w:sz w:val="24"/>
          <w:szCs w:val="24"/>
        </w:rPr>
        <w:t>The monthly Po</w:t>
      </w:r>
      <w:bookmarkStart w:id="0" w:name="_GoBack"/>
      <w:bookmarkEnd w:id="0"/>
      <w:r>
        <w:rPr>
          <w:rFonts w:ascii="Arial" w:hAnsi="Arial" w:cs="Arial"/>
          <w:color w:val="4472C4" w:themeColor="accent5"/>
          <w:sz w:val="24"/>
          <w:szCs w:val="24"/>
        </w:rPr>
        <w:t>wer variance is then added to the yearly total Power variance which results in a credit or debit of account #1588.</w:t>
      </w:r>
    </w:p>
    <w:p w:rsidR="00193F8A" w:rsidRPr="00193F8A" w:rsidRDefault="00193F8A" w:rsidP="00193F8A">
      <w:pPr>
        <w:ind w:left="720"/>
        <w:rPr>
          <w:rFonts w:ascii="Arial" w:hAnsi="Arial" w:cs="Arial"/>
          <w:color w:val="4472C4" w:themeColor="accent5"/>
          <w:sz w:val="24"/>
          <w:szCs w:val="24"/>
        </w:rPr>
      </w:pPr>
      <w:r>
        <w:rPr>
          <w:rFonts w:ascii="Arial" w:hAnsi="Arial" w:cs="Arial"/>
          <w:color w:val="4472C4" w:themeColor="accent5"/>
          <w:sz w:val="24"/>
          <w:szCs w:val="24"/>
        </w:rPr>
        <w:t xml:space="preserve">Please note </w:t>
      </w:r>
      <w:r w:rsidRPr="00193F8A">
        <w:rPr>
          <w:rFonts w:ascii="Arial" w:hAnsi="Arial" w:cs="Arial"/>
          <w:color w:val="4472C4" w:themeColor="accent5"/>
          <w:sz w:val="24"/>
          <w:szCs w:val="24"/>
          <w:u w:val="single"/>
        </w:rPr>
        <w:t>all consumptions</w:t>
      </w:r>
      <w:r>
        <w:rPr>
          <w:rFonts w:ascii="Arial" w:hAnsi="Arial" w:cs="Arial"/>
          <w:color w:val="4472C4" w:themeColor="accent5"/>
          <w:sz w:val="24"/>
          <w:szCs w:val="24"/>
        </w:rPr>
        <w:t xml:space="preserve"> used in the steps above are </w:t>
      </w:r>
      <w:r w:rsidRPr="00193F8A">
        <w:rPr>
          <w:rFonts w:ascii="Arial" w:hAnsi="Arial" w:cs="Arial"/>
          <w:color w:val="4472C4" w:themeColor="accent5"/>
          <w:sz w:val="24"/>
          <w:szCs w:val="24"/>
          <w:u w:val="single"/>
        </w:rPr>
        <w:t>actuals</w:t>
      </w:r>
      <w:r>
        <w:rPr>
          <w:rFonts w:ascii="Arial" w:hAnsi="Arial" w:cs="Arial"/>
          <w:color w:val="4472C4" w:themeColor="accent5"/>
          <w:sz w:val="24"/>
          <w:szCs w:val="24"/>
        </w:rPr>
        <w:t>, not as billed. (ex: consumption billed in September are August actuals)</w:t>
      </w:r>
    </w:p>
    <w:p w:rsidR="009C7E65" w:rsidRDefault="009C7E65" w:rsidP="009C7E65">
      <w:pPr>
        <w:rPr>
          <w:rFonts w:asciiTheme="minorHAnsi" w:hAnsiTheme="minorHAnsi" w:cstheme="minorBidi"/>
        </w:rPr>
      </w:pPr>
    </w:p>
    <w:p w:rsidR="009C7E65" w:rsidRDefault="009C7E65" w:rsidP="009C7E65">
      <w:pPr>
        <w:rPr>
          <w:color w:val="1F497D"/>
        </w:rPr>
      </w:pPr>
    </w:p>
    <w:p w:rsidR="0002696F" w:rsidRDefault="00745F5A"/>
    <w:sectPr w:rsidR="0002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57228"/>
    <w:multiLevelType w:val="hybridMultilevel"/>
    <w:tmpl w:val="8E7A83C8"/>
    <w:lvl w:ilvl="0" w:tplc="484601B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16A3D"/>
    <w:multiLevelType w:val="hybridMultilevel"/>
    <w:tmpl w:val="EAF445DC"/>
    <w:lvl w:ilvl="0" w:tplc="7ED8C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952B3"/>
    <w:multiLevelType w:val="hybridMultilevel"/>
    <w:tmpl w:val="E014F7A6"/>
    <w:lvl w:ilvl="0" w:tplc="3CB67CC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243825"/>
    <w:multiLevelType w:val="hybridMultilevel"/>
    <w:tmpl w:val="5B484FC2"/>
    <w:lvl w:ilvl="0" w:tplc="18C0DB4C">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B3A0FDD"/>
    <w:multiLevelType w:val="hybridMultilevel"/>
    <w:tmpl w:val="6CD468A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61B65A54"/>
    <w:multiLevelType w:val="hybridMultilevel"/>
    <w:tmpl w:val="3860050A"/>
    <w:lvl w:ilvl="0" w:tplc="8BDCFC26">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BF55EDA"/>
    <w:multiLevelType w:val="hybridMultilevel"/>
    <w:tmpl w:val="61963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65"/>
    <w:rsid w:val="00002AC9"/>
    <w:rsid w:val="000E07D7"/>
    <w:rsid w:val="000E3225"/>
    <w:rsid w:val="001553B8"/>
    <w:rsid w:val="00193F8A"/>
    <w:rsid w:val="0049356F"/>
    <w:rsid w:val="004F6247"/>
    <w:rsid w:val="005C5DB5"/>
    <w:rsid w:val="00661F55"/>
    <w:rsid w:val="00672E00"/>
    <w:rsid w:val="00745F5A"/>
    <w:rsid w:val="009C7E65"/>
    <w:rsid w:val="009E2F9D"/>
    <w:rsid w:val="00BD71A6"/>
    <w:rsid w:val="00DA475F"/>
    <w:rsid w:val="00E02677"/>
    <w:rsid w:val="00F8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8B8A"/>
  <w15:chartTrackingRefBased/>
  <w15:docId w15:val="{D394B993-2047-4468-8A2D-6785F5D4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E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E65"/>
    <w:pPr>
      <w:spacing w:after="160" w:line="252"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745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F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495650">
      <w:bodyDiv w:val="1"/>
      <w:marLeft w:val="0"/>
      <w:marRight w:val="0"/>
      <w:marTop w:val="0"/>
      <w:marBottom w:val="0"/>
      <w:divBdr>
        <w:top w:val="none" w:sz="0" w:space="0" w:color="auto"/>
        <w:left w:val="none" w:sz="0" w:space="0" w:color="auto"/>
        <w:bottom w:val="none" w:sz="0" w:space="0" w:color="auto"/>
        <w:right w:val="none" w:sz="0" w:space="0" w:color="auto"/>
      </w:divBdr>
    </w:div>
    <w:div w:id="18072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Jessy Richard</cp:lastModifiedBy>
  <cp:revision>5</cp:revision>
  <cp:lastPrinted>2017-11-20T20:02:00Z</cp:lastPrinted>
  <dcterms:created xsi:type="dcterms:W3CDTF">2017-11-20T19:03:00Z</dcterms:created>
  <dcterms:modified xsi:type="dcterms:W3CDTF">2017-11-20T20:09:00Z</dcterms:modified>
</cp:coreProperties>
</file>