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7C" w:rsidRPr="00AF1E7C" w:rsidRDefault="00AF1E7C" w:rsidP="00AF1E7C">
      <w:pPr>
        <w:spacing w:after="0"/>
        <w:rPr>
          <w:rFonts w:ascii="Arial" w:hAnsi="Arial" w:cs="Arial"/>
          <w:b/>
          <w:sz w:val="24"/>
          <w:szCs w:val="24"/>
        </w:rPr>
      </w:pPr>
      <w:r w:rsidRPr="00AF1E7C">
        <w:rPr>
          <w:rFonts w:ascii="Arial" w:hAnsi="Arial" w:cs="Arial"/>
          <w:b/>
          <w:sz w:val="24"/>
          <w:szCs w:val="24"/>
        </w:rPr>
        <w:t>Lakeland</w:t>
      </w:r>
    </w:p>
    <w:p w:rsidR="00AF1E7C" w:rsidRDefault="00003016" w:rsidP="00AF1E7C">
      <w:pPr>
        <w:spacing w:after="0"/>
        <w:rPr>
          <w:rFonts w:ascii="Arial" w:hAnsi="Arial" w:cs="Arial"/>
          <w:b/>
          <w:sz w:val="24"/>
          <w:szCs w:val="24"/>
        </w:rPr>
      </w:pPr>
      <w:r>
        <w:rPr>
          <w:rFonts w:ascii="Arial" w:hAnsi="Arial" w:cs="Arial"/>
          <w:b/>
          <w:sz w:val="24"/>
          <w:szCs w:val="24"/>
        </w:rPr>
        <w:t xml:space="preserve">2015 and </w:t>
      </w:r>
      <w:r w:rsidR="00AF1E7C" w:rsidRPr="00AF1E7C">
        <w:rPr>
          <w:rFonts w:ascii="Arial" w:hAnsi="Arial" w:cs="Arial"/>
          <w:b/>
          <w:sz w:val="24"/>
          <w:szCs w:val="24"/>
        </w:rPr>
        <w:t xml:space="preserve">2016 GA Analysis </w:t>
      </w:r>
      <w:proofErr w:type="spellStart"/>
      <w:r w:rsidR="00AF1E7C" w:rsidRPr="00AF1E7C">
        <w:rPr>
          <w:rFonts w:ascii="Arial" w:hAnsi="Arial" w:cs="Arial"/>
          <w:b/>
          <w:sz w:val="24"/>
          <w:szCs w:val="24"/>
        </w:rPr>
        <w:t>Workform</w:t>
      </w:r>
      <w:r>
        <w:rPr>
          <w:rFonts w:ascii="Arial" w:hAnsi="Arial" w:cs="Arial"/>
          <w:b/>
          <w:sz w:val="24"/>
          <w:szCs w:val="24"/>
        </w:rPr>
        <w:t>s</w:t>
      </w:r>
      <w:proofErr w:type="spellEnd"/>
    </w:p>
    <w:p w:rsidR="00003016" w:rsidRDefault="00003016" w:rsidP="00AF1E7C">
      <w:pPr>
        <w:spacing w:after="0"/>
        <w:rPr>
          <w:rFonts w:ascii="Arial" w:hAnsi="Arial" w:cs="Arial"/>
          <w:b/>
          <w:sz w:val="24"/>
          <w:szCs w:val="24"/>
        </w:rPr>
      </w:pPr>
    </w:p>
    <w:p w:rsidR="00003016" w:rsidRPr="00AF1E7C" w:rsidRDefault="00003016" w:rsidP="00AF1E7C">
      <w:pPr>
        <w:spacing w:after="0"/>
        <w:rPr>
          <w:rFonts w:ascii="Arial" w:hAnsi="Arial" w:cs="Arial"/>
          <w:b/>
          <w:sz w:val="24"/>
          <w:szCs w:val="24"/>
        </w:rPr>
      </w:pPr>
      <w:r>
        <w:rPr>
          <w:rFonts w:ascii="Arial" w:hAnsi="Arial" w:cs="Arial"/>
          <w:b/>
          <w:sz w:val="24"/>
          <w:szCs w:val="24"/>
        </w:rPr>
        <w:t xml:space="preserve">Each question below must be answered separately for each of the 2015 and 2016 GA analysis </w:t>
      </w:r>
      <w:proofErr w:type="spellStart"/>
      <w:r>
        <w:rPr>
          <w:rFonts w:ascii="Arial" w:hAnsi="Arial" w:cs="Arial"/>
          <w:b/>
          <w:sz w:val="24"/>
          <w:szCs w:val="24"/>
        </w:rPr>
        <w:t>Workform</w:t>
      </w:r>
      <w:proofErr w:type="spellEnd"/>
      <w:r>
        <w:rPr>
          <w:rFonts w:ascii="Arial" w:hAnsi="Arial" w:cs="Arial"/>
          <w:b/>
          <w:sz w:val="24"/>
          <w:szCs w:val="24"/>
        </w:rPr>
        <w:t>.</w:t>
      </w:r>
    </w:p>
    <w:p w:rsidR="00AF1E7C" w:rsidRDefault="00AF1E7C" w:rsidP="00AF1E7C">
      <w:pPr>
        <w:pStyle w:val="ListParagraph"/>
        <w:ind w:left="360"/>
        <w:rPr>
          <w:rFonts w:ascii="Arial" w:hAnsi="Arial" w:cs="Arial"/>
          <w:sz w:val="24"/>
          <w:szCs w:val="24"/>
        </w:rPr>
      </w:pPr>
    </w:p>
    <w:p w:rsidR="000162D6" w:rsidRPr="000162D6" w:rsidRDefault="000162D6" w:rsidP="000162D6">
      <w:pPr>
        <w:pStyle w:val="ListParagraph"/>
        <w:numPr>
          <w:ilvl w:val="0"/>
          <w:numId w:val="2"/>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rsidR="000162D6" w:rsidRDefault="000162D6" w:rsidP="000162D6">
      <w:pPr>
        <w:pStyle w:val="ListParagraph"/>
        <w:numPr>
          <w:ilvl w:val="0"/>
          <w:numId w:val="3"/>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0162D6" w:rsidRDefault="000162D6" w:rsidP="000162D6">
      <w:pPr>
        <w:pStyle w:val="ListParagraph"/>
        <w:numPr>
          <w:ilvl w:val="0"/>
          <w:numId w:val="3"/>
        </w:numPr>
        <w:rPr>
          <w:rFonts w:ascii="Arial" w:hAnsi="Arial" w:cs="Arial"/>
          <w:sz w:val="24"/>
          <w:szCs w:val="24"/>
        </w:rPr>
      </w:pPr>
      <w:r w:rsidRPr="000162D6">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rsidR="000162D6" w:rsidRDefault="000162D6" w:rsidP="000162D6">
      <w:pPr>
        <w:pStyle w:val="ListParagraph"/>
        <w:numPr>
          <w:ilvl w:val="0"/>
          <w:numId w:val="3"/>
        </w:numPr>
        <w:rPr>
          <w:rFonts w:ascii="Arial" w:hAnsi="Arial" w:cs="Arial"/>
          <w:sz w:val="24"/>
          <w:szCs w:val="24"/>
        </w:rPr>
      </w:pPr>
      <w:r w:rsidRPr="000162D6">
        <w:rPr>
          <w:rFonts w:ascii="Arial" w:hAnsi="Arial" w:cs="Arial"/>
          <w:sz w:val="24"/>
          <w:szCs w:val="24"/>
        </w:rPr>
        <w:t xml:space="preserve"> Another approach.  Please explain this approach in detail.</w:t>
      </w:r>
    </w:p>
    <w:p w:rsidR="00F86F1A" w:rsidRPr="00F86F1A" w:rsidRDefault="00D37EC5" w:rsidP="00F86F1A">
      <w:pPr>
        <w:rPr>
          <w:rFonts w:ascii="Arial" w:hAnsi="Arial" w:cs="Arial"/>
          <w:color w:val="1F497D" w:themeColor="text2"/>
          <w:sz w:val="24"/>
          <w:szCs w:val="24"/>
        </w:rPr>
      </w:pPr>
      <w:r>
        <w:rPr>
          <w:rFonts w:ascii="Arial" w:hAnsi="Arial" w:cs="Arial"/>
          <w:color w:val="1F497D" w:themeColor="text2"/>
          <w:sz w:val="24"/>
          <w:szCs w:val="24"/>
        </w:rPr>
        <w:t>LPDL</w:t>
      </w:r>
      <w:r w:rsidR="00F86F1A" w:rsidRPr="00F86F1A">
        <w:rPr>
          <w:rFonts w:ascii="Arial" w:hAnsi="Arial" w:cs="Arial"/>
          <w:color w:val="1F497D" w:themeColor="text2"/>
          <w:sz w:val="24"/>
          <w:szCs w:val="24"/>
        </w:rPr>
        <w:t>:  Approach a) is used</w:t>
      </w:r>
    </w:p>
    <w:p w:rsidR="00914D6A" w:rsidRDefault="00914D6A" w:rsidP="00914D6A">
      <w:pPr>
        <w:pStyle w:val="ListParagraph"/>
        <w:rPr>
          <w:rFonts w:ascii="Arial" w:hAnsi="Arial" w:cs="Arial"/>
          <w:sz w:val="24"/>
          <w:szCs w:val="24"/>
        </w:rPr>
      </w:pPr>
    </w:p>
    <w:p w:rsidR="00703C37" w:rsidRDefault="00703C37" w:rsidP="00703C37">
      <w:pPr>
        <w:pStyle w:val="ListParagraph"/>
        <w:numPr>
          <w:ilvl w:val="0"/>
          <w:numId w:val="2"/>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 xml:space="preserve">ec. 31 balance in Account 1589, </w:t>
      </w:r>
      <w:r w:rsidR="007F4ECE">
        <w:rPr>
          <w:rFonts w:ascii="Arial" w:hAnsi="Arial" w:cs="Arial"/>
          <w:sz w:val="24"/>
          <w:szCs w:val="24"/>
        </w:rPr>
        <w:t>all</w:t>
      </w:r>
      <w:r w:rsidR="00360DCD">
        <w:rPr>
          <w:rFonts w:ascii="Arial" w:hAnsi="Arial" w:cs="Arial"/>
          <w:sz w:val="24"/>
          <w:szCs w:val="24"/>
        </w:rPr>
        <w:t xml:space="preserve"> </w:t>
      </w:r>
      <w:r>
        <w:rPr>
          <w:rFonts w:ascii="Arial" w:hAnsi="Arial" w:cs="Arial"/>
          <w:sz w:val="24"/>
          <w:szCs w:val="24"/>
        </w:rPr>
        <w:t>components that flow into Account 1589 (</w:t>
      </w:r>
      <w:proofErr w:type="spellStart"/>
      <w:r>
        <w:rPr>
          <w:rFonts w:ascii="Arial" w:hAnsi="Arial" w:cs="Arial"/>
          <w:sz w:val="24"/>
          <w:szCs w:val="24"/>
        </w:rPr>
        <w:t>i</w:t>
      </w:r>
      <w:proofErr w:type="spellEnd"/>
      <w:r>
        <w:rPr>
          <w:rFonts w:ascii="Arial" w:hAnsi="Arial" w:cs="Arial"/>
          <w:sz w:val="24"/>
          <w:szCs w:val="24"/>
        </w:rPr>
        <w:t xml:space="preserve"> to </w:t>
      </w:r>
      <w:proofErr w:type="gramStart"/>
      <w:r>
        <w:rPr>
          <w:rFonts w:ascii="Arial" w:hAnsi="Arial" w:cs="Arial"/>
          <w:sz w:val="24"/>
          <w:szCs w:val="24"/>
        </w:rPr>
        <w:t>iv</w:t>
      </w:r>
      <w:proofErr w:type="gramEnd"/>
      <w:r>
        <w:rPr>
          <w:rFonts w:ascii="Arial" w:hAnsi="Arial" w:cs="Arial"/>
          <w:sz w:val="24"/>
          <w:szCs w:val="24"/>
        </w:rPr>
        <w:t xml:space="preserve"> in table below) should</w:t>
      </w:r>
      <w:r w:rsidR="007B4E89">
        <w:rPr>
          <w:rFonts w:ascii="Arial" w:hAnsi="Arial" w:cs="Arial"/>
          <w:sz w:val="24"/>
          <w:szCs w:val="24"/>
        </w:rPr>
        <w:t xml:space="preserve"> all</w:t>
      </w:r>
      <w:r>
        <w:rPr>
          <w:rFonts w:ascii="Arial" w:hAnsi="Arial" w:cs="Arial"/>
          <w:sz w:val="24"/>
          <w:szCs w:val="24"/>
        </w:rPr>
        <w:t xml:space="preserve"> be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703C37" w:rsidTr="00360DCD">
        <w:tc>
          <w:tcPr>
            <w:tcW w:w="390" w:type="dxa"/>
          </w:tcPr>
          <w:p w:rsidR="00703C37" w:rsidRPr="00360DCD" w:rsidRDefault="00703C37" w:rsidP="00703C37">
            <w:pPr>
              <w:rPr>
                <w:rFonts w:ascii="Arial" w:hAnsi="Arial" w:cs="Arial"/>
                <w:sz w:val="20"/>
                <w:szCs w:val="20"/>
              </w:rPr>
            </w:pPr>
          </w:p>
        </w:tc>
        <w:tc>
          <w:tcPr>
            <w:tcW w:w="1870" w:type="dxa"/>
          </w:tcPr>
          <w:p w:rsidR="00703C37" w:rsidRPr="00360DCD" w:rsidRDefault="00703C37" w:rsidP="00703C37">
            <w:pPr>
              <w:rPr>
                <w:rFonts w:ascii="Arial" w:hAnsi="Arial" w:cs="Arial"/>
                <w:b/>
                <w:sz w:val="20"/>
                <w:szCs w:val="20"/>
              </w:rPr>
            </w:pPr>
            <w:r w:rsidRPr="00360DCD">
              <w:rPr>
                <w:rFonts w:ascii="Arial" w:hAnsi="Arial" w:cs="Arial"/>
                <w:b/>
                <w:sz w:val="20"/>
                <w:szCs w:val="20"/>
              </w:rPr>
              <w:t>Component</w:t>
            </w:r>
          </w:p>
        </w:tc>
        <w:tc>
          <w:tcPr>
            <w:tcW w:w="1870" w:type="dxa"/>
          </w:tcPr>
          <w:p w:rsidR="00703C37" w:rsidRPr="00360DCD" w:rsidRDefault="00703C37" w:rsidP="00703C37">
            <w:pPr>
              <w:rPr>
                <w:rFonts w:ascii="Arial" w:hAnsi="Arial" w:cs="Arial"/>
                <w:b/>
                <w:sz w:val="20"/>
                <w:szCs w:val="20"/>
              </w:rPr>
            </w:pPr>
            <w:r w:rsidRPr="00360DCD">
              <w:rPr>
                <w:rFonts w:ascii="Arial" w:hAnsi="Arial" w:cs="Arial"/>
                <w:b/>
                <w:sz w:val="20"/>
                <w:szCs w:val="20"/>
              </w:rPr>
              <w:t>a) Estimate or Actual</w:t>
            </w:r>
          </w:p>
        </w:tc>
        <w:tc>
          <w:tcPr>
            <w:tcW w:w="3605" w:type="dxa"/>
          </w:tcPr>
          <w:p w:rsidR="00703C37" w:rsidRPr="00360DCD" w:rsidRDefault="00703C37" w:rsidP="00703C37">
            <w:pPr>
              <w:rPr>
                <w:rFonts w:ascii="Arial" w:hAnsi="Arial" w:cs="Arial"/>
                <w:b/>
                <w:sz w:val="20"/>
                <w:szCs w:val="20"/>
              </w:rPr>
            </w:pPr>
            <w:r w:rsidRPr="00360DCD">
              <w:rPr>
                <w:rFonts w:ascii="Arial" w:hAnsi="Arial" w:cs="Arial"/>
                <w:b/>
                <w:sz w:val="20"/>
                <w:szCs w:val="20"/>
              </w:rPr>
              <w:t>Notes/Comments</w:t>
            </w:r>
          </w:p>
        </w:tc>
        <w:tc>
          <w:tcPr>
            <w:tcW w:w="1870" w:type="dxa"/>
          </w:tcPr>
          <w:p w:rsidR="00703C37" w:rsidRPr="00360DCD" w:rsidRDefault="00703C37" w:rsidP="00703C37">
            <w:pPr>
              <w:rPr>
                <w:rFonts w:ascii="Arial" w:hAnsi="Arial" w:cs="Arial"/>
                <w:b/>
                <w:sz w:val="20"/>
                <w:szCs w:val="20"/>
              </w:rPr>
            </w:pPr>
            <w:r w:rsidRPr="00360DCD">
              <w:rPr>
                <w:rFonts w:ascii="Arial" w:hAnsi="Arial" w:cs="Arial"/>
                <w:b/>
                <w:sz w:val="20"/>
                <w:szCs w:val="20"/>
              </w:rPr>
              <w:t>b) Quantify True Up  Adjustment</w:t>
            </w:r>
          </w:p>
        </w:tc>
      </w:tr>
      <w:tr w:rsidR="00703C37" w:rsidTr="00360DCD">
        <w:tc>
          <w:tcPr>
            <w:tcW w:w="390" w:type="dxa"/>
          </w:tcPr>
          <w:p w:rsidR="00703C37" w:rsidRPr="00360DCD" w:rsidRDefault="00703C37" w:rsidP="00703C37">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rsidR="007B4E89" w:rsidRPr="00360DCD" w:rsidRDefault="007B4E89" w:rsidP="00360DCD">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703C37" w:rsidRPr="00360DCD" w:rsidRDefault="00703C37"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F86F1A" w:rsidRDefault="00F86F1A" w:rsidP="00703C37">
            <w:pPr>
              <w:rPr>
                <w:rFonts w:ascii="Arial" w:hAnsi="Arial" w:cs="Arial"/>
                <w:sz w:val="20"/>
                <w:szCs w:val="20"/>
              </w:rPr>
            </w:pPr>
          </w:p>
          <w:p w:rsidR="00F86F1A" w:rsidRPr="00F86F1A" w:rsidRDefault="00F86F1A" w:rsidP="00F86F1A">
            <w:pPr>
              <w:rPr>
                <w:rFonts w:ascii="Arial" w:hAnsi="Arial" w:cs="Arial"/>
                <w:color w:val="1F497D" w:themeColor="text2"/>
                <w:sz w:val="20"/>
                <w:szCs w:val="20"/>
              </w:rPr>
            </w:pPr>
            <w:r>
              <w:rPr>
                <w:rFonts w:ascii="Arial" w:hAnsi="Arial" w:cs="Arial"/>
                <w:color w:val="1F497D" w:themeColor="text2"/>
                <w:sz w:val="20"/>
                <w:szCs w:val="20"/>
              </w:rPr>
              <w:t>LPDL = Actual</w:t>
            </w:r>
          </w:p>
        </w:tc>
        <w:tc>
          <w:tcPr>
            <w:tcW w:w="3605" w:type="dxa"/>
          </w:tcPr>
          <w:p w:rsidR="00F86F1A" w:rsidRPr="00F86F1A" w:rsidRDefault="00F86F1A" w:rsidP="00F86F1A">
            <w:pPr>
              <w:rPr>
                <w:rFonts w:ascii="Arial" w:hAnsi="Arial" w:cs="Arial"/>
                <w:color w:val="1F497D" w:themeColor="text2"/>
                <w:sz w:val="20"/>
                <w:szCs w:val="20"/>
              </w:rPr>
            </w:pPr>
            <w:r>
              <w:rPr>
                <w:rFonts w:ascii="Arial" w:hAnsi="Arial" w:cs="Arial"/>
                <w:color w:val="1F497D" w:themeColor="text2"/>
                <w:sz w:val="20"/>
                <w:szCs w:val="20"/>
              </w:rPr>
              <w:t xml:space="preserve">LPDL = we true up our 1589 </w:t>
            </w:r>
            <w:proofErr w:type="spellStart"/>
            <w:r>
              <w:rPr>
                <w:rFonts w:ascii="Arial" w:hAnsi="Arial" w:cs="Arial"/>
                <w:color w:val="1F497D" w:themeColor="text2"/>
                <w:sz w:val="20"/>
                <w:szCs w:val="20"/>
              </w:rPr>
              <w:t>year end</w:t>
            </w:r>
            <w:proofErr w:type="spellEnd"/>
            <w:r>
              <w:rPr>
                <w:rFonts w:ascii="Arial" w:hAnsi="Arial" w:cs="Arial"/>
                <w:color w:val="1F497D" w:themeColor="text2"/>
                <w:sz w:val="20"/>
                <w:szCs w:val="20"/>
              </w:rPr>
              <w:t xml:space="preserve"> balance, to actual non-RPP </w:t>
            </w:r>
            <w:r w:rsidR="00A456E2">
              <w:rPr>
                <w:rFonts w:ascii="Arial" w:hAnsi="Arial" w:cs="Arial"/>
                <w:color w:val="1F497D" w:themeColor="text2"/>
                <w:sz w:val="20"/>
                <w:szCs w:val="20"/>
              </w:rPr>
              <w:t xml:space="preserve">Class B </w:t>
            </w:r>
            <w:r>
              <w:rPr>
                <w:rFonts w:ascii="Arial" w:hAnsi="Arial" w:cs="Arial"/>
                <w:color w:val="1F497D" w:themeColor="text2"/>
                <w:sz w:val="20"/>
                <w:szCs w:val="20"/>
              </w:rPr>
              <w:t>GA revenue, which is included with the Dec 31 balance.</w:t>
            </w:r>
          </w:p>
        </w:tc>
        <w:tc>
          <w:tcPr>
            <w:tcW w:w="1870" w:type="dxa"/>
          </w:tcPr>
          <w:p w:rsidR="00703C37" w:rsidRPr="00360DCD" w:rsidRDefault="00703C37" w:rsidP="00FB0BA0">
            <w:pPr>
              <w:jc w:val="center"/>
              <w:rPr>
                <w:rFonts w:ascii="Arial" w:hAnsi="Arial" w:cs="Arial"/>
                <w:sz w:val="20"/>
                <w:szCs w:val="20"/>
              </w:rPr>
            </w:pPr>
          </w:p>
        </w:tc>
      </w:tr>
      <w:tr w:rsidR="00703C37" w:rsidTr="00360DCD">
        <w:tc>
          <w:tcPr>
            <w:tcW w:w="390" w:type="dxa"/>
          </w:tcPr>
          <w:p w:rsidR="00703C37" w:rsidRPr="00360DCD" w:rsidRDefault="00703C37" w:rsidP="00703C37">
            <w:pPr>
              <w:rPr>
                <w:rFonts w:ascii="Arial" w:hAnsi="Arial" w:cs="Arial"/>
                <w:sz w:val="20"/>
                <w:szCs w:val="20"/>
              </w:rPr>
            </w:pPr>
            <w:r w:rsidRPr="00360DCD">
              <w:rPr>
                <w:rFonts w:ascii="Arial" w:hAnsi="Arial" w:cs="Arial"/>
                <w:sz w:val="20"/>
                <w:szCs w:val="20"/>
              </w:rPr>
              <w:t>ii</w:t>
            </w:r>
          </w:p>
        </w:tc>
        <w:tc>
          <w:tcPr>
            <w:tcW w:w="1870" w:type="dxa"/>
          </w:tcPr>
          <w:p w:rsidR="007B4E89" w:rsidRPr="00360DCD" w:rsidRDefault="007B4E89" w:rsidP="00360DCD">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703C37" w:rsidRDefault="00703C37" w:rsidP="00703C37">
            <w:pPr>
              <w:rPr>
                <w:rFonts w:ascii="Arial" w:hAnsi="Arial" w:cs="Arial"/>
                <w:sz w:val="20"/>
                <w:szCs w:val="20"/>
              </w:rPr>
            </w:pPr>
          </w:p>
          <w:p w:rsidR="00A456E2" w:rsidRPr="00360DCD" w:rsidRDefault="00A456E2"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F86F1A" w:rsidRDefault="00F86F1A" w:rsidP="00703C37">
            <w:pPr>
              <w:rPr>
                <w:rFonts w:ascii="Arial" w:hAnsi="Arial" w:cs="Arial"/>
                <w:sz w:val="20"/>
                <w:szCs w:val="20"/>
              </w:rPr>
            </w:pPr>
          </w:p>
          <w:p w:rsidR="00F86F1A" w:rsidRDefault="00F86F1A" w:rsidP="00703C37">
            <w:pPr>
              <w:rPr>
                <w:rFonts w:ascii="Arial" w:hAnsi="Arial" w:cs="Arial"/>
                <w:sz w:val="20"/>
                <w:szCs w:val="20"/>
              </w:rPr>
            </w:pPr>
          </w:p>
          <w:p w:rsidR="00F86F1A" w:rsidRPr="00F86F1A" w:rsidRDefault="00F86F1A" w:rsidP="00703C37">
            <w:pPr>
              <w:rPr>
                <w:rFonts w:ascii="Arial" w:hAnsi="Arial" w:cs="Arial"/>
                <w:color w:val="1F497D" w:themeColor="text2"/>
                <w:sz w:val="20"/>
                <w:szCs w:val="20"/>
              </w:rPr>
            </w:pPr>
            <w:r>
              <w:rPr>
                <w:rFonts w:ascii="Arial" w:hAnsi="Arial" w:cs="Arial"/>
                <w:color w:val="1F497D" w:themeColor="text2"/>
                <w:sz w:val="20"/>
                <w:szCs w:val="20"/>
              </w:rPr>
              <w:t>LPDL = Actual</w:t>
            </w:r>
          </w:p>
        </w:tc>
        <w:tc>
          <w:tcPr>
            <w:tcW w:w="3605" w:type="dxa"/>
          </w:tcPr>
          <w:p w:rsidR="00703C37" w:rsidRPr="00A456E2" w:rsidRDefault="00A456E2" w:rsidP="00A456E2">
            <w:pPr>
              <w:rPr>
                <w:rFonts w:ascii="Arial" w:hAnsi="Arial" w:cs="Arial"/>
                <w:color w:val="1F497D" w:themeColor="text2"/>
                <w:sz w:val="20"/>
                <w:szCs w:val="20"/>
              </w:rPr>
            </w:pPr>
            <w:r>
              <w:rPr>
                <w:rFonts w:ascii="Arial" w:hAnsi="Arial" w:cs="Arial"/>
                <w:color w:val="1F497D" w:themeColor="text2"/>
                <w:sz w:val="20"/>
                <w:szCs w:val="20"/>
              </w:rPr>
              <w:t xml:space="preserve">LPDL = we true up our 1589 </w:t>
            </w:r>
            <w:proofErr w:type="spellStart"/>
            <w:r>
              <w:rPr>
                <w:rFonts w:ascii="Arial" w:hAnsi="Arial" w:cs="Arial"/>
                <w:color w:val="1F497D" w:themeColor="text2"/>
                <w:sz w:val="20"/>
                <w:szCs w:val="20"/>
              </w:rPr>
              <w:t>year end</w:t>
            </w:r>
            <w:proofErr w:type="spellEnd"/>
            <w:r>
              <w:rPr>
                <w:rFonts w:ascii="Arial" w:hAnsi="Arial" w:cs="Arial"/>
                <w:color w:val="1F497D" w:themeColor="text2"/>
                <w:sz w:val="20"/>
                <w:szCs w:val="20"/>
              </w:rPr>
              <w:t xml:space="preserve"> balance, to actual non-RPP Class B GA costs, which is included with the Dec 31 balance.</w:t>
            </w:r>
          </w:p>
        </w:tc>
        <w:tc>
          <w:tcPr>
            <w:tcW w:w="1870" w:type="dxa"/>
          </w:tcPr>
          <w:p w:rsidR="00703C37" w:rsidRPr="00360DCD" w:rsidRDefault="00703C37" w:rsidP="00703C37">
            <w:pPr>
              <w:rPr>
                <w:rFonts w:ascii="Arial" w:hAnsi="Arial" w:cs="Arial"/>
                <w:sz w:val="20"/>
                <w:szCs w:val="20"/>
              </w:rPr>
            </w:pPr>
          </w:p>
        </w:tc>
      </w:tr>
      <w:tr w:rsidR="00703C37" w:rsidTr="00360DCD">
        <w:tc>
          <w:tcPr>
            <w:tcW w:w="390" w:type="dxa"/>
          </w:tcPr>
          <w:p w:rsidR="00703C37" w:rsidRPr="00360DCD" w:rsidRDefault="00703C37" w:rsidP="00703C37">
            <w:pPr>
              <w:rPr>
                <w:rFonts w:ascii="Arial" w:hAnsi="Arial" w:cs="Arial"/>
                <w:sz w:val="20"/>
                <w:szCs w:val="20"/>
              </w:rPr>
            </w:pPr>
            <w:r w:rsidRPr="00360DCD">
              <w:rPr>
                <w:rFonts w:ascii="Arial" w:hAnsi="Arial" w:cs="Arial"/>
                <w:sz w:val="20"/>
                <w:szCs w:val="20"/>
              </w:rPr>
              <w:t>Iii</w:t>
            </w:r>
          </w:p>
        </w:tc>
        <w:tc>
          <w:tcPr>
            <w:tcW w:w="1870" w:type="dxa"/>
          </w:tcPr>
          <w:p w:rsidR="007B4E89" w:rsidRPr="00360DCD" w:rsidRDefault="007B4E89" w:rsidP="00360DCD">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703C37" w:rsidRPr="00360DCD" w:rsidRDefault="00703C37"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A456E2" w:rsidRDefault="00A456E2" w:rsidP="00703C37">
            <w:pPr>
              <w:rPr>
                <w:rFonts w:ascii="Arial" w:hAnsi="Arial" w:cs="Arial"/>
                <w:sz w:val="20"/>
                <w:szCs w:val="20"/>
              </w:rPr>
            </w:pPr>
          </w:p>
          <w:p w:rsidR="00A456E2" w:rsidRPr="00A456E2" w:rsidRDefault="00A456E2" w:rsidP="00703C37">
            <w:pPr>
              <w:rPr>
                <w:rFonts w:ascii="Arial" w:hAnsi="Arial" w:cs="Arial"/>
                <w:color w:val="1F497D" w:themeColor="text2"/>
                <w:sz w:val="20"/>
                <w:szCs w:val="20"/>
              </w:rPr>
            </w:pPr>
            <w:r>
              <w:rPr>
                <w:rFonts w:ascii="Arial" w:hAnsi="Arial" w:cs="Arial"/>
                <w:color w:val="1F497D" w:themeColor="text2"/>
                <w:sz w:val="20"/>
                <w:szCs w:val="20"/>
              </w:rPr>
              <w:t>LPDL = Actual</w:t>
            </w:r>
          </w:p>
        </w:tc>
        <w:tc>
          <w:tcPr>
            <w:tcW w:w="3605" w:type="dxa"/>
          </w:tcPr>
          <w:p w:rsidR="00703C37" w:rsidRPr="00360DCD" w:rsidRDefault="00A456E2" w:rsidP="00E6300C">
            <w:pPr>
              <w:rPr>
                <w:rFonts w:ascii="Arial" w:hAnsi="Arial" w:cs="Arial"/>
                <w:sz w:val="20"/>
                <w:szCs w:val="20"/>
              </w:rPr>
            </w:pPr>
            <w:r>
              <w:rPr>
                <w:rFonts w:ascii="Arial" w:hAnsi="Arial" w:cs="Arial"/>
                <w:color w:val="1F497D" w:themeColor="text2"/>
                <w:sz w:val="20"/>
                <w:szCs w:val="20"/>
              </w:rPr>
              <w:t xml:space="preserve">LPDL = </w:t>
            </w:r>
            <w:r w:rsidR="008C3D92">
              <w:rPr>
                <w:rFonts w:ascii="Arial" w:hAnsi="Arial" w:cs="Arial"/>
                <w:color w:val="1F497D" w:themeColor="text2"/>
                <w:sz w:val="20"/>
                <w:szCs w:val="20"/>
              </w:rPr>
              <w:t xml:space="preserve">in 2015 and 2016, </w:t>
            </w:r>
            <w:r>
              <w:rPr>
                <w:rFonts w:ascii="Arial" w:hAnsi="Arial" w:cs="Arial"/>
                <w:color w:val="1F497D" w:themeColor="text2"/>
                <w:sz w:val="20"/>
                <w:szCs w:val="20"/>
              </w:rPr>
              <w:t>we true</w:t>
            </w:r>
            <w:r w:rsidR="008C3D92">
              <w:rPr>
                <w:rFonts w:ascii="Arial" w:hAnsi="Arial" w:cs="Arial"/>
                <w:color w:val="1F497D" w:themeColor="text2"/>
                <w:sz w:val="20"/>
                <w:szCs w:val="20"/>
              </w:rPr>
              <w:t>d</w:t>
            </w:r>
            <w:r>
              <w:rPr>
                <w:rFonts w:ascii="Arial" w:hAnsi="Arial" w:cs="Arial"/>
                <w:color w:val="1F497D" w:themeColor="text2"/>
                <w:sz w:val="20"/>
                <w:szCs w:val="20"/>
              </w:rPr>
              <w:t xml:space="preserve"> up our 1589 </w:t>
            </w:r>
            <w:proofErr w:type="spellStart"/>
            <w:r>
              <w:rPr>
                <w:rFonts w:ascii="Arial" w:hAnsi="Arial" w:cs="Arial"/>
                <w:color w:val="1F497D" w:themeColor="text2"/>
                <w:sz w:val="20"/>
                <w:szCs w:val="20"/>
              </w:rPr>
              <w:t>year end</w:t>
            </w:r>
            <w:proofErr w:type="spellEnd"/>
            <w:r>
              <w:rPr>
                <w:rFonts w:ascii="Arial" w:hAnsi="Arial" w:cs="Arial"/>
                <w:color w:val="1F497D" w:themeColor="text2"/>
                <w:sz w:val="20"/>
                <w:szCs w:val="20"/>
              </w:rPr>
              <w:t xml:space="preserve"> balance,</w:t>
            </w:r>
            <w:r w:rsidR="00E6300C">
              <w:rPr>
                <w:rFonts w:ascii="Arial" w:hAnsi="Arial" w:cs="Arial"/>
                <w:color w:val="1F497D" w:themeColor="text2"/>
                <w:sz w:val="20"/>
                <w:szCs w:val="20"/>
              </w:rPr>
              <w:t xml:space="preserve"> to be based on Actual Total kWh purchased less Actual Total RPP kwh sold to leave a remaining balance of Actual Total Non-RPP kWh sold, which is included with the Dec 31 balance.  As part of this GA analysis, LPDL has identified that this proration should be based on Actual Total Non-RPP kWh sold, rather than using the fallout above.  The difference between these 2 methodologies have been identified as 1b) adjustments for 2015 and 2016.  For 2017 onward, LPDL will use the Actual Total Non-RPP kWh sold.</w:t>
            </w:r>
          </w:p>
        </w:tc>
        <w:tc>
          <w:tcPr>
            <w:tcW w:w="1870" w:type="dxa"/>
          </w:tcPr>
          <w:p w:rsidR="00703C37" w:rsidRPr="00360DCD" w:rsidRDefault="00703C37" w:rsidP="00703C37">
            <w:pPr>
              <w:rPr>
                <w:rFonts w:ascii="Arial" w:hAnsi="Arial" w:cs="Arial"/>
                <w:sz w:val="20"/>
                <w:szCs w:val="20"/>
              </w:rPr>
            </w:pPr>
          </w:p>
        </w:tc>
      </w:tr>
      <w:tr w:rsidR="00703C37" w:rsidTr="00360DCD">
        <w:tc>
          <w:tcPr>
            <w:tcW w:w="390" w:type="dxa"/>
          </w:tcPr>
          <w:p w:rsidR="00703C37" w:rsidRPr="00360DCD" w:rsidRDefault="00703C37" w:rsidP="00703C37">
            <w:pPr>
              <w:rPr>
                <w:rFonts w:ascii="Arial" w:hAnsi="Arial" w:cs="Arial"/>
                <w:sz w:val="20"/>
                <w:szCs w:val="20"/>
              </w:rPr>
            </w:pPr>
            <w:r w:rsidRPr="00360DCD">
              <w:rPr>
                <w:rFonts w:ascii="Arial" w:hAnsi="Arial" w:cs="Arial"/>
                <w:sz w:val="20"/>
                <w:szCs w:val="20"/>
              </w:rPr>
              <w:t>iv</w:t>
            </w:r>
          </w:p>
        </w:tc>
        <w:tc>
          <w:tcPr>
            <w:tcW w:w="1870" w:type="dxa"/>
          </w:tcPr>
          <w:p w:rsidR="007B4E89" w:rsidRPr="00360DCD" w:rsidRDefault="007B4E89" w:rsidP="00360DCD">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703C37" w:rsidRPr="00360DCD" w:rsidRDefault="00703C37"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A456E2" w:rsidRDefault="00A456E2" w:rsidP="00703C37">
            <w:pPr>
              <w:rPr>
                <w:rFonts w:ascii="Arial" w:hAnsi="Arial" w:cs="Arial"/>
                <w:sz w:val="20"/>
                <w:szCs w:val="20"/>
              </w:rPr>
            </w:pPr>
          </w:p>
          <w:p w:rsidR="00A456E2" w:rsidRPr="00360DCD" w:rsidRDefault="00A456E2" w:rsidP="00703C37">
            <w:pPr>
              <w:rPr>
                <w:rFonts w:ascii="Arial" w:hAnsi="Arial" w:cs="Arial"/>
                <w:sz w:val="20"/>
                <w:szCs w:val="20"/>
              </w:rPr>
            </w:pPr>
            <w:r>
              <w:rPr>
                <w:rFonts w:ascii="Arial" w:hAnsi="Arial" w:cs="Arial"/>
                <w:sz w:val="20"/>
                <w:szCs w:val="20"/>
              </w:rPr>
              <w:t>N/A</w:t>
            </w:r>
          </w:p>
        </w:tc>
        <w:tc>
          <w:tcPr>
            <w:tcW w:w="3605" w:type="dxa"/>
          </w:tcPr>
          <w:p w:rsidR="00703C37" w:rsidRDefault="00703C37" w:rsidP="00703C37">
            <w:pPr>
              <w:rPr>
                <w:rFonts w:ascii="Arial" w:hAnsi="Arial" w:cs="Arial"/>
                <w:sz w:val="20"/>
                <w:szCs w:val="20"/>
              </w:rPr>
            </w:pPr>
          </w:p>
          <w:p w:rsidR="00A456E2" w:rsidRDefault="00A456E2" w:rsidP="00703C37">
            <w:pPr>
              <w:rPr>
                <w:rFonts w:ascii="Arial" w:hAnsi="Arial" w:cs="Arial"/>
                <w:sz w:val="20"/>
                <w:szCs w:val="20"/>
              </w:rPr>
            </w:pPr>
          </w:p>
          <w:p w:rsidR="00A456E2" w:rsidRPr="00360DCD" w:rsidRDefault="00A456E2" w:rsidP="00703C37">
            <w:pPr>
              <w:rPr>
                <w:rFonts w:ascii="Arial" w:hAnsi="Arial" w:cs="Arial"/>
                <w:sz w:val="20"/>
                <w:szCs w:val="20"/>
              </w:rPr>
            </w:pPr>
            <w:r>
              <w:rPr>
                <w:rFonts w:ascii="Arial" w:hAnsi="Arial" w:cs="Arial"/>
                <w:sz w:val="20"/>
                <w:szCs w:val="20"/>
              </w:rPr>
              <w:t>N/A</w:t>
            </w:r>
          </w:p>
        </w:tc>
        <w:tc>
          <w:tcPr>
            <w:tcW w:w="1870" w:type="dxa"/>
          </w:tcPr>
          <w:p w:rsidR="00703C37" w:rsidRPr="00360DCD" w:rsidRDefault="00703C37" w:rsidP="00703C37">
            <w:pPr>
              <w:rPr>
                <w:rFonts w:ascii="Arial" w:hAnsi="Arial" w:cs="Arial"/>
                <w:sz w:val="20"/>
                <w:szCs w:val="20"/>
              </w:rPr>
            </w:pPr>
          </w:p>
        </w:tc>
      </w:tr>
    </w:tbl>
    <w:p w:rsidR="00AF1E7C" w:rsidRDefault="00AF1E7C" w:rsidP="00AF1E7C">
      <w:pPr>
        <w:pStyle w:val="ListParagraph"/>
        <w:ind w:left="360"/>
        <w:rPr>
          <w:rFonts w:ascii="Arial" w:hAnsi="Arial" w:cs="Arial"/>
          <w:sz w:val="24"/>
          <w:szCs w:val="24"/>
        </w:rPr>
      </w:pPr>
    </w:p>
    <w:p w:rsidR="00AF1E7C" w:rsidRDefault="00AF1E7C" w:rsidP="00C15ADC">
      <w:pPr>
        <w:pStyle w:val="ListParagraph"/>
        <w:numPr>
          <w:ilvl w:val="0"/>
          <w:numId w:val="2"/>
        </w:numPr>
        <w:rPr>
          <w:rFonts w:ascii="Arial" w:hAnsi="Arial" w:cs="Arial"/>
          <w:sz w:val="24"/>
          <w:szCs w:val="24"/>
        </w:rPr>
      </w:pPr>
      <w:r>
        <w:rPr>
          <w:rFonts w:ascii="Arial" w:hAnsi="Arial" w:cs="Arial"/>
          <w:sz w:val="24"/>
          <w:szCs w:val="24"/>
        </w:rPr>
        <w:t>The applicant has identified adjustments in 1a) and 1b) of the Note 5 reconciliation related to the RPP settlement process:</w:t>
      </w:r>
    </w:p>
    <w:p w:rsidR="00AF1E7C" w:rsidRDefault="00AF1E7C" w:rsidP="00AF1E7C">
      <w:pPr>
        <w:pStyle w:val="ListParagraph"/>
        <w:numPr>
          <w:ilvl w:val="1"/>
          <w:numId w:val="2"/>
        </w:numPr>
        <w:spacing w:after="0"/>
        <w:rPr>
          <w:rFonts w:ascii="Arial" w:hAnsi="Arial" w:cs="Arial"/>
          <w:sz w:val="24"/>
          <w:szCs w:val="24"/>
        </w:rPr>
      </w:pPr>
      <w:r>
        <w:rPr>
          <w:rFonts w:ascii="Arial" w:hAnsi="Arial" w:cs="Arial"/>
          <w:sz w:val="24"/>
          <w:szCs w:val="24"/>
        </w:rPr>
        <w:t>Has this true-up adjustment been reflected in the</w:t>
      </w:r>
      <w:r w:rsidR="00003016">
        <w:rPr>
          <w:rFonts w:ascii="Arial" w:hAnsi="Arial" w:cs="Arial"/>
          <w:sz w:val="24"/>
          <w:szCs w:val="24"/>
        </w:rPr>
        <w:t xml:space="preserve"> balances within the DVA continuity schedule</w:t>
      </w:r>
      <w:r>
        <w:rPr>
          <w:rFonts w:ascii="Arial" w:hAnsi="Arial" w:cs="Arial"/>
          <w:sz w:val="24"/>
          <w:szCs w:val="24"/>
        </w:rPr>
        <w:t>?   If not, please explain why.</w:t>
      </w:r>
    </w:p>
    <w:p w:rsidR="00823F90" w:rsidRDefault="00823F90" w:rsidP="00823F90">
      <w:pPr>
        <w:spacing w:after="0"/>
        <w:rPr>
          <w:rFonts w:ascii="Arial" w:hAnsi="Arial" w:cs="Arial"/>
          <w:sz w:val="24"/>
          <w:szCs w:val="24"/>
        </w:rPr>
      </w:pPr>
    </w:p>
    <w:p w:rsidR="0052514B" w:rsidRDefault="00823F90" w:rsidP="00823F90">
      <w:pPr>
        <w:spacing w:after="0"/>
        <w:rPr>
          <w:rFonts w:ascii="Arial" w:hAnsi="Arial" w:cs="Arial"/>
          <w:color w:val="1F497D" w:themeColor="text2"/>
          <w:sz w:val="24"/>
          <w:szCs w:val="24"/>
        </w:rPr>
      </w:pPr>
      <w:r>
        <w:rPr>
          <w:rFonts w:ascii="Arial" w:hAnsi="Arial" w:cs="Arial"/>
          <w:color w:val="1F497D" w:themeColor="text2"/>
          <w:sz w:val="24"/>
          <w:szCs w:val="24"/>
        </w:rPr>
        <w:t>LPDL: Yes and no.  The 1a</w:t>
      </w:r>
      <w:r w:rsidR="0052514B">
        <w:rPr>
          <w:rFonts w:ascii="Arial" w:hAnsi="Arial" w:cs="Arial"/>
          <w:color w:val="1F497D" w:themeColor="text2"/>
          <w:sz w:val="24"/>
          <w:szCs w:val="24"/>
        </w:rPr>
        <w:t xml:space="preserve">) adjustment is reflected in the </w:t>
      </w:r>
      <w:proofErr w:type="spellStart"/>
      <w:r w:rsidR="0052514B">
        <w:rPr>
          <w:rFonts w:ascii="Arial" w:hAnsi="Arial" w:cs="Arial"/>
          <w:color w:val="1F497D" w:themeColor="text2"/>
          <w:sz w:val="24"/>
          <w:szCs w:val="24"/>
        </w:rPr>
        <w:t>year end</w:t>
      </w:r>
      <w:proofErr w:type="spellEnd"/>
      <w:r w:rsidR="0052514B">
        <w:rPr>
          <w:rFonts w:ascii="Arial" w:hAnsi="Arial" w:cs="Arial"/>
          <w:color w:val="1F497D" w:themeColor="text2"/>
          <w:sz w:val="24"/>
          <w:szCs w:val="24"/>
        </w:rPr>
        <w:t xml:space="preserve"> balance and thus included in the DVA schedule.  The 1b) adjustment is not reflected in the </w:t>
      </w:r>
      <w:proofErr w:type="spellStart"/>
      <w:r w:rsidR="0052514B">
        <w:rPr>
          <w:rFonts w:ascii="Arial" w:hAnsi="Arial" w:cs="Arial"/>
          <w:color w:val="1F497D" w:themeColor="text2"/>
          <w:sz w:val="24"/>
          <w:szCs w:val="24"/>
        </w:rPr>
        <w:t>year end</w:t>
      </w:r>
      <w:proofErr w:type="spellEnd"/>
      <w:r w:rsidR="0052514B">
        <w:rPr>
          <w:rFonts w:ascii="Arial" w:hAnsi="Arial" w:cs="Arial"/>
          <w:color w:val="1F497D" w:themeColor="text2"/>
          <w:sz w:val="24"/>
          <w:szCs w:val="24"/>
        </w:rPr>
        <w:t xml:space="preserve"> balance and thus not included in the DVA schedule.  2015 and 2016 Group 1 balances are not requested for disposition as the claim is below the </w:t>
      </w:r>
      <w:proofErr w:type="spellStart"/>
      <w:r w:rsidR="0052514B">
        <w:rPr>
          <w:rFonts w:ascii="Arial" w:hAnsi="Arial" w:cs="Arial"/>
          <w:color w:val="1F497D" w:themeColor="text2"/>
          <w:sz w:val="24"/>
          <w:szCs w:val="24"/>
        </w:rPr>
        <w:t>preset</w:t>
      </w:r>
      <w:proofErr w:type="spellEnd"/>
      <w:r w:rsidR="0052514B">
        <w:rPr>
          <w:rFonts w:ascii="Arial" w:hAnsi="Arial" w:cs="Arial"/>
          <w:color w:val="1F497D" w:themeColor="text2"/>
          <w:sz w:val="24"/>
          <w:szCs w:val="24"/>
        </w:rPr>
        <w:t xml:space="preserve"> disposition threshold, so the 1b) adjustment will be made in 2017</w:t>
      </w:r>
      <w:r w:rsidR="00E6300C">
        <w:rPr>
          <w:rFonts w:ascii="Arial" w:hAnsi="Arial" w:cs="Arial"/>
          <w:color w:val="1F497D" w:themeColor="text2"/>
          <w:sz w:val="24"/>
          <w:szCs w:val="24"/>
        </w:rPr>
        <w:t>.  The 1b) adjustments were identified through this GA analysis process and this adjustment in methodology will be used going forward.</w:t>
      </w:r>
    </w:p>
    <w:p w:rsidR="00E6300C" w:rsidRPr="00823F90" w:rsidRDefault="00E6300C" w:rsidP="00823F90">
      <w:pPr>
        <w:spacing w:after="0"/>
        <w:rPr>
          <w:rFonts w:ascii="Arial" w:hAnsi="Arial" w:cs="Arial"/>
          <w:color w:val="1F497D" w:themeColor="text2"/>
          <w:sz w:val="24"/>
          <w:szCs w:val="24"/>
        </w:rPr>
      </w:pPr>
    </w:p>
    <w:p w:rsidR="00AF1E7C" w:rsidRDefault="00003016" w:rsidP="00AF1E7C">
      <w:pPr>
        <w:pStyle w:val="ListParagraph"/>
        <w:numPr>
          <w:ilvl w:val="1"/>
          <w:numId w:val="2"/>
        </w:numPr>
        <w:spacing w:after="0"/>
        <w:rPr>
          <w:rFonts w:ascii="Arial" w:hAnsi="Arial" w:cs="Arial"/>
          <w:sz w:val="24"/>
          <w:szCs w:val="24"/>
        </w:rPr>
      </w:pPr>
      <w:r>
        <w:rPr>
          <w:rFonts w:ascii="Arial" w:hAnsi="Arial" w:cs="Arial"/>
          <w:sz w:val="24"/>
          <w:szCs w:val="24"/>
        </w:rPr>
        <w:t>Do</w:t>
      </w:r>
      <w:r w:rsidR="00AF1E7C">
        <w:rPr>
          <w:rFonts w:ascii="Arial" w:hAnsi="Arial" w:cs="Arial"/>
          <w:sz w:val="24"/>
          <w:szCs w:val="24"/>
        </w:rPr>
        <w:t xml:space="preserve"> the adjustment</w:t>
      </w:r>
      <w:r>
        <w:rPr>
          <w:rFonts w:ascii="Arial" w:hAnsi="Arial" w:cs="Arial"/>
          <w:sz w:val="24"/>
          <w:szCs w:val="24"/>
        </w:rPr>
        <w:t>s</w:t>
      </w:r>
      <w:r w:rsidR="00AF1E7C">
        <w:rPr>
          <w:rFonts w:ascii="Arial" w:hAnsi="Arial" w:cs="Arial"/>
          <w:sz w:val="24"/>
          <w:szCs w:val="24"/>
        </w:rPr>
        <w:t xml:space="preserve"> in 1a and 1b also include any true-up related to the difference between the actual and estimated GA rate used by the applicant?  If not, please explain why such a true-up would not be required.</w:t>
      </w:r>
    </w:p>
    <w:p w:rsidR="00823F90" w:rsidRDefault="00823F90" w:rsidP="00823F90">
      <w:pPr>
        <w:spacing w:after="0"/>
        <w:rPr>
          <w:rFonts w:ascii="Arial" w:hAnsi="Arial" w:cs="Arial"/>
          <w:sz w:val="24"/>
          <w:szCs w:val="24"/>
        </w:rPr>
      </w:pPr>
    </w:p>
    <w:p w:rsidR="00823F90" w:rsidRPr="00823F90" w:rsidRDefault="00823F90" w:rsidP="00823F90">
      <w:pPr>
        <w:spacing w:after="0"/>
        <w:rPr>
          <w:rFonts w:ascii="Arial" w:hAnsi="Arial" w:cs="Arial"/>
          <w:color w:val="1F497D" w:themeColor="text2"/>
          <w:sz w:val="24"/>
          <w:szCs w:val="24"/>
        </w:rPr>
      </w:pPr>
      <w:r w:rsidRPr="00823F90">
        <w:rPr>
          <w:rFonts w:ascii="Arial" w:hAnsi="Arial" w:cs="Arial"/>
          <w:color w:val="1F497D" w:themeColor="text2"/>
          <w:sz w:val="24"/>
          <w:szCs w:val="24"/>
        </w:rPr>
        <w:t>LPDL:  Yes, the true-up adjustment booked in the year does include the true-up from estimate to actual GA rates.</w:t>
      </w:r>
    </w:p>
    <w:p w:rsidR="00AF1E7C" w:rsidRDefault="00AF1E7C" w:rsidP="00AF1E7C">
      <w:pPr>
        <w:pStyle w:val="ListParagraph"/>
        <w:spacing w:after="0"/>
        <w:ind w:left="1080"/>
        <w:rPr>
          <w:rFonts w:ascii="Arial" w:hAnsi="Arial" w:cs="Arial"/>
          <w:sz w:val="24"/>
          <w:szCs w:val="24"/>
        </w:rPr>
      </w:pPr>
    </w:p>
    <w:p w:rsidR="00AF1E7C" w:rsidRDefault="00AF1E7C" w:rsidP="00926474">
      <w:pPr>
        <w:pStyle w:val="ListParagraph"/>
        <w:numPr>
          <w:ilvl w:val="0"/>
          <w:numId w:val="2"/>
        </w:numPr>
        <w:spacing w:after="0"/>
        <w:rPr>
          <w:rFonts w:ascii="Arial" w:hAnsi="Arial" w:cs="Arial"/>
          <w:sz w:val="24"/>
          <w:szCs w:val="24"/>
        </w:rPr>
      </w:pPr>
      <w:r w:rsidRPr="003C2031">
        <w:rPr>
          <w:rFonts w:ascii="Arial" w:hAnsi="Arial" w:cs="Arial"/>
          <w:sz w:val="24"/>
          <w:szCs w:val="24"/>
        </w:rPr>
        <w:t xml:space="preserve">The applicant has not recorded any balances for reconciling items 2a and 2b in Note 5 of the GA Analysis </w:t>
      </w:r>
      <w:proofErr w:type="spellStart"/>
      <w:r w:rsidRPr="003C2031">
        <w:rPr>
          <w:rFonts w:ascii="Arial" w:hAnsi="Arial" w:cs="Arial"/>
          <w:sz w:val="24"/>
          <w:szCs w:val="24"/>
        </w:rPr>
        <w:t>Workform</w:t>
      </w:r>
      <w:proofErr w:type="spellEnd"/>
      <w:r w:rsidRPr="003C2031">
        <w:rPr>
          <w:rFonts w:ascii="Arial" w:hAnsi="Arial" w:cs="Arial"/>
          <w:sz w:val="24"/>
          <w:szCs w:val="24"/>
        </w:rPr>
        <w:t xml:space="preserve">.  These reconciling items </w:t>
      </w:r>
      <w:r w:rsidR="003C2031" w:rsidRPr="003C2031">
        <w:rPr>
          <w:rFonts w:ascii="Arial" w:hAnsi="Arial" w:cs="Arial"/>
          <w:sz w:val="24"/>
          <w:szCs w:val="24"/>
        </w:rPr>
        <w:t xml:space="preserve">typically </w:t>
      </w:r>
      <w:r w:rsidRPr="003C2031">
        <w:rPr>
          <w:rFonts w:ascii="Arial" w:hAnsi="Arial" w:cs="Arial"/>
          <w:sz w:val="24"/>
          <w:szCs w:val="24"/>
        </w:rPr>
        <w:t xml:space="preserve">comprise of the difference between amounts accrued for unbilled compared to the actual amounts that were billed subsequently in relation to the unbilled accruals.  Please explain why there would be no discrepancy between accrual and actual? </w:t>
      </w:r>
    </w:p>
    <w:p w:rsidR="00BC14A9" w:rsidRDefault="00BC14A9" w:rsidP="00BC14A9">
      <w:pPr>
        <w:spacing w:after="0"/>
        <w:rPr>
          <w:rFonts w:ascii="Arial" w:hAnsi="Arial" w:cs="Arial"/>
          <w:sz w:val="24"/>
          <w:szCs w:val="24"/>
        </w:rPr>
      </w:pPr>
    </w:p>
    <w:p w:rsidR="00BC14A9" w:rsidRPr="00BC14A9" w:rsidRDefault="00D37EC5" w:rsidP="00BC14A9">
      <w:pPr>
        <w:spacing w:after="0"/>
        <w:rPr>
          <w:rFonts w:ascii="Arial" w:hAnsi="Arial" w:cs="Arial"/>
          <w:color w:val="1F497D" w:themeColor="text2"/>
          <w:sz w:val="24"/>
          <w:szCs w:val="24"/>
        </w:rPr>
      </w:pPr>
      <w:r>
        <w:rPr>
          <w:rFonts w:ascii="Arial" w:hAnsi="Arial" w:cs="Arial"/>
          <w:color w:val="1F497D" w:themeColor="text2"/>
          <w:sz w:val="24"/>
          <w:szCs w:val="24"/>
        </w:rPr>
        <w:t xml:space="preserve">LPDL: </w:t>
      </w:r>
      <w:r w:rsidR="00BC14A9">
        <w:rPr>
          <w:rFonts w:ascii="Arial" w:hAnsi="Arial" w:cs="Arial"/>
          <w:color w:val="1F497D" w:themeColor="text2"/>
          <w:sz w:val="24"/>
          <w:szCs w:val="24"/>
        </w:rPr>
        <w:t xml:space="preserve">There is no reconciling item for an accrual vs actual discrepancy since LPDL does a true up adjustment to actuals, including December actuals, and records this true up to December so it is included in the </w:t>
      </w:r>
      <w:proofErr w:type="spellStart"/>
      <w:r w:rsidR="00BC14A9">
        <w:rPr>
          <w:rFonts w:ascii="Arial" w:hAnsi="Arial" w:cs="Arial"/>
          <w:color w:val="1F497D" w:themeColor="text2"/>
          <w:sz w:val="24"/>
          <w:szCs w:val="24"/>
        </w:rPr>
        <w:t>year end</w:t>
      </w:r>
      <w:proofErr w:type="spellEnd"/>
      <w:r w:rsidR="00BC14A9">
        <w:rPr>
          <w:rFonts w:ascii="Arial" w:hAnsi="Arial" w:cs="Arial"/>
          <w:color w:val="1F497D" w:themeColor="text2"/>
          <w:sz w:val="24"/>
          <w:szCs w:val="24"/>
        </w:rPr>
        <w:t xml:space="preserve"> balance.</w:t>
      </w:r>
    </w:p>
    <w:p w:rsidR="003C2031" w:rsidRDefault="003C2031" w:rsidP="003C2031">
      <w:pPr>
        <w:spacing w:after="0"/>
        <w:rPr>
          <w:rFonts w:ascii="Arial" w:hAnsi="Arial" w:cs="Arial"/>
          <w:sz w:val="24"/>
          <w:szCs w:val="24"/>
        </w:rPr>
      </w:pPr>
    </w:p>
    <w:p w:rsidR="00BE2DAE" w:rsidRDefault="00BE2DAE" w:rsidP="00E94282">
      <w:pPr>
        <w:spacing w:after="0"/>
        <w:rPr>
          <w:rFonts w:ascii="Arial" w:hAnsi="Arial" w:cs="Arial"/>
          <w:b/>
          <w:sz w:val="24"/>
          <w:szCs w:val="24"/>
        </w:rPr>
      </w:pPr>
    </w:p>
    <w:p w:rsidR="00D37EC5" w:rsidRDefault="00D37EC5" w:rsidP="00E94282">
      <w:pPr>
        <w:spacing w:after="0"/>
        <w:rPr>
          <w:rFonts w:ascii="Arial" w:hAnsi="Arial" w:cs="Arial"/>
          <w:b/>
          <w:sz w:val="24"/>
          <w:szCs w:val="24"/>
        </w:rPr>
      </w:pPr>
    </w:p>
    <w:p w:rsidR="00D37EC5" w:rsidRDefault="00D37EC5" w:rsidP="00E94282">
      <w:pPr>
        <w:spacing w:after="0"/>
        <w:rPr>
          <w:rFonts w:ascii="Arial" w:hAnsi="Arial" w:cs="Arial"/>
          <w:b/>
          <w:sz w:val="24"/>
          <w:szCs w:val="24"/>
        </w:rPr>
      </w:pPr>
    </w:p>
    <w:p w:rsidR="00E94282" w:rsidRDefault="00003016" w:rsidP="00E94282">
      <w:pPr>
        <w:spacing w:after="0"/>
        <w:rPr>
          <w:rFonts w:ascii="Arial" w:hAnsi="Arial" w:cs="Arial"/>
          <w:b/>
          <w:sz w:val="24"/>
          <w:szCs w:val="24"/>
        </w:rPr>
      </w:pPr>
      <w:r>
        <w:rPr>
          <w:rFonts w:ascii="Arial" w:hAnsi="Arial" w:cs="Arial"/>
          <w:b/>
          <w:sz w:val="24"/>
          <w:szCs w:val="24"/>
        </w:rPr>
        <w:t xml:space="preserve">Former Parry Sound </w:t>
      </w:r>
    </w:p>
    <w:p w:rsidR="003C2031" w:rsidRPr="00E94282" w:rsidRDefault="00E94282" w:rsidP="00E94282">
      <w:pPr>
        <w:spacing w:after="0"/>
        <w:rPr>
          <w:rFonts w:ascii="Arial" w:hAnsi="Arial" w:cs="Arial"/>
          <w:b/>
          <w:sz w:val="24"/>
          <w:szCs w:val="24"/>
        </w:rPr>
      </w:pPr>
      <w:r>
        <w:rPr>
          <w:rFonts w:ascii="Arial" w:hAnsi="Arial" w:cs="Arial"/>
          <w:b/>
          <w:sz w:val="24"/>
          <w:szCs w:val="24"/>
        </w:rPr>
        <w:t xml:space="preserve">2016 </w:t>
      </w:r>
      <w:r w:rsidR="003C2031" w:rsidRPr="00E94282">
        <w:rPr>
          <w:rFonts w:ascii="Arial" w:hAnsi="Arial" w:cs="Arial"/>
          <w:b/>
          <w:sz w:val="24"/>
          <w:szCs w:val="24"/>
        </w:rPr>
        <w:t xml:space="preserve">GA Analysis </w:t>
      </w:r>
      <w:proofErr w:type="spellStart"/>
      <w:r w:rsidR="003C2031" w:rsidRPr="00E94282">
        <w:rPr>
          <w:rFonts w:ascii="Arial" w:hAnsi="Arial" w:cs="Arial"/>
          <w:b/>
          <w:sz w:val="24"/>
          <w:szCs w:val="24"/>
        </w:rPr>
        <w:t>Workform</w:t>
      </w:r>
      <w:proofErr w:type="spellEnd"/>
    </w:p>
    <w:p w:rsidR="009432EE" w:rsidRPr="009432EE" w:rsidRDefault="009432EE" w:rsidP="009432EE">
      <w:pPr>
        <w:pStyle w:val="ListParagraph"/>
        <w:spacing w:after="0"/>
        <w:ind w:left="880"/>
        <w:rPr>
          <w:rFonts w:ascii="Arial" w:hAnsi="Arial" w:cs="Arial"/>
          <w:b/>
          <w:sz w:val="24"/>
          <w:szCs w:val="24"/>
        </w:rPr>
      </w:pPr>
    </w:p>
    <w:p w:rsidR="00003016" w:rsidRPr="009432EE" w:rsidRDefault="00003016" w:rsidP="009432EE">
      <w:pPr>
        <w:pStyle w:val="ListParagraph"/>
        <w:numPr>
          <w:ilvl w:val="0"/>
          <w:numId w:val="13"/>
        </w:numPr>
        <w:rPr>
          <w:rFonts w:ascii="Arial" w:hAnsi="Arial" w:cs="Arial"/>
          <w:sz w:val="24"/>
          <w:szCs w:val="24"/>
        </w:rPr>
      </w:pPr>
      <w:r w:rsidRPr="009432EE">
        <w:rPr>
          <w:rFonts w:ascii="Arial" w:hAnsi="Arial" w:cs="Arial"/>
          <w:sz w:val="24"/>
          <w:szCs w:val="24"/>
        </w:rPr>
        <w:t>In booking expense journal entries for Charge Type 1142 (formerly 142), and Charge Type 148 from the IESO invoice, please confirm which of the following approach is used:</w:t>
      </w:r>
    </w:p>
    <w:p w:rsidR="00003016" w:rsidRDefault="00003016" w:rsidP="009432EE">
      <w:pPr>
        <w:pStyle w:val="ListParagraph"/>
        <w:numPr>
          <w:ilvl w:val="1"/>
          <w:numId w:val="3"/>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003016" w:rsidRDefault="00003016" w:rsidP="009432EE">
      <w:pPr>
        <w:pStyle w:val="ListParagraph"/>
        <w:numPr>
          <w:ilvl w:val="1"/>
          <w:numId w:val="3"/>
        </w:numPr>
        <w:rPr>
          <w:rFonts w:ascii="Arial" w:hAnsi="Arial" w:cs="Arial"/>
          <w:sz w:val="24"/>
          <w:szCs w:val="24"/>
        </w:rPr>
      </w:pPr>
      <w:r w:rsidRPr="000162D6">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rsidR="00003016" w:rsidRDefault="00003016" w:rsidP="009432EE">
      <w:pPr>
        <w:pStyle w:val="ListParagraph"/>
        <w:numPr>
          <w:ilvl w:val="1"/>
          <w:numId w:val="3"/>
        </w:numPr>
        <w:rPr>
          <w:rFonts w:ascii="Arial" w:hAnsi="Arial" w:cs="Arial"/>
          <w:sz w:val="24"/>
          <w:szCs w:val="24"/>
        </w:rPr>
      </w:pPr>
      <w:r w:rsidRPr="000162D6">
        <w:rPr>
          <w:rFonts w:ascii="Arial" w:hAnsi="Arial" w:cs="Arial"/>
          <w:sz w:val="24"/>
          <w:szCs w:val="24"/>
        </w:rPr>
        <w:t xml:space="preserve"> Another approach.  Please explain this approach in detail.</w:t>
      </w:r>
    </w:p>
    <w:p w:rsidR="00D37EC5" w:rsidRDefault="00D37EC5" w:rsidP="003C076B">
      <w:pPr>
        <w:spacing w:after="0"/>
        <w:ind w:left="360"/>
        <w:rPr>
          <w:rFonts w:ascii="Arial" w:hAnsi="Arial" w:cs="Arial"/>
          <w:color w:val="1F497D" w:themeColor="text2"/>
          <w:sz w:val="24"/>
          <w:szCs w:val="24"/>
        </w:rPr>
      </w:pPr>
      <w:r w:rsidRPr="00D37EC5">
        <w:rPr>
          <w:rFonts w:ascii="Arial" w:hAnsi="Arial" w:cs="Arial"/>
          <w:color w:val="1F497D" w:themeColor="text2"/>
          <w:sz w:val="24"/>
          <w:szCs w:val="24"/>
        </w:rPr>
        <w:t>LPDL:  Approach a) is used</w:t>
      </w:r>
    </w:p>
    <w:p w:rsidR="00D37EC5" w:rsidRDefault="00D37EC5" w:rsidP="00D37EC5">
      <w:pPr>
        <w:ind w:firstLine="360"/>
        <w:rPr>
          <w:rFonts w:ascii="Arial" w:hAnsi="Arial" w:cs="Arial"/>
          <w:color w:val="1F497D" w:themeColor="text2"/>
          <w:sz w:val="24"/>
          <w:szCs w:val="24"/>
        </w:rPr>
      </w:pPr>
    </w:p>
    <w:p w:rsidR="00003016" w:rsidRPr="009432EE" w:rsidRDefault="00003016" w:rsidP="009432EE">
      <w:pPr>
        <w:pStyle w:val="ListParagraph"/>
        <w:numPr>
          <w:ilvl w:val="0"/>
          <w:numId w:val="13"/>
        </w:numPr>
        <w:rPr>
          <w:rFonts w:ascii="Arial" w:hAnsi="Arial" w:cs="Arial"/>
          <w:sz w:val="24"/>
          <w:szCs w:val="24"/>
        </w:rPr>
      </w:pPr>
      <w:r w:rsidRPr="009432EE">
        <w:rPr>
          <w:rFonts w:ascii="Arial" w:hAnsi="Arial" w:cs="Arial"/>
          <w:sz w:val="24"/>
          <w:szCs w:val="24"/>
        </w:rPr>
        <w:t>With regards to the Dec. 31 balance in Account 1589, all components that flow into Account 1589 (</w:t>
      </w:r>
      <w:proofErr w:type="spellStart"/>
      <w:r w:rsidRPr="009432EE">
        <w:rPr>
          <w:rFonts w:ascii="Arial" w:hAnsi="Arial" w:cs="Arial"/>
          <w:sz w:val="24"/>
          <w:szCs w:val="24"/>
        </w:rPr>
        <w:t>i</w:t>
      </w:r>
      <w:proofErr w:type="spellEnd"/>
      <w:r w:rsidRPr="009432EE">
        <w:rPr>
          <w:rFonts w:ascii="Arial" w:hAnsi="Arial" w:cs="Arial"/>
          <w:sz w:val="24"/>
          <w:szCs w:val="24"/>
        </w:rPr>
        <w:t xml:space="preserve"> to </w:t>
      </w:r>
      <w:proofErr w:type="gramStart"/>
      <w:r w:rsidRPr="009432EE">
        <w:rPr>
          <w:rFonts w:ascii="Arial" w:hAnsi="Arial" w:cs="Arial"/>
          <w:sz w:val="24"/>
          <w:szCs w:val="24"/>
        </w:rPr>
        <w:t>iv</w:t>
      </w:r>
      <w:proofErr w:type="gramEnd"/>
      <w:r w:rsidRPr="009432EE">
        <w:rPr>
          <w:rFonts w:ascii="Arial" w:hAnsi="Arial" w:cs="Arial"/>
          <w:sz w:val="24"/>
          <w:szCs w:val="24"/>
        </w:rPr>
        <w:t xml:space="preserve"> in table below) should all be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003016" w:rsidTr="00DA6B15">
        <w:tc>
          <w:tcPr>
            <w:tcW w:w="390" w:type="dxa"/>
          </w:tcPr>
          <w:p w:rsidR="00003016" w:rsidRPr="00360DCD" w:rsidRDefault="00003016" w:rsidP="00DA6B15">
            <w:pPr>
              <w:rPr>
                <w:rFonts w:ascii="Arial" w:hAnsi="Arial" w:cs="Arial"/>
                <w:sz w:val="20"/>
                <w:szCs w:val="20"/>
              </w:rPr>
            </w:pPr>
          </w:p>
        </w:tc>
        <w:tc>
          <w:tcPr>
            <w:tcW w:w="1870" w:type="dxa"/>
          </w:tcPr>
          <w:p w:rsidR="00003016" w:rsidRPr="00360DCD" w:rsidRDefault="00003016" w:rsidP="00DA6B15">
            <w:pPr>
              <w:rPr>
                <w:rFonts w:ascii="Arial" w:hAnsi="Arial" w:cs="Arial"/>
                <w:b/>
                <w:sz w:val="20"/>
                <w:szCs w:val="20"/>
              </w:rPr>
            </w:pPr>
            <w:r w:rsidRPr="00360DCD">
              <w:rPr>
                <w:rFonts w:ascii="Arial" w:hAnsi="Arial" w:cs="Arial"/>
                <w:b/>
                <w:sz w:val="20"/>
                <w:szCs w:val="20"/>
              </w:rPr>
              <w:t>Component</w:t>
            </w:r>
          </w:p>
        </w:tc>
        <w:tc>
          <w:tcPr>
            <w:tcW w:w="1870" w:type="dxa"/>
          </w:tcPr>
          <w:p w:rsidR="00003016" w:rsidRPr="00360DCD" w:rsidRDefault="00003016" w:rsidP="00DA6B15">
            <w:pPr>
              <w:rPr>
                <w:rFonts w:ascii="Arial" w:hAnsi="Arial" w:cs="Arial"/>
                <w:b/>
                <w:sz w:val="20"/>
                <w:szCs w:val="20"/>
              </w:rPr>
            </w:pPr>
            <w:r w:rsidRPr="00360DCD">
              <w:rPr>
                <w:rFonts w:ascii="Arial" w:hAnsi="Arial" w:cs="Arial"/>
                <w:b/>
                <w:sz w:val="20"/>
                <w:szCs w:val="20"/>
              </w:rPr>
              <w:t>a) Estimate or Actual</w:t>
            </w:r>
          </w:p>
        </w:tc>
        <w:tc>
          <w:tcPr>
            <w:tcW w:w="3605" w:type="dxa"/>
          </w:tcPr>
          <w:p w:rsidR="00003016" w:rsidRPr="00360DCD" w:rsidRDefault="00003016" w:rsidP="00DA6B15">
            <w:pPr>
              <w:rPr>
                <w:rFonts w:ascii="Arial" w:hAnsi="Arial" w:cs="Arial"/>
                <w:b/>
                <w:sz w:val="20"/>
                <w:szCs w:val="20"/>
              </w:rPr>
            </w:pPr>
            <w:r w:rsidRPr="00360DCD">
              <w:rPr>
                <w:rFonts w:ascii="Arial" w:hAnsi="Arial" w:cs="Arial"/>
                <w:b/>
                <w:sz w:val="20"/>
                <w:szCs w:val="20"/>
              </w:rPr>
              <w:t>Notes/Comments</w:t>
            </w:r>
          </w:p>
        </w:tc>
        <w:tc>
          <w:tcPr>
            <w:tcW w:w="1870" w:type="dxa"/>
          </w:tcPr>
          <w:p w:rsidR="00003016" w:rsidRPr="00360DCD" w:rsidRDefault="00003016" w:rsidP="00DA6B15">
            <w:pPr>
              <w:rPr>
                <w:rFonts w:ascii="Arial" w:hAnsi="Arial" w:cs="Arial"/>
                <w:b/>
                <w:sz w:val="20"/>
                <w:szCs w:val="20"/>
              </w:rPr>
            </w:pPr>
            <w:r w:rsidRPr="00360DCD">
              <w:rPr>
                <w:rFonts w:ascii="Arial" w:hAnsi="Arial" w:cs="Arial"/>
                <w:b/>
                <w:sz w:val="20"/>
                <w:szCs w:val="20"/>
              </w:rPr>
              <w:t>b) Quantify True Up  Adjustment</w:t>
            </w:r>
          </w:p>
        </w:tc>
      </w:tr>
      <w:tr w:rsidR="00D37EC5" w:rsidTr="00DA6B15">
        <w:tc>
          <w:tcPr>
            <w:tcW w:w="390" w:type="dxa"/>
          </w:tcPr>
          <w:p w:rsidR="00D37EC5" w:rsidRPr="00360DCD" w:rsidRDefault="00D37EC5" w:rsidP="00D37EC5">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rsidR="00D37EC5" w:rsidRPr="00360DCD" w:rsidRDefault="00D37EC5" w:rsidP="00D37EC5">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D37EC5" w:rsidRPr="00360DCD" w:rsidRDefault="00D37EC5" w:rsidP="00D37EC5">
            <w:pPr>
              <w:rPr>
                <w:rFonts w:ascii="Arial" w:hAnsi="Arial" w:cs="Arial"/>
                <w:sz w:val="20"/>
                <w:szCs w:val="20"/>
              </w:rPr>
            </w:pPr>
          </w:p>
        </w:tc>
        <w:tc>
          <w:tcPr>
            <w:tcW w:w="1870" w:type="dxa"/>
          </w:tcPr>
          <w:p w:rsidR="00D37EC5" w:rsidRDefault="00D37EC5" w:rsidP="00D37EC5">
            <w:pPr>
              <w:rPr>
                <w:rFonts w:ascii="Arial" w:hAnsi="Arial" w:cs="Arial"/>
                <w:sz w:val="20"/>
                <w:szCs w:val="20"/>
              </w:rPr>
            </w:pPr>
          </w:p>
          <w:p w:rsidR="00D37EC5" w:rsidRDefault="00D37EC5" w:rsidP="00D37EC5">
            <w:pPr>
              <w:rPr>
                <w:rFonts w:ascii="Arial" w:hAnsi="Arial" w:cs="Arial"/>
                <w:sz w:val="20"/>
                <w:szCs w:val="20"/>
              </w:rPr>
            </w:pPr>
          </w:p>
          <w:p w:rsidR="00D37EC5" w:rsidRPr="00F86F1A" w:rsidRDefault="00D37EC5" w:rsidP="00D37EC5">
            <w:pPr>
              <w:rPr>
                <w:rFonts w:ascii="Arial" w:hAnsi="Arial" w:cs="Arial"/>
                <w:color w:val="1F497D" w:themeColor="text2"/>
                <w:sz w:val="20"/>
                <w:szCs w:val="20"/>
              </w:rPr>
            </w:pPr>
            <w:r>
              <w:rPr>
                <w:rFonts w:ascii="Arial" w:hAnsi="Arial" w:cs="Arial"/>
                <w:color w:val="1F497D" w:themeColor="text2"/>
                <w:sz w:val="20"/>
                <w:szCs w:val="20"/>
              </w:rPr>
              <w:t>LPDL = Actual</w:t>
            </w:r>
          </w:p>
        </w:tc>
        <w:tc>
          <w:tcPr>
            <w:tcW w:w="3605" w:type="dxa"/>
          </w:tcPr>
          <w:p w:rsidR="00D37EC5" w:rsidRPr="00F86F1A" w:rsidRDefault="00D37EC5" w:rsidP="00D37EC5">
            <w:pPr>
              <w:rPr>
                <w:rFonts w:ascii="Arial" w:hAnsi="Arial" w:cs="Arial"/>
                <w:color w:val="1F497D" w:themeColor="text2"/>
                <w:sz w:val="20"/>
                <w:szCs w:val="20"/>
              </w:rPr>
            </w:pPr>
            <w:r>
              <w:rPr>
                <w:rFonts w:ascii="Arial" w:hAnsi="Arial" w:cs="Arial"/>
                <w:color w:val="1F497D" w:themeColor="text2"/>
                <w:sz w:val="20"/>
                <w:szCs w:val="20"/>
              </w:rPr>
              <w:t xml:space="preserve">LPDL = we true up our 1589 </w:t>
            </w:r>
            <w:proofErr w:type="spellStart"/>
            <w:r>
              <w:rPr>
                <w:rFonts w:ascii="Arial" w:hAnsi="Arial" w:cs="Arial"/>
                <w:color w:val="1F497D" w:themeColor="text2"/>
                <w:sz w:val="20"/>
                <w:szCs w:val="20"/>
              </w:rPr>
              <w:t>year end</w:t>
            </w:r>
            <w:proofErr w:type="spellEnd"/>
            <w:r>
              <w:rPr>
                <w:rFonts w:ascii="Arial" w:hAnsi="Arial" w:cs="Arial"/>
                <w:color w:val="1F497D" w:themeColor="text2"/>
                <w:sz w:val="20"/>
                <w:szCs w:val="20"/>
              </w:rPr>
              <w:t xml:space="preserve"> balance, to actual non-RPP Class B GA revenue, which is included with the Dec 31 balance.</w:t>
            </w:r>
          </w:p>
        </w:tc>
        <w:tc>
          <w:tcPr>
            <w:tcW w:w="1870" w:type="dxa"/>
          </w:tcPr>
          <w:p w:rsidR="00D37EC5" w:rsidRPr="00360DCD" w:rsidRDefault="00D37EC5" w:rsidP="00D37EC5">
            <w:pPr>
              <w:jc w:val="center"/>
              <w:rPr>
                <w:rFonts w:ascii="Arial" w:hAnsi="Arial" w:cs="Arial"/>
                <w:sz w:val="20"/>
                <w:szCs w:val="20"/>
              </w:rPr>
            </w:pPr>
          </w:p>
        </w:tc>
      </w:tr>
      <w:tr w:rsidR="00D37EC5" w:rsidTr="00E6300C">
        <w:trPr>
          <w:trHeight w:val="1833"/>
        </w:trPr>
        <w:tc>
          <w:tcPr>
            <w:tcW w:w="390" w:type="dxa"/>
          </w:tcPr>
          <w:p w:rsidR="00D37EC5" w:rsidRPr="00360DCD" w:rsidRDefault="00D37EC5" w:rsidP="00D37EC5">
            <w:pPr>
              <w:rPr>
                <w:rFonts w:ascii="Arial" w:hAnsi="Arial" w:cs="Arial"/>
                <w:sz w:val="20"/>
                <w:szCs w:val="20"/>
              </w:rPr>
            </w:pPr>
            <w:r w:rsidRPr="00360DCD">
              <w:rPr>
                <w:rFonts w:ascii="Arial" w:hAnsi="Arial" w:cs="Arial"/>
                <w:sz w:val="20"/>
                <w:szCs w:val="20"/>
              </w:rPr>
              <w:t>ii</w:t>
            </w:r>
          </w:p>
        </w:tc>
        <w:tc>
          <w:tcPr>
            <w:tcW w:w="1870" w:type="dxa"/>
          </w:tcPr>
          <w:p w:rsidR="00D37EC5" w:rsidRPr="00360DCD" w:rsidRDefault="00D37EC5" w:rsidP="00D37EC5">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D37EC5" w:rsidRPr="00360DCD" w:rsidRDefault="00D37EC5" w:rsidP="00D37EC5">
            <w:pPr>
              <w:rPr>
                <w:rFonts w:ascii="Arial" w:hAnsi="Arial" w:cs="Arial"/>
                <w:sz w:val="20"/>
                <w:szCs w:val="20"/>
              </w:rPr>
            </w:pPr>
          </w:p>
        </w:tc>
        <w:tc>
          <w:tcPr>
            <w:tcW w:w="1870" w:type="dxa"/>
          </w:tcPr>
          <w:p w:rsidR="00D37EC5" w:rsidRDefault="00D37EC5" w:rsidP="00D37EC5">
            <w:pPr>
              <w:rPr>
                <w:rFonts w:ascii="Arial" w:hAnsi="Arial" w:cs="Arial"/>
                <w:sz w:val="20"/>
                <w:szCs w:val="20"/>
              </w:rPr>
            </w:pPr>
          </w:p>
          <w:p w:rsidR="00D37EC5" w:rsidRDefault="00D37EC5" w:rsidP="00D37EC5">
            <w:pPr>
              <w:rPr>
                <w:rFonts w:ascii="Arial" w:hAnsi="Arial" w:cs="Arial"/>
                <w:sz w:val="20"/>
                <w:szCs w:val="20"/>
              </w:rPr>
            </w:pPr>
          </w:p>
          <w:p w:rsidR="00D37EC5" w:rsidRPr="00F86F1A" w:rsidRDefault="00D37EC5" w:rsidP="00D37EC5">
            <w:pPr>
              <w:rPr>
                <w:rFonts w:ascii="Arial" w:hAnsi="Arial" w:cs="Arial"/>
                <w:color w:val="1F497D" w:themeColor="text2"/>
                <w:sz w:val="20"/>
                <w:szCs w:val="20"/>
              </w:rPr>
            </w:pPr>
            <w:r>
              <w:rPr>
                <w:rFonts w:ascii="Arial" w:hAnsi="Arial" w:cs="Arial"/>
                <w:color w:val="1F497D" w:themeColor="text2"/>
                <w:sz w:val="20"/>
                <w:szCs w:val="20"/>
              </w:rPr>
              <w:t>LPDL = Actual</w:t>
            </w:r>
          </w:p>
        </w:tc>
        <w:tc>
          <w:tcPr>
            <w:tcW w:w="3605" w:type="dxa"/>
          </w:tcPr>
          <w:p w:rsidR="00D37EC5" w:rsidRPr="00360DCD" w:rsidRDefault="00D37EC5" w:rsidP="00D37EC5">
            <w:pPr>
              <w:rPr>
                <w:rFonts w:ascii="Arial" w:hAnsi="Arial" w:cs="Arial"/>
                <w:sz w:val="20"/>
                <w:szCs w:val="20"/>
              </w:rPr>
            </w:pPr>
            <w:r>
              <w:rPr>
                <w:rFonts w:ascii="Arial" w:hAnsi="Arial" w:cs="Arial"/>
                <w:color w:val="1F497D" w:themeColor="text2"/>
                <w:sz w:val="20"/>
                <w:szCs w:val="20"/>
              </w:rPr>
              <w:t xml:space="preserve">LPDL = we true up our 1589 </w:t>
            </w:r>
            <w:proofErr w:type="spellStart"/>
            <w:r>
              <w:rPr>
                <w:rFonts w:ascii="Arial" w:hAnsi="Arial" w:cs="Arial"/>
                <w:color w:val="1F497D" w:themeColor="text2"/>
                <w:sz w:val="20"/>
                <w:szCs w:val="20"/>
              </w:rPr>
              <w:t>year end</w:t>
            </w:r>
            <w:proofErr w:type="spellEnd"/>
            <w:r>
              <w:rPr>
                <w:rFonts w:ascii="Arial" w:hAnsi="Arial" w:cs="Arial"/>
                <w:color w:val="1F497D" w:themeColor="text2"/>
                <w:sz w:val="20"/>
                <w:szCs w:val="20"/>
              </w:rPr>
              <w:t xml:space="preserve"> balance, to actual non-RPP Class B GA costs, which is included with the Dec 31 balance.</w:t>
            </w:r>
          </w:p>
        </w:tc>
        <w:tc>
          <w:tcPr>
            <w:tcW w:w="1870" w:type="dxa"/>
          </w:tcPr>
          <w:p w:rsidR="00D37EC5" w:rsidRPr="00360DCD" w:rsidRDefault="00D37EC5" w:rsidP="00D37EC5">
            <w:pPr>
              <w:rPr>
                <w:rFonts w:ascii="Arial" w:hAnsi="Arial" w:cs="Arial"/>
                <w:sz w:val="20"/>
                <w:szCs w:val="20"/>
              </w:rPr>
            </w:pPr>
          </w:p>
        </w:tc>
      </w:tr>
      <w:tr w:rsidR="003C076B" w:rsidTr="00DA6B15">
        <w:tc>
          <w:tcPr>
            <w:tcW w:w="390" w:type="dxa"/>
          </w:tcPr>
          <w:p w:rsidR="003C076B" w:rsidRPr="00360DCD" w:rsidRDefault="003C076B" w:rsidP="003C076B">
            <w:pPr>
              <w:rPr>
                <w:rFonts w:ascii="Arial" w:hAnsi="Arial" w:cs="Arial"/>
                <w:sz w:val="20"/>
                <w:szCs w:val="20"/>
              </w:rPr>
            </w:pPr>
            <w:r w:rsidRPr="00360DCD">
              <w:rPr>
                <w:rFonts w:ascii="Arial" w:hAnsi="Arial" w:cs="Arial"/>
                <w:sz w:val="20"/>
                <w:szCs w:val="20"/>
              </w:rPr>
              <w:t>Iii</w:t>
            </w:r>
          </w:p>
        </w:tc>
        <w:tc>
          <w:tcPr>
            <w:tcW w:w="1870" w:type="dxa"/>
          </w:tcPr>
          <w:p w:rsidR="003C076B" w:rsidRPr="00360DCD" w:rsidRDefault="003C076B" w:rsidP="003C076B">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3C076B" w:rsidRPr="00360DCD" w:rsidRDefault="003C076B" w:rsidP="003C076B">
            <w:pPr>
              <w:rPr>
                <w:rFonts w:ascii="Arial" w:hAnsi="Arial" w:cs="Arial"/>
                <w:sz w:val="20"/>
                <w:szCs w:val="20"/>
              </w:rPr>
            </w:pPr>
          </w:p>
        </w:tc>
        <w:tc>
          <w:tcPr>
            <w:tcW w:w="1870" w:type="dxa"/>
          </w:tcPr>
          <w:p w:rsidR="003C076B" w:rsidRDefault="003C076B" w:rsidP="003C076B">
            <w:pPr>
              <w:rPr>
                <w:rFonts w:ascii="Arial" w:hAnsi="Arial" w:cs="Arial"/>
                <w:sz w:val="20"/>
                <w:szCs w:val="20"/>
              </w:rPr>
            </w:pPr>
          </w:p>
          <w:p w:rsidR="003C076B" w:rsidRDefault="003C076B" w:rsidP="003C076B">
            <w:pPr>
              <w:rPr>
                <w:rFonts w:ascii="Arial" w:hAnsi="Arial" w:cs="Arial"/>
                <w:sz w:val="20"/>
                <w:szCs w:val="20"/>
              </w:rPr>
            </w:pPr>
          </w:p>
          <w:p w:rsidR="003C076B" w:rsidRPr="00F86F1A" w:rsidRDefault="003C076B" w:rsidP="003C076B">
            <w:pPr>
              <w:rPr>
                <w:rFonts w:ascii="Arial" w:hAnsi="Arial" w:cs="Arial"/>
                <w:color w:val="1F497D" w:themeColor="text2"/>
                <w:sz w:val="20"/>
                <w:szCs w:val="20"/>
              </w:rPr>
            </w:pPr>
            <w:r>
              <w:rPr>
                <w:rFonts w:ascii="Arial" w:hAnsi="Arial" w:cs="Arial"/>
                <w:color w:val="1F497D" w:themeColor="text2"/>
                <w:sz w:val="20"/>
                <w:szCs w:val="20"/>
              </w:rPr>
              <w:t>LPDL = Actual</w:t>
            </w:r>
          </w:p>
        </w:tc>
        <w:tc>
          <w:tcPr>
            <w:tcW w:w="3605" w:type="dxa"/>
          </w:tcPr>
          <w:p w:rsidR="003C076B" w:rsidRPr="00360DCD" w:rsidRDefault="00E6300C" w:rsidP="00E6300C">
            <w:pPr>
              <w:rPr>
                <w:rFonts w:ascii="Arial" w:hAnsi="Arial" w:cs="Arial"/>
                <w:sz w:val="20"/>
                <w:szCs w:val="20"/>
              </w:rPr>
            </w:pPr>
            <w:r>
              <w:rPr>
                <w:rFonts w:ascii="Arial" w:hAnsi="Arial" w:cs="Arial"/>
                <w:color w:val="1F497D" w:themeColor="text2"/>
                <w:sz w:val="20"/>
                <w:szCs w:val="20"/>
              </w:rPr>
              <w:t xml:space="preserve">LPDL = in 2016, we trued up our 1589 </w:t>
            </w:r>
            <w:proofErr w:type="spellStart"/>
            <w:r>
              <w:rPr>
                <w:rFonts w:ascii="Arial" w:hAnsi="Arial" w:cs="Arial"/>
                <w:color w:val="1F497D" w:themeColor="text2"/>
                <w:sz w:val="20"/>
                <w:szCs w:val="20"/>
              </w:rPr>
              <w:t>year end</w:t>
            </w:r>
            <w:proofErr w:type="spellEnd"/>
            <w:r>
              <w:rPr>
                <w:rFonts w:ascii="Arial" w:hAnsi="Arial" w:cs="Arial"/>
                <w:color w:val="1F497D" w:themeColor="text2"/>
                <w:sz w:val="20"/>
                <w:szCs w:val="20"/>
              </w:rPr>
              <w:t xml:space="preserve"> balance, to be based on Actual Total kWh purchased less Actual Total RPP kwh sold to leave a remaining balance of Actual Total Non-RPP kWh sold, which is included with the Dec 31 balance.  As part of this GA analysis, LPDL has identified that this proration should be based on Actual Total Non-RPP kWh sold, rather than using the fallout above.  The difference between these 2 methodologies have been identified as the 1b) adjustment for 2016.  For 2017 onward, LPDL will use the Actual Total Non-RPP kWh sold</w:t>
            </w:r>
            <w:proofErr w:type="gramStart"/>
            <w:r>
              <w:rPr>
                <w:rFonts w:ascii="Arial" w:hAnsi="Arial" w:cs="Arial"/>
                <w:color w:val="1F497D" w:themeColor="text2"/>
                <w:sz w:val="20"/>
                <w:szCs w:val="20"/>
              </w:rPr>
              <w:t>.</w:t>
            </w:r>
            <w:r w:rsidR="003C076B">
              <w:rPr>
                <w:rFonts w:ascii="Arial" w:hAnsi="Arial" w:cs="Arial"/>
                <w:color w:val="1F497D" w:themeColor="text2"/>
                <w:sz w:val="20"/>
                <w:szCs w:val="20"/>
              </w:rPr>
              <w:t>.</w:t>
            </w:r>
            <w:proofErr w:type="gramEnd"/>
          </w:p>
        </w:tc>
        <w:tc>
          <w:tcPr>
            <w:tcW w:w="1870" w:type="dxa"/>
          </w:tcPr>
          <w:p w:rsidR="003C076B" w:rsidRPr="00360DCD" w:rsidRDefault="003C076B" w:rsidP="003C076B">
            <w:pPr>
              <w:rPr>
                <w:rFonts w:ascii="Arial" w:hAnsi="Arial" w:cs="Arial"/>
                <w:sz w:val="20"/>
                <w:szCs w:val="20"/>
              </w:rPr>
            </w:pPr>
          </w:p>
        </w:tc>
      </w:tr>
      <w:tr w:rsidR="003C076B" w:rsidTr="00DA6B15">
        <w:tc>
          <w:tcPr>
            <w:tcW w:w="390" w:type="dxa"/>
          </w:tcPr>
          <w:p w:rsidR="003C076B" w:rsidRPr="00360DCD" w:rsidRDefault="003C076B" w:rsidP="003C076B">
            <w:pPr>
              <w:rPr>
                <w:rFonts w:ascii="Arial" w:hAnsi="Arial" w:cs="Arial"/>
                <w:sz w:val="20"/>
                <w:szCs w:val="20"/>
              </w:rPr>
            </w:pPr>
            <w:r w:rsidRPr="00360DCD">
              <w:rPr>
                <w:rFonts w:ascii="Arial" w:hAnsi="Arial" w:cs="Arial"/>
                <w:sz w:val="20"/>
                <w:szCs w:val="20"/>
              </w:rPr>
              <w:t>iv</w:t>
            </w:r>
          </w:p>
        </w:tc>
        <w:tc>
          <w:tcPr>
            <w:tcW w:w="1870" w:type="dxa"/>
          </w:tcPr>
          <w:p w:rsidR="003C076B" w:rsidRPr="00360DCD" w:rsidRDefault="003C076B" w:rsidP="003C076B">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3C076B" w:rsidRPr="00360DCD" w:rsidRDefault="003C076B" w:rsidP="003C076B">
            <w:pPr>
              <w:rPr>
                <w:rFonts w:ascii="Arial" w:hAnsi="Arial" w:cs="Arial"/>
                <w:sz w:val="20"/>
                <w:szCs w:val="20"/>
              </w:rPr>
            </w:pPr>
          </w:p>
        </w:tc>
        <w:tc>
          <w:tcPr>
            <w:tcW w:w="1870" w:type="dxa"/>
          </w:tcPr>
          <w:p w:rsidR="003C076B" w:rsidRDefault="003C076B" w:rsidP="003C076B">
            <w:pPr>
              <w:rPr>
                <w:rFonts w:ascii="Arial" w:hAnsi="Arial" w:cs="Arial"/>
                <w:sz w:val="20"/>
                <w:szCs w:val="20"/>
              </w:rPr>
            </w:pPr>
          </w:p>
          <w:p w:rsidR="003C076B" w:rsidRDefault="003C076B" w:rsidP="003C076B">
            <w:pPr>
              <w:rPr>
                <w:rFonts w:ascii="Arial" w:hAnsi="Arial" w:cs="Arial"/>
                <w:sz w:val="20"/>
                <w:szCs w:val="20"/>
              </w:rPr>
            </w:pPr>
          </w:p>
          <w:p w:rsidR="003C076B" w:rsidRPr="00360DCD" w:rsidRDefault="003C076B" w:rsidP="003C076B">
            <w:pPr>
              <w:rPr>
                <w:rFonts w:ascii="Arial" w:hAnsi="Arial" w:cs="Arial"/>
                <w:sz w:val="20"/>
                <w:szCs w:val="20"/>
              </w:rPr>
            </w:pPr>
            <w:r>
              <w:rPr>
                <w:rFonts w:ascii="Arial" w:hAnsi="Arial" w:cs="Arial"/>
                <w:sz w:val="20"/>
                <w:szCs w:val="20"/>
              </w:rPr>
              <w:t>N/A</w:t>
            </w:r>
          </w:p>
        </w:tc>
        <w:tc>
          <w:tcPr>
            <w:tcW w:w="3605" w:type="dxa"/>
          </w:tcPr>
          <w:p w:rsidR="003C076B" w:rsidRDefault="003C076B" w:rsidP="003C076B">
            <w:pPr>
              <w:rPr>
                <w:rFonts w:ascii="Arial" w:hAnsi="Arial" w:cs="Arial"/>
                <w:sz w:val="20"/>
                <w:szCs w:val="20"/>
              </w:rPr>
            </w:pPr>
          </w:p>
          <w:p w:rsidR="003C076B" w:rsidRDefault="003C076B" w:rsidP="003C076B">
            <w:pPr>
              <w:rPr>
                <w:rFonts w:ascii="Arial" w:hAnsi="Arial" w:cs="Arial"/>
                <w:sz w:val="20"/>
                <w:szCs w:val="20"/>
              </w:rPr>
            </w:pPr>
          </w:p>
          <w:p w:rsidR="003C076B" w:rsidRPr="00360DCD" w:rsidRDefault="003C076B" w:rsidP="003C076B">
            <w:pPr>
              <w:rPr>
                <w:rFonts w:ascii="Arial" w:hAnsi="Arial" w:cs="Arial"/>
                <w:sz w:val="20"/>
                <w:szCs w:val="20"/>
              </w:rPr>
            </w:pPr>
            <w:r>
              <w:rPr>
                <w:rFonts w:ascii="Arial" w:hAnsi="Arial" w:cs="Arial"/>
                <w:sz w:val="20"/>
                <w:szCs w:val="20"/>
              </w:rPr>
              <w:t>N/A</w:t>
            </w:r>
          </w:p>
        </w:tc>
        <w:tc>
          <w:tcPr>
            <w:tcW w:w="1870" w:type="dxa"/>
          </w:tcPr>
          <w:p w:rsidR="003C076B" w:rsidRPr="00360DCD" w:rsidRDefault="003C076B" w:rsidP="003C076B">
            <w:pPr>
              <w:rPr>
                <w:rFonts w:ascii="Arial" w:hAnsi="Arial" w:cs="Arial"/>
                <w:sz w:val="20"/>
                <w:szCs w:val="20"/>
              </w:rPr>
            </w:pPr>
          </w:p>
        </w:tc>
      </w:tr>
    </w:tbl>
    <w:p w:rsidR="003C2031" w:rsidRDefault="003C2031" w:rsidP="003C2031">
      <w:pPr>
        <w:spacing w:after="0"/>
        <w:rPr>
          <w:rFonts w:ascii="Arial" w:hAnsi="Arial" w:cs="Arial"/>
          <w:sz w:val="24"/>
          <w:szCs w:val="24"/>
        </w:rPr>
      </w:pPr>
    </w:p>
    <w:p w:rsidR="00003016" w:rsidRDefault="00003016" w:rsidP="009432EE">
      <w:pPr>
        <w:pStyle w:val="ListParagraph"/>
        <w:numPr>
          <w:ilvl w:val="0"/>
          <w:numId w:val="13"/>
        </w:numPr>
        <w:rPr>
          <w:rFonts w:ascii="Arial" w:hAnsi="Arial" w:cs="Arial"/>
          <w:sz w:val="24"/>
          <w:szCs w:val="24"/>
        </w:rPr>
      </w:pPr>
      <w:r>
        <w:rPr>
          <w:rFonts w:ascii="Arial" w:hAnsi="Arial" w:cs="Arial"/>
          <w:sz w:val="24"/>
          <w:szCs w:val="24"/>
        </w:rPr>
        <w:t xml:space="preserve">The applicant has identified </w:t>
      </w:r>
      <w:r w:rsidR="009432EE">
        <w:rPr>
          <w:rFonts w:ascii="Arial" w:hAnsi="Arial" w:cs="Arial"/>
          <w:sz w:val="24"/>
          <w:szCs w:val="24"/>
        </w:rPr>
        <w:t xml:space="preserve">an </w:t>
      </w:r>
      <w:r>
        <w:rPr>
          <w:rFonts w:ascii="Arial" w:hAnsi="Arial" w:cs="Arial"/>
          <w:sz w:val="24"/>
          <w:szCs w:val="24"/>
        </w:rPr>
        <w:t>adjus</w:t>
      </w:r>
      <w:r w:rsidR="009432EE">
        <w:rPr>
          <w:rFonts w:ascii="Arial" w:hAnsi="Arial" w:cs="Arial"/>
          <w:sz w:val="24"/>
          <w:szCs w:val="24"/>
        </w:rPr>
        <w:t>tment</w:t>
      </w:r>
      <w:r>
        <w:rPr>
          <w:rFonts w:ascii="Arial" w:hAnsi="Arial" w:cs="Arial"/>
          <w:sz w:val="24"/>
          <w:szCs w:val="24"/>
        </w:rPr>
        <w:t xml:space="preserve"> in 1b) of the Note 5 reconciliation related to the RPP settlement process:</w:t>
      </w:r>
    </w:p>
    <w:p w:rsidR="00003016" w:rsidRDefault="00003016" w:rsidP="009432EE">
      <w:pPr>
        <w:pStyle w:val="ListParagraph"/>
        <w:numPr>
          <w:ilvl w:val="1"/>
          <w:numId w:val="13"/>
        </w:numPr>
        <w:spacing w:after="0"/>
        <w:rPr>
          <w:rFonts w:ascii="Arial" w:hAnsi="Arial" w:cs="Arial"/>
          <w:sz w:val="24"/>
          <w:szCs w:val="24"/>
        </w:rPr>
      </w:pPr>
      <w:r>
        <w:rPr>
          <w:rFonts w:ascii="Arial" w:hAnsi="Arial" w:cs="Arial"/>
          <w:sz w:val="24"/>
          <w:szCs w:val="24"/>
        </w:rPr>
        <w:t>Has this true-up adjustment been reflected in the balances</w:t>
      </w:r>
      <w:r w:rsidR="009432EE">
        <w:rPr>
          <w:rFonts w:ascii="Arial" w:hAnsi="Arial" w:cs="Arial"/>
          <w:sz w:val="24"/>
          <w:szCs w:val="24"/>
        </w:rPr>
        <w:t xml:space="preserve"> being sought for disposition</w:t>
      </w:r>
      <w:r>
        <w:rPr>
          <w:rFonts w:ascii="Arial" w:hAnsi="Arial" w:cs="Arial"/>
          <w:sz w:val="24"/>
          <w:szCs w:val="24"/>
        </w:rPr>
        <w:t xml:space="preserve"> within the DVA continuity schedule?   If not, please explain why.</w:t>
      </w:r>
    </w:p>
    <w:p w:rsidR="003C076B" w:rsidRDefault="003C076B" w:rsidP="003C076B">
      <w:pPr>
        <w:spacing w:after="0"/>
        <w:ind w:left="1080"/>
        <w:rPr>
          <w:rFonts w:ascii="Arial" w:hAnsi="Arial" w:cs="Arial"/>
          <w:sz w:val="24"/>
          <w:szCs w:val="24"/>
        </w:rPr>
      </w:pPr>
    </w:p>
    <w:p w:rsidR="00E6300C" w:rsidRDefault="003C076B" w:rsidP="00E6300C">
      <w:pPr>
        <w:spacing w:after="0"/>
        <w:rPr>
          <w:rFonts w:ascii="Arial" w:hAnsi="Arial" w:cs="Arial"/>
          <w:color w:val="1F497D" w:themeColor="text2"/>
          <w:sz w:val="24"/>
          <w:szCs w:val="24"/>
        </w:rPr>
      </w:pPr>
      <w:r>
        <w:rPr>
          <w:rFonts w:ascii="Arial" w:hAnsi="Arial" w:cs="Arial"/>
          <w:color w:val="1F497D" w:themeColor="text2"/>
          <w:sz w:val="24"/>
          <w:szCs w:val="24"/>
        </w:rPr>
        <w:t xml:space="preserve">LPDL: No, the 1b) adjustment is not reflected in the </w:t>
      </w:r>
      <w:proofErr w:type="spellStart"/>
      <w:r>
        <w:rPr>
          <w:rFonts w:ascii="Arial" w:hAnsi="Arial" w:cs="Arial"/>
          <w:color w:val="1F497D" w:themeColor="text2"/>
          <w:sz w:val="24"/>
          <w:szCs w:val="24"/>
        </w:rPr>
        <w:t>year end</w:t>
      </w:r>
      <w:proofErr w:type="spellEnd"/>
      <w:r>
        <w:rPr>
          <w:rFonts w:ascii="Arial" w:hAnsi="Arial" w:cs="Arial"/>
          <w:color w:val="1F497D" w:themeColor="text2"/>
          <w:sz w:val="24"/>
          <w:szCs w:val="24"/>
        </w:rPr>
        <w:t xml:space="preserve"> balance and thus not included in the DVA</w:t>
      </w:r>
      <w:r w:rsidR="00E6300C">
        <w:rPr>
          <w:rFonts w:ascii="Arial" w:hAnsi="Arial" w:cs="Arial"/>
          <w:color w:val="1F497D" w:themeColor="text2"/>
          <w:sz w:val="24"/>
          <w:szCs w:val="24"/>
        </w:rPr>
        <w:t xml:space="preserve">. The 1b) adjustments were identified through this GA analysis process and this adjustment in methodology will be used going forward.  LPDL did not include it in the DVA balance as it was believed to be immaterial </w:t>
      </w:r>
      <w:r w:rsidR="000E01B9">
        <w:rPr>
          <w:rFonts w:ascii="Arial" w:hAnsi="Arial" w:cs="Arial"/>
          <w:color w:val="1F497D" w:themeColor="text2"/>
          <w:sz w:val="24"/>
          <w:szCs w:val="24"/>
        </w:rPr>
        <w:t xml:space="preserve">and will book this adjustment in 2017.  </w:t>
      </w:r>
      <w:r w:rsidR="00E6300C">
        <w:rPr>
          <w:rFonts w:ascii="Arial" w:hAnsi="Arial" w:cs="Arial"/>
          <w:color w:val="1F497D" w:themeColor="text2"/>
          <w:sz w:val="24"/>
          <w:szCs w:val="24"/>
        </w:rPr>
        <w:t>LPDL is willing to include this adjustment in the DVA balance if required.</w:t>
      </w:r>
    </w:p>
    <w:p w:rsidR="003C076B" w:rsidRDefault="003C076B" w:rsidP="003C076B">
      <w:pPr>
        <w:pStyle w:val="ListParagraph"/>
        <w:spacing w:after="0"/>
        <w:ind w:left="1440"/>
        <w:rPr>
          <w:rFonts w:ascii="Arial" w:hAnsi="Arial" w:cs="Arial"/>
          <w:sz w:val="24"/>
          <w:szCs w:val="24"/>
        </w:rPr>
      </w:pPr>
    </w:p>
    <w:p w:rsidR="009432EE" w:rsidRDefault="009432EE" w:rsidP="009432EE">
      <w:pPr>
        <w:pStyle w:val="ListParagraph"/>
        <w:numPr>
          <w:ilvl w:val="1"/>
          <w:numId w:val="13"/>
        </w:numPr>
        <w:spacing w:after="0"/>
        <w:rPr>
          <w:rFonts w:ascii="Arial" w:hAnsi="Arial" w:cs="Arial"/>
          <w:sz w:val="24"/>
          <w:szCs w:val="24"/>
        </w:rPr>
      </w:pPr>
      <w:r>
        <w:rPr>
          <w:rFonts w:ascii="Arial" w:hAnsi="Arial" w:cs="Arial"/>
          <w:sz w:val="24"/>
          <w:szCs w:val="24"/>
        </w:rPr>
        <w:t>Please explain why an adjustment for 1a) was not required</w:t>
      </w:r>
    </w:p>
    <w:p w:rsidR="003C076B" w:rsidRDefault="003C076B" w:rsidP="003C076B">
      <w:pPr>
        <w:spacing w:after="0"/>
        <w:ind w:left="720"/>
        <w:rPr>
          <w:rFonts w:ascii="Arial" w:hAnsi="Arial" w:cs="Arial"/>
          <w:sz w:val="24"/>
          <w:szCs w:val="24"/>
        </w:rPr>
      </w:pPr>
    </w:p>
    <w:p w:rsidR="003C076B" w:rsidRDefault="003C076B" w:rsidP="003C076B">
      <w:pPr>
        <w:spacing w:after="0"/>
        <w:ind w:left="360"/>
        <w:rPr>
          <w:rFonts w:ascii="Arial" w:hAnsi="Arial" w:cs="Arial"/>
          <w:color w:val="1F497D" w:themeColor="text2"/>
          <w:sz w:val="24"/>
          <w:szCs w:val="24"/>
        </w:rPr>
      </w:pPr>
      <w:r>
        <w:rPr>
          <w:rFonts w:ascii="Arial" w:hAnsi="Arial" w:cs="Arial"/>
          <w:color w:val="1F497D" w:themeColor="text2"/>
          <w:sz w:val="24"/>
          <w:szCs w:val="24"/>
        </w:rPr>
        <w:t xml:space="preserve">LPDL: There is no 1a) adjustment for PS as </w:t>
      </w:r>
      <w:r w:rsidR="000E01B9">
        <w:rPr>
          <w:rFonts w:ascii="Arial" w:hAnsi="Arial" w:cs="Arial"/>
          <w:color w:val="1F497D" w:themeColor="text2"/>
          <w:sz w:val="24"/>
          <w:szCs w:val="24"/>
        </w:rPr>
        <w:t>the item</w:t>
      </w:r>
      <w:r>
        <w:rPr>
          <w:rFonts w:ascii="Arial" w:hAnsi="Arial" w:cs="Arial"/>
          <w:color w:val="1F497D" w:themeColor="text2"/>
          <w:sz w:val="24"/>
          <w:szCs w:val="24"/>
        </w:rPr>
        <w:t xml:space="preserve"> was settled in 2015 and not applicable to 2016.</w:t>
      </w:r>
    </w:p>
    <w:p w:rsidR="003C076B" w:rsidRPr="003C076B" w:rsidRDefault="003C076B" w:rsidP="003C076B">
      <w:pPr>
        <w:spacing w:after="0"/>
        <w:ind w:left="720"/>
        <w:rPr>
          <w:rFonts w:ascii="Arial" w:hAnsi="Arial" w:cs="Arial"/>
          <w:color w:val="1F497D" w:themeColor="text2"/>
          <w:sz w:val="24"/>
          <w:szCs w:val="24"/>
        </w:rPr>
      </w:pPr>
    </w:p>
    <w:p w:rsidR="00003016" w:rsidRDefault="00003016" w:rsidP="009432EE">
      <w:pPr>
        <w:pStyle w:val="ListParagraph"/>
        <w:numPr>
          <w:ilvl w:val="1"/>
          <w:numId w:val="13"/>
        </w:numPr>
        <w:spacing w:after="0"/>
        <w:rPr>
          <w:rFonts w:ascii="Arial" w:hAnsi="Arial" w:cs="Arial"/>
          <w:sz w:val="24"/>
          <w:szCs w:val="24"/>
        </w:rPr>
      </w:pPr>
      <w:r>
        <w:rPr>
          <w:rFonts w:ascii="Arial" w:hAnsi="Arial" w:cs="Arial"/>
          <w:sz w:val="24"/>
          <w:szCs w:val="24"/>
        </w:rPr>
        <w:t>Do</w:t>
      </w:r>
      <w:r w:rsidR="009432EE">
        <w:rPr>
          <w:rFonts w:ascii="Arial" w:hAnsi="Arial" w:cs="Arial"/>
          <w:sz w:val="24"/>
          <w:szCs w:val="24"/>
        </w:rPr>
        <w:t>es</w:t>
      </w:r>
      <w:r>
        <w:rPr>
          <w:rFonts w:ascii="Arial" w:hAnsi="Arial" w:cs="Arial"/>
          <w:sz w:val="24"/>
          <w:szCs w:val="24"/>
        </w:rPr>
        <w:t xml:space="preserve"> the adjustment in </w:t>
      </w:r>
      <w:r w:rsidR="009432EE">
        <w:rPr>
          <w:rFonts w:ascii="Arial" w:hAnsi="Arial" w:cs="Arial"/>
          <w:sz w:val="24"/>
          <w:szCs w:val="24"/>
        </w:rPr>
        <w:t>1b also include a</w:t>
      </w:r>
      <w:r>
        <w:rPr>
          <w:rFonts w:ascii="Arial" w:hAnsi="Arial" w:cs="Arial"/>
          <w:sz w:val="24"/>
          <w:szCs w:val="24"/>
        </w:rPr>
        <w:t xml:space="preserve"> true-up related to the difference between the actual and estimated GA rate used by the applicant?  If not, please explain why such a true-up would not be required.</w:t>
      </w:r>
    </w:p>
    <w:p w:rsidR="00003016" w:rsidRDefault="00003016" w:rsidP="003C2031">
      <w:pPr>
        <w:spacing w:after="0"/>
        <w:rPr>
          <w:rFonts w:ascii="Arial" w:hAnsi="Arial" w:cs="Arial"/>
          <w:sz w:val="24"/>
          <w:szCs w:val="24"/>
        </w:rPr>
      </w:pPr>
    </w:p>
    <w:p w:rsidR="003C076B" w:rsidRPr="00823F90" w:rsidRDefault="003C076B" w:rsidP="003C076B">
      <w:pPr>
        <w:spacing w:after="0"/>
        <w:ind w:left="360"/>
        <w:rPr>
          <w:rFonts w:ascii="Arial" w:hAnsi="Arial" w:cs="Arial"/>
          <w:color w:val="1F497D" w:themeColor="text2"/>
          <w:sz w:val="24"/>
          <w:szCs w:val="24"/>
        </w:rPr>
      </w:pPr>
      <w:r w:rsidRPr="00823F90">
        <w:rPr>
          <w:rFonts w:ascii="Arial" w:hAnsi="Arial" w:cs="Arial"/>
          <w:color w:val="1F497D" w:themeColor="text2"/>
          <w:sz w:val="24"/>
          <w:szCs w:val="24"/>
        </w:rPr>
        <w:t>LPDL:  Yes, the true-up adjustment booked in the year does include the true-up from estimate to actual GA rates.</w:t>
      </w:r>
    </w:p>
    <w:p w:rsidR="003C076B" w:rsidRDefault="003C076B" w:rsidP="003C076B">
      <w:pPr>
        <w:spacing w:after="0"/>
        <w:ind w:left="360"/>
        <w:rPr>
          <w:rFonts w:ascii="Arial" w:hAnsi="Arial" w:cs="Arial"/>
          <w:sz w:val="24"/>
          <w:szCs w:val="24"/>
        </w:rPr>
      </w:pPr>
    </w:p>
    <w:p w:rsidR="009432EE" w:rsidRPr="00BE2DAE" w:rsidRDefault="009432EE" w:rsidP="00BE2DAE">
      <w:pPr>
        <w:pStyle w:val="ListParagraph"/>
        <w:numPr>
          <w:ilvl w:val="0"/>
          <w:numId w:val="13"/>
        </w:numPr>
        <w:spacing w:after="0"/>
        <w:rPr>
          <w:rFonts w:ascii="Arial" w:hAnsi="Arial" w:cs="Arial"/>
          <w:sz w:val="24"/>
          <w:szCs w:val="24"/>
        </w:rPr>
      </w:pPr>
      <w:r w:rsidRPr="00BE2DAE">
        <w:rPr>
          <w:rFonts w:ascii="Arial" w:hAnsi="Arial" w:cs="Arial"/>
          <w:sz w:val="24"/>
          <w:szCs w:val="24"/>
        </w:rPr>
        <w:t xml:space="preserve">The applicant has not recorded any balances for reconciling items 2a and 2b in Note 5 of the GA Analysis </w:t>
      </w:r>
      <w:proofErr w:type="spellStart"/>
      <w:r w:rsidRPr="00BE2DAE">
        <w:rPr>
          <w:rFonts w:ascii="Arial" w:hAnsi="Arial" w:cs="Arial"/>
          <w:sz w:val="24"/>
          <w:szCs w:val="24"/>
        </w:rPr>
        <w:t>Workform</w:t>
      </w:r>
      <w:proofErr w:type="spellEnd"/>
      <w:r w:rsidRPr="00BE2DAE">
        <w:rPr>
          <w:rFonts w:ascii="Arial" w:hAnsi="Arial" w:cs="Arial"/>
          <w:sz w:val="24"/>
          <w:szCs w:val="24"/>
        </w:rPr>
        <w:t xml:space="preserve">.  These reconciling items typically comprise of the difference between amounts accrued for unbilled compared to the actual amounts that were billed subsequently in relation to the unbilled accruals.  Please explain why there would be no discrepancy between accrual and actual? </w:t>
      </w:r>
    </w:p>
    <w:p w:rsidR="009432EE" w:rsidRDefault="009432EE" w:rsidP="009432EE">
      <w:pPr>
        <w:spacing w:after="0"/>
        <w:rPr>
          <w:rFonts w:ascii="Arial" w:hAnsi="Arial" w:cs="Arial"/>
          <w:sz w:val="24"/>
          <w:szCs w:val="24"/>
        </w:rPr>
      </w:pPr>
    </w:p>
    <w:p w:rsidR="003C076B" w:rsidRPr="00BC14A9" w:rsidRDefault="003C076B" w:rsidP="003C076B">
      <w:pPr>
        <w:spacing w:after="0"/>
        <w:ind w:left="360"/>
        <w:rPr>
          <w:rFonts w:ascii="Arial" w:hAnsi="Arial" w:cs="Arial"/>
          <w:color w:val="1F497D" w:themeColor="text2"/>
          <w:sz w:val="24"/>
          <w:szCs w:val="24"/>
        </w:rPr>
      </w:pPr>
      <w:r>
        <w:rPr>
          <w:rFonts w:ascii="Arial" w:hAnsi="Arial" w:cs="Arial"/>
          <w:color w:val="1F497D" w:themeColor="text2"/>
          <w:sz w:val="24"/>
          <w:szCs w:val="24"/>
        </w:rPr>
        <w:t xml:space="preserve">LPDL: There is no reconciling item for an accrual vs actual discrepancy since LPDL does a true up adjustment to actuals, including December actuals, and records this true up to December so it is included in the </w:t>
      </w:r>
      <w:proofErr w:type="spellStart"/>
      <w:r>
        <w:rPr>
          <w:rFonts w:ascii="Arial" w:hAnsi="Arial" w:cs="Arial"/>
          <w:color w:val="1F497D" w:themeColor="text2"/>
          <w:sz w:val="24"/>
          <w:szCs w:val="24"/>
        </w:rPr>
        <w:t>year end</w:t>
      </w:r>
      <w:proofErr w:type="spellEnd"/>
      <w:r>
        <w:rPr>
          <w:rFonts w:ascii="Arial" w:hAnsi="Arial" w:cs="Arial"/>
          <w:color w:val="1F497D" w:themeColor="text2"/>
          <w:sz w:val="24"/>
          <w:szCs w:val="24"/>
        </w:rPr>
        <w:t xml:space="preserve"> balance.</w:t>
      </w:r>
    </w:p>
    <w:p w:rsidR="003C076B" w:rsidRDefault="003C076B" w:rsidP="009432EE">
      <w:pPr>
        <w:spacing w:after="0"/>
        <w:rPr>
          <w:rFonts w:ascii="Arial" w:hAnsi="Arial" w:cs="Arial"/>
          <w:sz w:val="24"/>
          <w:szCs w:val="24"/>
        </w:rPr>
      </w:pPr>
    </w:p>
    <w:p w:rsidR="009432EE" w:rsidRPr="003C2031" w:rsidRDefault="009432EE" w:rsidP="003C2031">
      <w:pPr>
        <w:spacing w:after="0"/>
        <w:rPr>
          <w:rFonts w:ascii="Arial" w:hAnsi="Arial" w:cs="Arial"/>
          <w:sz w:val="24"/>
          <w:szCs w:val="24"/>
        </w:rPr>
      </w:pPr>
    </w:p>
    <w:sectPr w:rsidR="009432EE" w:rsidRPr="003C2031"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60F"/>
    <w:multiLevelType w:val="hybridMultilevel"/>
    <w:tmpl w:val="D1B49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4058B7"/>
    <w:multiLevelType w:val="hybridMultilevel"/>
    <w:tmpl w:val="5220044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20830148"/>
    <w:multiLevelType w:val="hybridMultilevel"/>
    <w:tmpl w:val="587C2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D262A"/>
    <w:multiLevelType w:val="hybridMultilevel"/>
    <w:tmpl w:val="AC363F10"/>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43681FAB"/>
    <w:multiLevelType w:val="multilevel"/>
    <w:tmpl w:val="E52C4B0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4011984"/>
    <w:multiLevelType w:val="hybridMultilevel"/>
    <w:tmpl w:val="2BEA2AB8"/>
    <w:lvl w:ilvl="0" w:tplc="1009001B">
      <w:start w:val="1"/>
      <w:numFmt w:val="lowerRoman"/>
      <w:lvlText w:val="%1."/>
      <w:lvlJc w:val="righ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7">
    <w:nsid w:val="4DF2781D"/>
    <w:multiLevelType w:val="hybridMultilevel"/>
    <w:tmpl w:val="49968F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903DE"/>
    <w:multiLevelType w:val="hybridMultilevel"/>
    <w:tmpl w:val="A09E44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A28ED4E">
      <w:start w:val="4"/>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23C7C"/>
    <w:multiLevelType w:val="hybridMultilevel"/>
    <w:tmpl w:val="18A60656"/>
    <w:lvl w:ilvl="0" w:tplc="91CEFBE4">
      <w:start w:val="2016"/>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741BF"/>
    <w:multiLevelType w:val="hybridMultilevel"/>
    <w:tmpl w:val="E1E48F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24957FE"/>
    <w:multiLevelType w:val="hybridMultilevel"/>
    <w:tmpl w:val="52FCE65C"/>
    <w:lvl w:ilvl="0" w:tplc="DF2C24B4">
      <w:start w:val="2016"/>
      <w:numFmt w:val="decimal"/>
      <w:lvlText w:val="%1"/>
      <w:lvlJc w:val="left"/>
      <w:pPr>
        <w:ind w:left="880" w:hanging="5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2E4EC1"/>
    <w:multiLevelType w:val="hybridMultilevel"/>
    <w:tmpl w:val="A676732E"/>
    <w:lvl w:ilvl="0" w:tplc="8474E5F0">
      <w:start w:val="2016"/>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0"/>
  </w:num>
  <w:num w:numId="2">
    <w:abstractNumId w:val="14"/>
  </w:num>
  <w:num w:numId="3">
    <w:abstractNumId w:val="13"/>
  </w:num>
  <w:num w:numId="4">
    <w:abstractNumId w:val="2"/>
  </w:num>
  <w:num w:numId="5">
    <w:abstractNumId w:val="4"/>
  </w:num>
  <w:num w:numId="6">
    <w:abstractNumId w:val="6"/>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7"/>
  </w:num>
  <w:num w:numId="13">
    <w:abstractNumId w:val="8"/>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D6"/>
    <w:rsid w:val="00003016"/>
    <w:rsid w:val="000162D6"/>
    <w:rsid w:val="000E01B9"/>
    <w:rsid w:val="001B35AC"/>
    <w:rsid w:val="001F201C"/>
    <w:rsid w:val="001F3F93"/>
    <w:rsid w:val="002B28DE"/>
    <w:rsid w:val="00354FA5"/>
    <w:rsid w:val="00360DCD"/>
    <w:rsid w:val="003C076B"/>
    <w:rsid w:val="003C2031"/>
    <w:rsid w:val="00412DC6"/>
    <w:rsid w:val="00460832"/>
    <w:rsid w:val="00477F93"/>
    <w:rsid w:val="004E0A3D"/>
    <w:rsid w:val="0052514B"/>
    <w:rsid w:val="0067142E"/>
    <w:rsid w:val="00703C37"/>
    <w:rsid w:val="00746080"/>
    <w:rsid w:val="007B4E89"/>
    <w:rsid w:val="007F4ECE"/>
    <w:rsid w:val="00823F90"/>
    <w:rsid w:val="008C3D92"/>
    <w:rsid w:val="008F63AB"/>
    <w:rsid w:val="00914D6A"/>
    <w:rsid w:val="009432EE"/>
    <w:rsid w:val="00A456E2"/>
    <w:rsid w:val="00A61DEC"/>
    <w:rsid w:val="00AA06D9"/>
    <w:rsid w:val="00AF1E7C"/>
    <w:rsid w:val="00B220F6"/>
    <w:rsid w:val="00B25576"/>
    <w:rsid w:val="00BC14A9"/>
    <w:rsid w:val="00BE2DAE"/>
    <w:rsid w:val="00C15ADC"/>
    <w:rsid w:val="00CA78F5"/>
    <w:rsid w:val="00D37EC5"/>
    <w:rsid w:val="00E6300C"/>
    <w:rsid w:val="00E94282"/>
    <w:rsid w:val="00EA0919"/>
    <w:rsid w:val="00F86F1A"/>
    <w:rsid w:val="00FB0BA0"/>
    <w:rsid w:val="00FB78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D6"/>
    <w:pPr>
      <w:ind w:left="720"/>
      <w:contextualSpacing/>
    </w:pPr>
  </w:style>
  <w:style w:type="paragraph" w:styleId="BalloonText">
    <w:name w:val="Balloon Text"/>
    <w:basedOn w:val="Normal"/>
    <w:link w:val="BalloonTextChar"/>
    <w:uiPriority w:val="99"/>
    <w:semiHidden/>
    <w:unhideWhenUsed/>
    <w:rsid w:val="00703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37"/>
    <w:rPr>
      <w:rFonts w:ascii="Segoe UI" w:hAnsi="Segoe UI" w:cs="Segoe UI"/>
      <w:sz w:val="18"/>
      <w:szCs w:val="18"/>
    </w:rPr>
  </w:style>
  <w:style w:type="table" w:styleId="TableGrid">
    <w:name w:val="Table Grid"/>
    <w:basedOn w:val="TableNormal"/>
    <w:uiPriority w:val="59"/>
    <w:rsid w:val="0070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8DE"/>
    <w:rPr>
      <w:sz w:val="16"/>
      <w:szCs w:val="16"/>
    </w:rPr>
  </w:style>
  <w:style w:type="paragraph" w:styleId="CommentText">
    <w:name w:val="annotation text"/>
    <w:basedOn w:val="Normal"/>
    <w:link w:val="CommentTextChar"/>
    <w:uiPriority w:val="99"/>
    <w:semiHidden/>
    <w:unhideWhenUsed/>
    <w:rsid w:val="002B28DE"/>
    <w:pPr>
      <w:spacing w:line="240" w:lineRule="auto"/>
    </w:pPr>
    <w:rPr>
      <w:sz w:val="20"/>
      <w:szCs w:val="20"/>
    </w:rPr>
  </w:style>
  <w:style w:type="character" w:customStyle="1" w:styleId="CommentTextChar">
    <w:name w:val="Comment Text Char"/>
    <w:basedOn w:val="DefaultParagraphFont"/>
    <w:link w:val="CommentText"/>
    <w:uiPriority w:val="99"/>
    <w:semiHidden/>
    <w:rsid w:val="002B28DE"/>
    <w:rPr>
      <w:sz w:val="20"/>
      <w:szCs w:val="20"/>
    </w:rPr>
  </w:style>
  <w:style w:type="paragraph" w:styleId="CommentSubject">
    <w:name w:val="annotation subject"/>
    <w:basedOn w:val="CommentText"/>
    <w:next w:val="CommentText"/>
    <w:link w:val="CommentSubjectChar"/>
    <w:uiPriority w:val="99"/>
    <w:semiHidden/>
    <w:unhideWhenUsed/>
    <w:rsid w:val="002B28DE"/>
    <w:rPr>
      <w:b/>
      <w:bCs/>
    </w:rPr>
  </w:style>
  <w:style w:type="character" w:customStyle="1" w:styleId="CommentSubjectChar">
    <w:name w:val="Comment Subject Char"/>
    <w:basedOn w:val="CommentTextChar"/>
    <w:link w:val="CommentSubject"/>
    <w:uiPriority w:val="99"/>
    <w:semiHidden/>
    <w:rsid w:val="002B28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D6"/>
    <w:pPr>
      <w:ind w:left="720"/>
      <w:contextualSpacing/>
    </w:pPr>
  </w:style>
  <w:style w:type="paragraph" w:styleId="BalloonText">
    <w:name w:val="Balloon Text"/>
    <w:basedOn w:val="Normal"/>
    <w:link w:val="BalloonTextChar"/>
    <w:uiPriority w:val="99"/>
    <w:semiHidden/>
    <w:unhideWhenUsed/>
    <w:rsid w:val="00703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37"/>
    <w:rPr>
      <w:rFonts w:ascii="Segoe UI" w:hAnsi="Segoe UI" w:cs="Segoe UI"/>
      <w:sz w:val="18"/>
      <w:szCs w:val="18"/>
    </w:rPr>
  </w:style>
  <w:style w:type="table" w:styleId="TableGrid">
    <w:name w:val="Table Grid"/>
    <w:basedOn w:val="TableNormal"/>
    <w:uiPriority w:val="59"/>
    <w:rsid w:val="0070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8DE"/>
    <w:rPr>
      <w:sz w:val="16"/>
      <w:szCs w:val="16"/>
    </w:rPr>
  </w:style>
  <w:style w:type="paragraph" w:styleId="CommentText">
    <w:name w:val="annotation text"/>
    <w:basedOn w:val="Normal"/>
    <w:link w:val="CommentTextChar"/>
    <w:uiPriority w:val="99"/>
    <w:semiHidden/>
    <w:unhideWhenUsed/>
    <w:rsid w:val="002B28DE"/>
    <w:pPr>
      <w:spacing w:line="240" w:lineRule="auto"/>
    </w:pPr>
    <w:rPr>
      <w:sz w:val="20"/>
      <w:szCs w:val="20"/>
    </w:rPr>
  </w:style>
  <w:style w:type="character" w:customStyle="1" w:styleId="CommentTextChar">
    <w:name w:val="Comment Text Char"/>
    <w:basedOn w:val="DefaultParagraphFont"/>
    <w:link w:val="CommentText"/>
    <w:uiPriority w:val="99"/>
    <w:semiHidden/>
    <w:rsid w:val="002B28DE"/>
    <w:rPr>
      <w:sz w:val="20"/>
      <w:szCs w:val="20"/>
    </w:rPr>
  </w:style>
  <w:style w:type="paragraph" w:styleId="CommentSubject">
    <w:name w:val="annotation subject"/>
    <w:basedOn w:val="CommentText"/>
    <w:next w:val="CommentText"/>
    <w:link w:val="CommentSubjectChar"/>
    <w:uiPriority w:val="99"/>
    <w:semiHidden/>
    <w:unhideWhenUsed/>
    <w:rsid w:val="002B28DE"/>
    <w:rPr>
      <w:b/>
      <w:bCs/>
    </w:rPr>
  </w:style>
  <w:style w:type="character" w:customStyle="1" w:styleId="CommentSubjectChar">
    <w:name w:val="Comment Subject Char"/>
    <w:basedOn w:val="CommentTextChar"/>
    <w:link w:val="CommentSubject"/>
    <w:uiPriority w:val="99"/>
    <w:semiHidden/>
    <w:rsid w:val="002B28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6907">
      <w:bodyDiv w:val="1"/>
      <w:marLeft w:val="0"/>
      <w:marRight w:val="0"/>
      <w:marTop w:val="0"/>
      <w:marBottom w:val="0"/>
      <w:divBdr>
        <w:top w:val="none" w:sz="0" w:space="0" w:color="auto"/>
        <w:left w:val="none" w:sz="0" w:space="0" w:color="auto"/>
        <w:bottom w:val="none" w:sz="0" w:space="0" w:color="auto"/>
        <w:right w:val="none" w:sz="0" w:space="0" w:color="auto"/>
      </w:divBdr>
    </w:div>
    <w:div w:id="401954404">
      <w:bodyDiv w:val="1"/>
      <w:marLeft w:val="0"/>
      <w:marRight w:val="0"/>
      <w:marTop w:val="0"/>
      <w:marBottom w:val="0"/>
      <w:divBdr>
        <w:top w:val="none" w:sz="0" w:space="0" w:color="auto"/>
        <w:left w:val="none" w:sz="0" w:space="0" w:color="auto"/>
        <w:bottom w:val="none" w:sz="0" w:space="0" w:color="auto"/>
        <w:right w:val="none" w:sz="0" w:space="0" w:color="auto"/>
      </w:divBdr>
    </w:div>
    <w:div w:id="8296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1660A-8CA7-48FA-AC0A-D21B409C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Kwan</dc:creator>
  <cp:lastModifiedBy>Dawn Punkari</cp:lastModifiedBy>
  <cp:revision>6</cp:revision>
  <cp:lastPrinted>2017-09-01T14:58:00Z</cp:lastPrinted>
  <dcterms:created xsi:type="dcterms:W3CDTF">2017-11-09T14:35:00Z</dcterms:created>
  <dcterms:modified xsi:type="dcterms:W3CDTF">2017-11-09T15:57:00Z</dcterms:modified>
</cp:coreProperties>
</file>