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8F" w:rsidRPr="003832E7" w:rsidRDefault="0007578F" w:rsidP="0007578F">
      <w:pPr>
        <w:pStyle w:val="Default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North Bay Hydro Distribution Inc. </w:t>
      </w:r>
    </w:p>
    <w:p w:rsidR="0007578F" w:rsidRDefault="0007578F" w:rsidP="0007578F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OEB Staff Questions</w:t>
      </w:r>
    </w:p>
    <w:p w:rsidR="0007578F" w:rsidRDefault="0007578F" w:rsidP="0007578F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EB-2017-0065 </w:t>
      </w:r>
    </w:p>
    <w:p w:rsidR="0043196F" w:rsidRDefault="00A9086E" w:rsidP="0043196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North Bay</w:t>
      </w:r>
    </w:p>
    <w:p w:rsidR="00AF1E7C" w:rsidRPr="0043196F" w:rsidRDefault="00AF1E7C" w:rsidP="0043196F">
      <w:pPr>
        <w:spacing w:after="0"/>
        <w:rPr>
          <w:rFonts w:ascii="Arial" w:hAnsi="Arial" w:cs="Arial"/>
          <w:b/>
          <w:sz w:val="24"/>
          <w:szCs w:val="24"/>
        </w:rPr>
      </w:pPr>
      <w:r w:rsidRPr="00AF1E7C">
        <w:rPr>
          <w:rFonts w:ascii="Arial" w:hAnsi="Arial" w:cs="Arial"/>
          <w:b/>
          <w:sz w:val="24"/>
          <w:szCs w:val="24"/>
        </w:rPr>
        <w:t>2016 GA Analysis Workform</w:t>
      </w:r>
    </w:p>
    <w:p w:rsidR="000162D6" w:rsidRPr="000162D6" w:rsidRDefault="000162D6" w:rsidP="000162D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In booking expense journal entries for Charge Type 1142 (formerly 142), and Charge Type 148 from the IESO invoice, please confirm which of the following approach is used:</w:t>
      </w:r>
    </w:p>
    <w:p w:rsidR="000162D6" w:rsidRDefault="000162D6" w:rsidP="000162D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1142 is booked into Account 1588. Charge Type 148 is pro-rated based on RPP/non-RPP consumption and then booked into Account 1588 and 1589, respectively</w:t>
      </w:r>
    </w:p>
    <w:p w:rsidR="000162D6" w:rsidRPr="000E217C" w:rsidRDefault="000162D6" w:rsidP="000162D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217C">
        <w:rPr>
          <w:rFonts w:ascii="Arial" w:hAnsi="Arial" w:cs="Arial"/>
          <w:sz w:val="24"/>
          <w:szCs w:val="24"/>
        </w:rPr>
        <w:t>Charge Type 148 is booked into Account 1589. The portion of Charge Type 1142 equalling RPP-HOEP for RPP consumption is booked into Account 1588. The portion of Charge Type 1142 equalling GA RPP is credited into Account 1589.</w:t>
      </w:r>
    </w:p>
    <w:p w:rsidR="000162D6" w:rsidRDefault="000162D6" w:rsidP="000162D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 xml:space="preserve"> Another approach.  Please explain this approach in detail.</w:t>
      </w:r>
    </w:p>
    <w:p w:rsidR="000E217C" w:rsidRDefault="000E217C" w:rsidP="000E217C">
      <w:pPr>
        <w:pStyle w:val="ListParagraph"/>
        <w:rPr>
          <w:rFonts w:ascii="Arial" w:hAnsi="Arial" w:cs="Arial"/>
          <w:sz w:val="24"/>
          <w:szCs w:val="24"/>
        </w:rPr>
      </w:pPr>
    </w:p>
    <w:p w:rsidR="000E217C" w:rsidRPr="000E217C" w:rsidRDefault="000E217C" w:rsidP="000E217C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0E217C">
        <w:rPr>
          <w:rFonts w:ascii="Arial" w:hAnsi="Arial" w:cs="Arial"/>
          <w:b/>
          <w:sz w:val="24"/>
          <w:szCs w:val="24"/>
          <w:u w:val="single"/>
        </w:rPr>
        <w:t>Response</w:t>
      </w:r>
    </w:p>
    <w:p w:rsidR="00914D6A" w:rsidRDefault="000E217C" w:rsidP="00914D6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NBHDL follows the approach explained in b).</w:t>
      </w:r>
    </w:p>
    <w:p w:rsidR="000E217C" w:rsidRDefault="000E217C" w:rsidP="00914D6A">
      <w:pPr>
        <w:pStyle w:val="ListParagraph"/>
        <w:rPr>
          <w:rFonts w:ascii="Arial" w:hAnsi="Arial" w:cs="Arial"/>
          <w:sz w:val="24"/>
          <w:szCs w:val="24"/>
        </w:rPr>
      </w:pPr>
    </w:p>
    <w:p w:rsidR="00916BA8" w:rsidRDefault="00916BA8" w:rsidP="00916B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03C37" w:rsidRPr="00916BA8">
        <w:rPr>
          <w:rFonts w:ascii="Arial" w:hAnsi="Arial" w:cs="Arial"/>
          <w:sz w:val="24"/>
          <w:szCs w:val="24"/>
        </w:rPr>
        <w:t xml:space="preserve"> regards to the D</w:t>
      </w:r>
      <w:r>
        <w:rPr>
          <w:rFonts w:ascii="Arial" w:hAnsi="Arial" w:cs="Arial"/>
          <w:sz w:val="24"/>
          <w:szCs w:val="24"/>
        </w:rPr>
        <w:t>ec. 31 balance in Account 1589:</w:t>
      </w:r>
    </w:p>
    <w:p w:rsidR="00916BA8" w:rsidRDefault="00916BA8" w:rsidP="00916BA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703C37" w:rsidRDefault="00916BA8" w:rsidP="00916BA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</w:t>
      </w:r>
      <w:r w:rsidR="007F4ECE" w:rsidRPr="00916BA8">
        <w:rPr>
          <w:rFonts w:ascii="Arial" w:hAnsi="Arial" w:cs="Arial"/>
          <w:sz w:val="24"/>
          <w:szCs w:val="24"/>
        </w:rPr>
        <w:t>ll</w:t>
      </w:r>
      <w:r w:rsidR="00360DCD" w:rsidRPr="00916BA8">
        <w:rPr>
          <w:rFonts w:ascii="Arial" w:hAnsi="Arial" w:cs="Arial"/>
          <w:sz w:val="24"/>
          <w:szCs w:val="24"/>
        </w:rPr>
        <w:t xml:space="preserve"> </w:t>
      </w:r>
      <w:r w:rsidR="00703C37" w:rsidRPr="00916BA8">
        <w:rPr>
          <w:rFonts w:ascii="Arial" w:hAnsi="Arial" w:cs="Arial"/>
          <w:sz w:val="24"/>
          <w:szCs w:val="24"/>
        </w:rPr>
        <w:t>components that flow into Account 1589 (</w:t>
      </w:r>
      <w:r>
        <w:rPr>
          <w:rFonts w:ascii="Arial" w:hAnsi="Arial" w:cs="Arial"/>
          <w:sz w:val="24"/>
          <w:szCs w:val="24"/>
        </w:rPr>
        <w:t xml:space="preserve">see items </w:t>
      </w:r>
      <w:proofErr w:type="spellStart"/>
      <w:r w:rsidR="00703C37" w:rsidRPr="00916BA8">
        <w:rPr>
          <w:rFonts w:ascii="Arial" w:hAnsi="Arial" w:cs="Arial"/>
          <w:sz w:val="24"/>
          <w:szCs w:val="24"/>
        </w:rPr>
        <w:t>i</w:t>
      </w:r>
      <w:proofErr w:type="spellEnd"/>
      <w:r w:rsidR="00703C37" w:rsidRPr="00916BA8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703C37" w:rsidRPr="00916BA8">
        <w:rPr>
          <w:rFonts w:ascii="Arial" w:hAnsi="Arial" w:cs="Arial"/>
          <w:sz w:val="24"/>
          <w:szCs w:val="24"/>
        </w:rPr>
        <w:t>iv</w:t>
      </w:r>
      <w:proofErr w:type="gramEnd"/>
      <w:r w:rsidR="00703C37" w:rsidRPr="00916BA8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the</w:t>
      </w:r>
      <w:r w:rsidR="00703C37" w:rsidRPr="00916BA8">
        <w:rPr>
          <w:rFonts w:ascii="Arial" w:hAnsi="Arial" w:cs="Arial"/>
          <w:sz w:val="24"/>
          <w:szCs w:val="24"/>
        </w:rPr>
        <w:t xml:space="preserve"> table below)</w:t>
      </w:r>
      <w:r>
        <w:rPr>
          <w:rFonts w:ascii="Arial" w:hAnsi="Arial" w:cs="Arial"/>
          <w:sz w:val="24"/>
          <w:szCs w:val="24"/>
        </w:rPr>
        <w:t xml:space="preserve">, please complete the table below and indicate whether the items listed have been recorded </w:t>
      </w:r>
      <w:r w:rsidRPr="000E217C">
        <w:rPr>
          <w:rFonts w:ascii="Arial" w:hAnsi="Arial" w:cs="Arial"/>
          <w:sz w:val="24"/>
          <w:szCs w:val="24"/>
        </w:rPr>
        <w:t xml:space="preserve">based on estimates or actuals at year-end. </w:t>
      </w:r>
      <w:r w:rsidR="00703C37" w:rsidRPr="000E217C">
        <w:rPr>
          <w:rFonts w:ascii="Arial" w:hAnsi="Arial" w:cs="Arial"/>
          <w:sz w:val="24"/>
          <w:szCs w:val="24"/>
        </w:rPr>
        <w:t xml:space="preserve"> </w:t>
      </w:r>
      <w:r w:rsidRPr="000E217C">
        <w:rPr>
          <w:rFonts w:ascii="Arial" w:hAnsi="Arial" w:cs="Arial"/>
          <w:sz w:val="24"/>
          <w:szCs w:val="24"/>
        </w:rPr>
        <w:t>Where</w:t>
      </w:r>
      <w:r>
        <w:rPr>
          <w:rFonts w:ascii="Arial" w:hAnsi="Arial" w:cs="Arial"/>
          <w:sz w:val="24"/>
          <w:szCs w:val="24"/>
        </w:rPr>
        <w:t xml:space="preserve"> an item has been recorded based on an estimate,</w:t>
      </w:r>
      <w:r w:rsidR="00703C37" w:rsidRPr="00916BA8">
        <w:rPr>
          <w:rFonts w:ascii="Arial" w:hAnsi="Arial" w:cs="Arial"/>
          <w:sz w:val="24"/>
          <w:szCs w:val="24"/>
        </w:rPr>
        <w:t xml:space="preserve"> quantify the adjustment </w:t>
      </w:r>
      <w:r>
        <w:rPr>
          <w:rFonts w:ascii="Arial" w:hAnsi="Arial" w:cs="Arial"/>
          <w:sz w:val="24"/>
          <w:szCs w:val="24"/>
        </w:rPr>
        <w:t xml:space="preserve">required for </w:t>
      </w:r>
      <w:r w:rsidR="00703C37" w:rsidRPr="00916BA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 w:rsidR="00703C37" w:rsidRPr="00916BA8">
        <w:rPr>
          <w:rFonts w:ascii="Arial" w:hAnsi="Arial" w:cs="Arial"/>
          <w:sz w:val="24"/>
          <w:szCs w:val="24"/>
        </w:rPr>
        <w:t xml:space="preserve"> true up from estimate to actual</w:t>
      </w:r>
      <w:r>
        <w:rPr>
          <w:rFonts w:ascii="Arial" w:hAnsi="Arial" w:cs="Arial"/>
          <w:sz w:val="24"/>
          <w:szCs w:val="24"/>
        </w:rPr>
        <w:t>.</w:t>
      </w:r>
    </w:p>
    <w:p w:rsidR="000E217C" w:rsidRDefault="000E217C" w:rsidP="000E217C">
      <w:pPr>
        <w:pStyle w:val="ListParagraph"/>
        <w:rPr>
          <w:rFonts w:ascii="Arial" w:hAnsi="Arial" w:cs="Arial"/>
          <w:sz w:val="24"/>
          <w:szCs w:val="24"/>
        </w:rPr>
      </w:pPr>
    </w:p>
    <w:p w:rsidR="000E217C" w:rsidRPr="000E217C" w:rsidRDefault="000E217C" w:rsidP="000E217C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0E217C">
        <w:rPr>
          <w:rFonts w:ascii="Arial" w:hAnsi="Arial" w:cs="Arial"/>
          <w:b/>
          <w:sz w:val="24"/>
          <w:szCs w:val="24"/>
          <w:u w:val="single"/>
        </w:rPr>
        <w:t>Response</w:t>
      </w:r>
    </w:p>
    <w:p w:rsidR="000E217C" w:rsidRPr="00916BA8" w:rsidRDefault="000E217C" w:rsidP="000E217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NBHDL has filled out the table below.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390"/>
        <w:gridCol w:w="1870"/>
        <w:gridCol w:w="1870"/>
        <w:gridCol w:w="3605"/>
        <w:gridCol w:w="1870"/>
      </w:tblGrid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a) Estimate or Actual</w:t>
            </w:r>
          </w:p>
        </w:tc>
        <w:tc>
          <w:tcPr>
            <w:tcW w:w="3605" w:type="dxa"/>
          </w:tcPr>
          <w:p w:rsidR="00703C37" w:rsidRPr="00360DCD" w:rsidRDefault="00703C37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b) Quantify True Up  Adjustment</w:t>
            </w:r>
          </w:p>
        </w:tc>
      </w:tr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70" w:type="dxa"/>
          </w:tcPr>
          <w:p w:rsidR="007B4E89" w:rsidRPr="00360DCD" w:rsidRDefault="007B4E89" w:rsidP="00360DCD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Revenues (i.e. is unbilled revenues trued up</w:t>
            </w:r>
            <w:r>
              <w:rPr>
                <w:rFonts w:ascii="Arial" w:hAnsi="Arial" w:cs="Arial"/>
                <w:sz w:val="20"/>
                <w:szCs w:val="20"/>
              </w:rPr>
              <w:t xml:space="preserve"> by year end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235846" w:rsidP="002357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</w:t>
            </w:r>
          </w:p>
        </w:tc>
        <w:tc>
          <w:tcPr>
            <w:tcW w:w="3605" w:type="dxa"/>
          </w:tcPr>
          <w:p w:rsidR="00703C37" w:rsidRPr="00360DCD" w:rsidRDefault="00235846" w:rsidP="0060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NBHDL’s revenues at year-end are recorded through accrual of unbilled data. The true-up for this is done in the following fiscal period ex; at Dec16 unbilled revenue is accrued – this reverses in Jan17 and actual billing for Dec16 consumption takes place </w:t>
            </w:r>
            <w:r w:rsidR="006046BC">
              <w:rPr>
                <w:rFonts w:ascii="Arial" w:hAnsi="Arial" w:cs="Arial"/>
                <w:sz w:val="20"/>
                <w:szCs w:val="20"/>
              </w:rPr>
              <w:t xml:space="preserve">primarily in </w:t>
            </w:r>
            <w:r w:rsidR="00EF30BB">
              <w:rPr>
                <w:rFonts w:ascii="Arial" w:hAnsi="Arial" w:cs="Arial"/>
                <w:sz w:val="20"/>
                <w:szCs w:val="20"/>
              </w:rPr>
              <w:t>Jan</w:t>
            </w:r>
            <w:r w:rsidR="006046BC">
              <w:rPr>
                <w:rFonts w:ascii="Arial" w:hAnsi="Arial" w:cs="Arial"/>
                <w:sz w:val="20"/>
                <w:szCs w:val="20"/>
              </w:rPr>
              <w:t>~Feb17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357A4">
              <w:rPr>
                <w:rFonts w:ascii="Arial" w:hAnsi="Arial" w:cs="Arial"/>
                <w:sz w:val="20"/>
                <w:szCs w:val="20"/>
              </w:rPr>
              <w:t>Any u</w:t>
            </w:r>
            <w:r>
              <w:rPr>
                <w:rFonts w:ascii="Arial" w:hAnsi="Arial" w:cs="Arial"/>
                <w:sz w:val="20"/>
                <w:szCs w:val="20"/>
              </w:rPr>
              <w:t>nbilled variances in revenue are then reflected in current fiscal year</w:t>
            </w:r>
            <w:r w:rsidR="002357A4">
              <w:rPr>
                <w:rFonts w:ascii="Arial" w:hAnsi="Arial" w:cs="Arial"/>
                <w:sz w:val="20"/>
                <w:szCs w:val="20"/>
              </w:rPr>
              <w:t xml:space="preserve"> revenue</w:t>
            </w:r>
            <w:r>
              <w:rPr>
                <w:rFonts w:ascii="Arial" w:hAnsi="Arial" w:cs="Arial"/>
                <w:sz w:val="20"/>
                <w:szCs w:val="20"/>
              </w:rPr>
              <w:t>. In this example, that would be 2017.</w:t>
            </w:r>
          </w:p>
        </w:tc>
        <w:tc>
          <w:tcPr>
            <w:tcW w:w="1870" w:type="dxa"/>
          </w:tcPr>
          <w:p w:rsidR="00703C37" w:rsidRPr="00360DCD" w:rsidRDefault="000E217C" w:rsidP="000E21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$79,016</w:t>
            </w:r>
          </w:p>
        </w:tc>
      </w:tr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870" w:type="dxa"/>
          </w:tcPr>
          <w:p w:rsidR="007B4E89" w:rsidRPr="00360DCD" w:rsidRDefault="007B4E89" w:rsidP="00360D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 xml:space="preserve">(i.e. is expense based on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IESO invoice at year end)</w:t>
            </w:r>
          </w:p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2357A4" w:rsidP="00703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Actual</w:t>
            </w:r>
          </w:p>
        </w:tc>
        <w:tc>
          <w:tcPr>
            <w:tcW w:w="3605" w:type="dxa"/>
          </w:tcPr>
          <w:p w:rsidR="00703C37" w:rsidRPr="00360DCD" w:rsidRDefault="002357A4" w:rsidP="00703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Charge Type 148 $ in Dec16 is based on IESO invoice for Dec16.</w:t>
            </w:r>
          </w:p>
        </w:tc>
        <w:tc>
          <w:tcPr>
            <w:tcW w:w="1870" w:type="dxa"/>
          </w:tcPr>
          <w:p w:rsidR="00703C37" w:rsidRPr="00360DCD" w:rsidRDefault="002357A4" w:rsidP="00703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870" w:type="dxa"/>
          </w:tcPr>
          <w:p w:rsidR="007B4E89" w:rsidRPr="00360DCD" w:rsidRDefault="007B4E89" w:rsidP="00360D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and RPP/non-RPP pro-ration percentages</w:t>
            </w:r>
          </w:p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703C37" w:rsidP="000E2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C37" w:rsidTr="00360DCD">
        <w:tc>
          <w:tcPr>
            <w:tcW w:w="390" w:type="dxa"/>
          </w:tcPr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870" w:type="dxa"/>
          </w:tcPr>
          <w:p w:rsidR="007B4E89" w:rsidRPr="00360DCD" w:rsidRDefault="007B4E89" w:rsidP="00360DCD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Credit of GA </w:t>
            </w:r>
            <w:r>
              <w:rPr>
                <w:rFonts w:ascii="Arial" w:hAnsi="Arial" w:cs="Arial"/>
                <w:sz w:val="20"/>
                <w:szCs w:val="20"/>
              </w:rPr>
              <w:t xml:space="preserve">RPP: Charge Type 142 </w:t>
            </w:r>
            <w:r w:rsidRPr="00360DCD">
              <w:rPr>
                <w:rFonts w:ascii="Arial" w:hAnsi="Arial" w:cs="Arial"/>
                <w:sz w:val="20"/>
                <w:szCs w:val="20"/>
              </w:rPr>
              <w:t>if the approach under IR 1b is used</w:t>
            </w:r>
          </w:p>
          <w:p w:rsidR="00703C37" w:rsidRPr="00360DCD" w:rsidRDefault="00703C37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703C37" w:rsidRPr="00360DCD" w:rsidRDefault="000E217C" w:rsidP="00703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</w:t>
            </w:r>
          </w:p>
        </w:tc>
        <w:tc>
          <w:tcPr>
            <w:tcW w:w="3605" w:type="dxa"/>
          </w:tcPr>
          <w:p w:rsidR="00703C37" w:rsidRPr="00360DCD" w:rsidRDefault="006046BC" w:rsidP="0060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NBHDL estimates the kWh for RPP customers and records credit amount based on 2</w:t>
            </w:r>
            <w:r w:rsidRPr="006046B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estimate. The true-up amount represents both the increase in the actual GA rate from 2</w:t>
            </w:r>
            <w:r w:rsidRPr="006046B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estimate and an increase in actual RPP kWh vs. accrual. </w:t>
            </w:r>
          </w:p>
        </w:tc>
        <w:tc>
          <w:tcPr>
            <w:tcW w:w="1870" w:type="dxa"/>
          </w:tcPr>
          <w:p w:rsidR="00703C37" w:rsidRPr="00360DCD" w:rsidRDefault="000E217C" w:rsidP="00703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$409,353</w:t>
            </w:r>
          </w:p>
        </w:tc>
      </w:tr>
    </w:tbl>
    <w:p w:rsidR="003C2031" w:rsidRDefault="003C2031" w:rsidP="003C2031">
      <w:pPr>
        <w:spacing w:after="0"/>
        <w:rPr>
          <w:rFonts w:ascii="Arial" w:hAnsi="Arial" w:cs="Arial"/>
          <w:sz w:val="24"/>
          <w:szCs w:val="24"/>
        </w:rPr>
      </w:pPr>
    </w:p>
    <w:p w:rsidR="003C2031" w:rsidRDefault="00916BA8" w:rsidP="00916BA8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A9086E">
        <w:rPr>
          <w:rFonts w:ascii="Arial" w:hAnsi="Arial" w:cs="Arial"/>
          <w:sz w:val="24"/>
          <w:szCs w:val="24"/>
        </w:rPr>
        <w:t xml:space="preserve">components of Account 1589 </w:t>
      </w:r>
      <w:r w:rsidR="002F7DCB">
        <w:rPr>
          <w:rFonts w:ascii="Arial" w:hAnsi="Arial" w:cs="Arial"/>
          <w:sz w:val="24"/>
          <w:szCs w:val="24"/>
        </w:rPr>
        <w:t>should be recorded based on actual</w:t>
      </w:r>
      <w:r w:rsidR="00A9086E">
        <w:rPr>
          <w:rFonts w:ascii="Arial" w:hAnsi="Arial" w:cs="Arial"/>
          <w:sz w:val="24"/>
          <w:szCs w:val="24"/>
        </w:rPr>
        <w:t>s prior to seeking disposition of the balance with the OEB</w:t>
      </w:r>
      <w:r w:rsidR="002F7DCB">
        <w:rPr>
          <w:rFonts w:ascii="Arial" w:hAnsi="Arial" w:cs="Arial"/>
          <w:sz w:val="24"/>
          <w:szCs w:val="24"/>
        </w:rPr>
        <w:t>.  Where an item has bee</w:t>
      </w:r>
      <w:r w:rsidR="00A9086E">
        <w:rPr>
          <w:rFonts w:ascii="Arial" w:hAnsi="Arial" w:cs="Arial"/>
          <w:sz w:val="24"/>
          <w:szCs w:val="24"/>
        </w:rPr>
        <w:t>n recorded based on an estimate</w:t>
      </w:r>
      <w:r w:rsidR="002F7DCB">
        <w:rPr>
          <w:rFonts w:ascii="Arial" w:hAnsi="Arial" w:cs="Arial"/>
          <w:sz w:val="24"/>
          <w:szCs w:val="24"/>
        </w:rPr>
        <w:t xml:space="preserve">, please update Note 5 of the GA Analysis </w:t>
      </w:r>
      <w:r w:rsidR="00642047">
        <w:rPr>
          <w:rFonts w:ascii="Arial" w:hAnsi="Arial" w:cs="Arial"/>
          <w:sz w:val="24"/>
          <w:szCs w:val="24"/>
        </w:rPr>
        <w:t>W</w:t>
      </w:r>
      <w:r w:rsidR="002F7DCB">
        <w:rPr>
          <w:rFonts w:ascii="Arial" w:hAnsi="Arial" w:cs="Arial"/>
          <w:sz w:val="24"/>
          <w:szCs w:val="24"/>
        </w:rPr>
        <w:t>orkform to include the impact of the true-up adjustment</w:t>
      </w:r>
      <w:r w:rsidR="00834326">
        <w:rPr>
          <w:rFonts w:ascii="Arial" w:hAnsi="Arial" w:cs="Arial"/>
          <w:sz w:val="24"/>
          <w:szCs w:val="24"/>
        </w:rPr>
        <w:t xml:space="preserve"> required to bring the</w:t>
      </w:r>
      <w:r w:rsidR="00642047">
        <w:rPr>
          <w:rFonts w:ascii="Arial" w:hAnsi="Arial" w:cs="Arial"/>
          <w:sz w:val="24"/>
          <w:szCs w:val="24"/>
        </w:rPr>
        <w:t xml:space="preserve"> b</w:t>
      </w:r>
      <w:r w:rsidR="00834326">
        <w:rPr>
          <w:rFonts w:ascii="Arial" w:hAnsi="Arial" w:cs="Arial"/>
          <w:sz w:val="24"/>
          <w:szCs w:val="24"/>
        </w:rPr>
        <w:t xml:space="preserve">alance in Account 1589 to actual.  </w:t>
      </w:r>
      <w:r w:rsidR="002F7DCB">
        <w:rPr>
          <w:rFonts w:ascii="Arial" w:hAnsi="Arial" w:cs="Arial"/>
          <w:sz w:val="24"/>
          <w:szCs w:val="24"/>
        </w:rPr>
        <w:t>In addition, please update the DVA continuity schedule such that these true-up adjustments are reflected in the Account 1589 balance being sought for disposition.</w:t>
      </w:r>
      <w:r w:rsidR="00834326">
        <w:rPr>
          <w:rFonts w:ascii="Arial" w:hAnsi="Arial" w:cs="Arial"/>
          <w:sz w:val="24"/>
          <w:szCs w:val="24"/>
        </w:rPr>
        <w:t xml:space="preserve">  </w:t>
      </w:r>
      <w:r w:rsidR="00653640">
        <w:rPr>
          <w:rFonts w:ascii="Arial" w:hAnsi="Arial" w:cs="Arial"/>
          <w:sz w:val="24"/>
          <w:szCs w:val="24"/>
        </w:rPr>
        <w:t>Note that of the adjustments that the applicant has already identified in Note 5 of the GA Analysis Workform, only 1b and 2b need to be reflected in the updated DVA continuity schedule.</w:t>
      </w:r>
    </w:p>
    <w:p w:rsidR="00181423" w:rsidRDefault="00181423" w:rsidP="0018142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0E217C" w:rsidRPr="000E217C" w:rsidRDefault="000E217C" w:rsidP="000E217C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0E217C">
        <w:rPr>
          <w:rFonts w:ascii="Arial" w:hAnsi="Arial" w:cs="Arial"/>
          <w:b/>
          <w:sz w:val="24"/>
          <w:szCs w:val="24"/>
          <w:u w:val="single"/>
        </w:rPr>
        <w:t>Response</w:t>
      </w:r>
    </w:p>
    <w:p w:rsidR="0007578F" w:rsidRDefault="0007578F" w:rsidP="0007578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see Q3 below for additional information on the revisions made in the GA Analysis Workform </w:t>
      </w:r>
      <w:r>
        <w:rPr>
          <w:rFonts w:ascii="Arial" w:hAnsi="Arial" w:cs="Arial"/>
          <w:sz w:val="24"/>
          <w:szCs w:val="24"/>
        </w:rPr>
        <w:t xml:space="preserve">in relation to Note 5 reconciling items. </w:t>
      </w:r>
    </w:p>
    <w:p w:rsidR="0007578F" w:rsidRDefault="0007578F" w:rsidP="0007578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0E217C" w:rsidRDefault="000E217C" w:rsidP="00CB626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E217C">
        <w:rPr>
          <w:rFonts w:ascii="Arial" w:hAnsi="Arial" w:cs="Arial"/>
          <w:sz w:val="24"/>
          <w:szCs w:val="24"/>
        </w:rPr>
        <w:t xml:space="preserve">NBHDL </w:t>
      </w:r>
      <w:r>
        <w:rPr>
          <w:rFonts w:ascii="Arial" w:hAnsi="Arial" w:cs="Arial"/>
          <w:sz w:val="24"/>
          <w:szCs w:val="24"/>
        </w:rPr>
        <w:t>is not seeking to dispose of Account 1588 or 1589 at this time. NBHDL has proposed a one year de</w:t>
      </w:r>
      <w:r w:rsidR="00642047">
        <w:rPr>
          <w:rFonts w:ascii="Arial" w:hAnsi="Arial" w:cs="Arial"/>
          <w:sz w:val="24"/>
          <w:szCs w:val="24"/>
        </w:rPr>
        <w:t xml:space="preserve">ferral of disposition to enable the posting of 2017 true-ups for settlement in the proper fiscal period so that </w:t>
      </w:r>
      <w:r w:rsidR="006046BC">
        <w:rPr>
          <w:rFonts w:ascii="Arial" w:hAnsi="Arial" w:cs="Arial"/>
          <w:sz w:val="24"/>
          <w:szCs w:val="24"/>
        </w:rPr>
        <w:t xml:space="preserve">requested/approved </w:t>
      </w:r>
      <w:r w:rsidR="00642047">
        <w:rPr>
          <w:rFonts w:ascii="Arial" w:hAnsi="Arial" w:cs="Arial"/>
          <w:sz w:val="24"/>
          <w:szCs w:val="24"/>
        </w:rPr>
        <w:t xml:space="preserve">disposition amounts align with audited financial statement </w:t>
      </w:r>
      <w:r w:rsidR="006046BC">
        <w:rPr>
          <w:rFonts w:ascii="Arial" w:hAnsi="Arial" w:cs="Arial"/>
          <w:sz w:val="24"/>
          <w:szCs w:val="24"/>
        </w:rPr>
        <w:t xml:space="preserve">balances. </w:t>
      </w:r>
      <w:r w:rsidR="00CB626B">
        <w:rPr>
          <w:rFonts w:ascii="Arial" w:hAnsi="Arial" w:cs="Arial"/>
          <w:sz w:val="24"/>
          <w:szCs w:val="24"/>
        </w:rPr>
        <w:t xml:space="preserve">NBHDL’s preference is to avoid adjusting a proposed disposition amount with an unaudited adjustment from a current fiscal year. </w:t>
      </w:r>
      <w:r w:rsidR="007639E5">
        <w:rPr>
          <w:rFonts w:ascii="Arial" w:hAnsi="Arial" w:cs="Arial"/>
          <w:sz w:val="24"/>
          <w:szCs w:val="24"/>
        </w:rPr>
        <w:t>2017 y</w:t>
      </w:r>
      <w:r w:rsidR="00BB65B7">
        <w:rPr>
          <w:rFonts w:ascii="Arial" w:hAnsi="Arial" w:cs="Arial"/>
          <w:sz w:val="24"/>
          <w:szCs w:val="24"/>
        </w:rPr>
        <w:t xml:space="preserve">ear-end processes will be revised in accordance with </w:t>
      </w:r>
      <w:r w:rsidR="0007578F">
        <w:rPr>
          <w:rFonts w:ascii="Arial" w:hAnsi="Arial" w:cs="Arial"/>
          <w:sz w:val="24"/>
          <w:szCs w:val="24"/>
        </w:rPr>
        <w:t xml:space="preserve">the </w:t>
      </w:r>
      <w:r w:rsidR="00BB65B7">
        <w:rPr>
          <w:rFonts w:ascii="Arial" w:hAnsi="Arial" w:cs="Arial"/>
          <w:sz w:val="24"/>
          <w:szCs w:val="24"/>
        </w:rPr>
        <w:t>OEB guidelines</w:t>
      </w:r>
      <w:r w:rsidR="0007578F">
        <w:rPr>
          <w:rFonts w:ascii="Arial" w:hAnsi="Arial" w:cs="Arial"/>
          <w:sz w:val="24"/>
          <w:szCs w:val="24"/>
        </w:rPr>
        <w:t xml:space="preserve"> released in May 2017 and the cumulative 2017 balance will incorporate all 2016 and 2017 true-ups.</w:t>
      </w:r>
    </w:p>
    <w:p w:rsidR="000E217C" w:rsidRPr="000E217C" w:rsidRDefault="000E217C" w:rsidP="0018142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181423" w:rsidRDefault="00684242" w:rsidP="006842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reconciling items already provided in 1a, 1b, 2a, and 2b of Note 5 of the GA Analysis Workform, please add a narrative in the “Explanation” column for each to explain the direction of the true-up (i.e. were unbilled revenues over/under</w:t>
      </w:r>
      <w:r w:rsidR="00181423">
        <w:rPr>
          <w:rFonts w:ascii="Arial" w:hAnsi="Arial" w:cs="Arial"/>
          <w:sz w:val="24"/>
          <w:szCs w:val="24"/>
        </w:rPr>
        <w:t xml:space="preserve"> accrued, or were the RPP settlements over/under accrued). </w:t>
      </w:r>
    </w:p>
    <w:p w:rsidR="0007578F" w:rsidRDefault="0007578F" w:rsidP="0007578F">
      <w:pPr>
        <w:spacing w:after="0"/>
        <w:rPr>
          <w:rFonts w:ascii="Arial" w:hAnsi="Arial" w:cs="Arial"/>
          <w:sz w:val="24"/>
          <w:szCs w:val="24"/>
        </w:rPr>
      </w:pPr>
    </w:p>
    <w:p w:rsidR="0007578F" w:rsidRPr="0007578F" w:rsidRDefault="0007578F" w:rsidP="0007578F">
      <w:pPr>
        <w:spacing w:after="0"/>
        <w:rPr>
          <w:rFonts w:ascii="Arial" w:hAnsi="Arial" w:cs="Arial"/>
          <w:sz w:val="24"/>
          <w:szCs w:val="24"/>
        </w:rPr>
      </w:pPr>
    </w:p>
    <w:p w:rsidR="00181423" w:rsidRDefault="00181423" w:rsidP="00181423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0E217C" w:rsidRDefault="000E217C" w:rsidP="000E217C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0E217C">
        <w:rPr>
          <w:rFonts w:ascii="Arial" w:hAnsi="Arial" w:cs="Arial"/>
          <w:b/>
          <w:sz w:val="24"/>
          <w:szCs w:val="24"/>
          <w:u w:val="single"/>
        </w:rPr>
        <w:lastRenderedPageBreak/>
        <w:t>Response</w:t>
      </w:r>
    </w:p>
    <w:p w:rsidR="007639E5" w:rsidRDefault="007639E5" w:rsidP="007639E5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NBHDL has included a revised GA Analysis Workform with an updated “Explanation” column to explain the direction of the true-ups listed above. NBHDL would note that the true-up amounts in 1b) and 2b) have also been revised after further analysis was completed in response to interrogatories. </w:t>
      </w:r>
    </w:p>
    <w:p w:rsidR="007639E5" w:rsidRPr="007639E5" w:rsidRDefault="007639E5" w:rsidP="000E217C">
      <w:pPr>
        <w:pStyle w:val="ListParagraph"/>
        <w:rPr>
          <w:rFonts w:ascii="Arial" w:hAnsi="Arial" w:cs="Arial"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p w:rsidR="00003016" w:rsidRDefault="00003016" w:rsidP="003C2031">
      <w:pPr>
        <w:spacing w:after="0"/>
        <w:rPr>
          <w:rFonts w:ascii="Arial" w:hAnsi="Arial" w:cs="Arial"/>
          <w:b/>
          <w:sz w:val="24"/>
          <w:szCs w:val="24"/>
        </w:rPr>
      </w:pPr>
    </w:p>
    <w:sectPr w:rsidR="00003016" w:rsidSect="003C17F6">
      <w:pgSz w:w="12240" w:h="15840" w:code="1"/>
      <w:pgMar w:top="90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60F"/>
    <w:multiLevelType w:val="hybridMultilevel"/>
    <w:tmpl w:val="D1B49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8B7"/>
    <w:multiLevelType w:val="hybridMultilevel"/>
    <w:tmpl w:val="5220044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A77"/>
    <w:multiLevelType w:val="hybridMultilevel"/>
    <w:tmpl w:val="7F86BD0C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30148"/>
    <w:multiLevelType w:val="hybridMultilevel"/>
    <w:tmpl w:val="587C27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262A"/>
    <w:multiLevelType w:val="hybridMultilevel"/>
    <w:tmpl w:val="AC363F10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681FAB"/>
    <w:multiLevelType w:val="multilevel"/>
    <w:tmpl w:val="E52C4B0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4011984"/>
    <w:multiLevelType w:val="hybridMultilevel"/>
    <w:tmpl w:val="2BEA2AB8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19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DF2781D"/>
    <w:multiLevelType w:val="hybridMultilevel"/>
    <w:tmpl w:val="49968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903DE"/>
    <w:multiLevelType w:val="hybridMultilevel"/>
    <w:tmpl w:val="9E2C7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23C7C"/>
    <w:multiLevelType w:val="hybridMultilevel"/>
    <w:tmpl w:val="18A60656"/>
    <w:lvl w:ilvl="0" w:tplc="91CEFBE4">
      <w:start w:val="2016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741BF"/>
    <w:multiLevelType w:val="hybridMultilevel"/>
    <w:tmpl w:val="E1E48F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957FE"/>
    <w:multiLevelType w:val="hybridMultilevel"/>
    <w:tmpl w:val="52FCE65C"/>
    <w:lvl w:ilvl="0" w:tplc="DF2C24B4">
      <w:start w:val="2016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E4EC1"/>
    <w:multiLevelType w:val="hybridMultilevel"/>
    <w:tmpl w:val="A676732E"/>
    <w:lvl w:ilvl="0" w:tplc="8474E5F0">
      <w:start w:val="2016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E0327"/>
    <w:multiLevelType w:val="hybridMultilevel"/>
    <w:tmpl w:val="44E095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56CEF"/>
    <w:multiLevelType w:val="hybridMultilevel"/>
    <w:tmpl w:val="DB34011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7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D6"/>
    <w:rsid w:val="00003016"/>
    <w:rsid w:val="000162D6"/>
    <w:rsid w:val="000601F2"/>
    <w:rsid w:val="0007578F"/>
    <w:rsid w:val="000E217C"/>
    <w:rsid w:val="000E527C"/>
    <w:rsid w:val="00181423"/>
    <w:rsid w:val="001B35AC"/>
    <w:rsid w:val="001F201C"/>
    <w:rsid w:val="001F3F93"/>
    <w:rsid w:val="002357A4"/>
    <w:rsid w:val="00235846"/>
    <w:rsid w:val="002F7DCB"/>
    <w:rsid w:val="00360DCD"/>
    <w:rsid w:val="003C17F6"/>
    <w:rsid w:val="003C2031"/>
    <w:rsid w:val="003C4772"/>
    <w:rsid w:val="00412DC6"/>
    <w:rsid w:val="0043196F"/>
    <w:rsid w:val="00460832"/>
    <w:rsid w:val="004E0A3D"/>
    <w:rsid w:val="006046BC"/>
    <w:rsid w:val="00642047"/>
    <w:rsid w:val="00653640"/>
    <w:rsid w:val="0067142E"/>
    <w:rsid w:val="00684242"/>
    <w:rsid w:val="0069516E"/>
    <w:rsid w:val="00703C37"/>
    <w:rsid w:val="00746080"/>
    <w:rsid w:val="007639E5"/>
    <w:rsid w:val="00776B94"/>
    <w:rsid w:val="007B4E89"/>
    <w:rsid w:val="007F4ECE"/>
    <w:rsid w:val="00834326"/>
    <w:rsid w:val="008F63AB"/>
    <w:rsid w:val="00914D6A"/>
    <w:rsid w:val="00916BA8"/>
    <w:rsid w:val="00930D0C"/>
    <w:rsid w:val="009432EE"/>
    <w:rsid w:val="00A61DEC"/>
    <w:rsid w:val="00A9086E"/>
    <w:rsid w:val="00AA06D9"/>
    <w:rsid w:val="00AF1E7C"/>
    <w:rsid w:val="00B220F6"/>
    <w:rsid w:val="00B25576"/>
    <w:rsid w:val="00BB65B7"/>
    <w:rsid w:val="00C15ADC"/>
    <w:rsid w:val="00CA78F5"/>
    <w:rsid w:val="00CB626B"/>
    <w:rsid w:val="00E61360"/>
    <w:rsid w:val="00E94282"/>
    <w:rsid w:val="00EA0919"/>
    <w:rsid w:val="00EF30BB"/>
    <w:rsid w:val="00FB0BA0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16F7FE-DD04-4B8B-AE66-16AB7B18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0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57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FD9CA-888C-4D3A-ACC3-5C04EF6E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Kwan</dc:creator>
  <cp:lastModifiedBy>Melissa Casson</cp:lastModifiedBy>
  <cp:revision>8</cp:revision>
  <cp:lastPrinted>2017-09-01T14:58:00Z</cp:lastPrinted>
  <dcterms:created xsi:type="dcterms:W3CDTF">2017-11-14T22:03:00Z</dcterms:created>
  <dcterms:modified xsi:type="dcterms:W3CDTF">2017-11-28T00:27:00Z</dcterms:modified>
</cp:coreProperties>
</file>