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062" w:rsidRDefault="00771A96" w:rsidP="00050A1C">
      <w:pPr>
        <w:spacing w:after="0" w:line="240" w:lineRule="auto"/>
        <w:jc w:val="center"/>
        <w:rPr>
          <w:rFonts w:ascii="Arial" w:hAnsi="Arial" w:cs="Arial"/>
          <w:b/>
          <w:sz w:val="24"/>
          <w:szCs w:val="24"/>
        </w:rPr>
      </w:pPr>
      <w:r>
        <w:rPr>
          <w:rFonts w:ascii="Arial" w:hAnsi="Arial" w:cs="Arial"/>
          <w:b/>
          <w:sz w:val="24"/>
          <w:szCs w:val="24"/>
        </w:rPr>
        <w:t>Hearst Power Distribution Co. Ltd.</w:t>
      </w:r>
    </w:p>
    <w:p w:rsidR="00746080" w:rsidRPr="00DC6DEE" w:rsidRDefault="00771A96" w:rsidP="00050A1C">
      <w:pPr>
        <w:spacing w:after="0" w:line="240" w:lineRule="auto"/>
        <w:jc w:val="center"/>
        <w:rPr>
          <w:rFonts w:ascii="Arial" w:hAnsi="Arial" w:cs="Arial"/>
          <w:b/>
          <w:sz w:val="24"/>
          <w:szCs w:val="24"/>
        </w:rPr>
      </w:pPr>
      <w:r>
        <w:rPr>
          <w:rFonts w:ascii="Arial" w:hAnsi="Arial" w:cs="Arial"/>
          <w:b/>
          <w:sz w:val="24"/>
          <w:szCs w:val="24"/>
        </w:rPr>
        <w:t>EB-2017-0046</w:t>
      </w:r>
    </w:p>
    <w:p w:rsidR="00593956" w:rsidRDefault="00593956" w:rsidP="004E76E0">
      <w:pPr>
        <w:spacing w:after="0" w:line="240" w:lineRule="auto"/>
        <w:rPr>
          <w:rFonts w:ascii="Arial" w:hAnsi="Arial" w:cs="Arial"/>
          <w:b/>
          <w:sz w:val="24"/>
          <w:szCs w:val="24"/>
        </w:rPr>
      </w:pPr>
    </w:p>
    <w:p w:rsidR="00B54D2B" w:rsidRDefault="00B54D2B" w:rsidP="004E76E0">
      <w:pPr>
        <w:spacing w:after="0" w:line="240" w:lineRule="auto"/>
        <w:rPr>
          <w:rFonts w:ascii="Arial" w:hAnsi="Arial" w:cs="Arial"/>
          <w:b/>
          <w:sz w:val="24"/>
          <w:szCs w:val="24"/>
        </w:rPr>
      </w:pPr>
    </w:p>
    <w:p w:rsidR="00E50D46" w:rsidRDefault="00C3011F" w:rsidP="004E76E0">
      <w:pPr>
        <w:spacing w:after="0" w:line="240" w:lineRule="auto"/>
        <w:rPr>
          <w:rFonts w:ascii="Arial" w:hAnsi="Arial" w:cs="Arial"/>
          <w:b/>
          <w:sz w:val="24"/>
          <w:szCs w:val="24"/>
        </w:rPr>
      </w:pPr>
      <w:r>
        <w:rPr>
          <w:rFonts w:ascii="Arial" w:hAnsi="Arial" w:cs="Arial"/>
          <w:b/>
          <w:sz w:val="24"/>
          <w:szCs w:val="24"/>
        </w:rPr>
        <w:t>Staff-1</w:t>
      </w:r>
    </w:p>
    <w:p w:rsidR="00E50D46" w:rsidRDefault="00E50D46" w:rsidP="004E76E0">
      <w:pPr>
        <w:spacing w:after="0" w:line="240" w:lineRule="auto"/>
        <w:rPr>
          <w:rFonts w:ascii="Arial" w:hAnsi="Arial" w:cs="Arial"/>
          <w:b/>
          <w:sz w:val="24"/>
          <w:szCs w:val="24"/>
        </w:rPr>
      </w:pPr>
      <w:r>
        <w:rPr>
          <w:rFonts w:ascii="Arial" w:hAnsi="Arial" w:cs="Arial"/>
          <w:b/>
          <w:sz w:val="24"/>
          <w:szCs w:val="24"/>
        </w:rPr>
        <w:t>Ref: Rate Generator Model</w:t>
      </w:r>
      <w:r w:rsidR="0012131E" w:rsidRPr="0012131E">
        <w:rPr>
          <w:rFonts w:ascii="Arial" w:hAnsi="Arial" w:cs="Arial"/>
          <w:color w:val="FF0000"/>
          <w:sz w:val="24"/>
          <w:szCs w:val="24"/>
        </w:rPr>
        <w:t xml:space="preserve"> </w:t>
      </w:r>
    </w:p>
    <w:p w:rsidR="00E50D46" w:rsidRDefault="00E50D46" w:rsidP="004E76E0">
      <w:pPr>
        <w:spacing w:after="0" w:line="240" w:lineRule="auto"/>
        <w:rPr>
          <w:rFonts w:ascii="Arial" w:hAnsi="Arial" w:cs="Arial"/>
          <w:b/>
          <w:sz w:val="24"/>
          <w:szCs w:val="24"/>
        </w:rPr>
      </w:pPr>
    </w:p>
    <w:p w:rsidR="00E50D46" w:rsidRDefault="00E50D46" w:rsidP="004E76E0">
      <w:pPr>
        <w:spacing w:after="0" w:line="240" w:lineRule="auto"/>
        <w:rPr>
          <w:rFonts w:ascii="Arial" w:hAnsi="Arial" w:cs="Arial"/>
          <w:sz w:val="24"/>
          <w:szCs w:val="24"/>
        </w:rPr>
      </w:pPr>
      <w:r>
        <w:rPr>
          <w:rFonts w:ascii="Arial" w:hAnsi="Arial" w:cs="Arial"/>
          <w:sz w:val="24"/>
          <w:szCs w:val="24"/>
        </w:rPr>
        <w:t xml:space="preserve">OEB staff notes that the Rate Generator Model submitted as part of this filing contained a macro error. In tab 4 Billing Det. for Def-Var, the model was not pulling through Hearst Power’s number of customers for Residential and GS&lt;50kW classes. This caused Account 1551 to not be allocated in tab 5 Allocating Def-Var balances. </w:t>
      </w:r>
    </w:p>
    <w:p w:rsidR="00E50D46" w:rsidRDefault="00E50D46" w:rsidP="004E76E0">
      <w:pPr>
        <w:spacing w:after="0" w:line="240" w:lineRule="auto"/>
        <w:rPr>
          <w:rFonts w:ascii="Arial" w:hAnsi="Arial" w:cs="Arial"/>
          <w:sz w:val="24"/>
          <w:szCs w:val="24"/>
        </w:rPr>
      </w:pPr>
    </w:p>
    <w:p w:rsidR="00E50D46" w:rsidRDefault="00E50D46" w:rsidP="004E76E0">
      <w:pPr>
        <w:spacing w:after="0" w:line="240" w:lineRule="auto"/>
        <w:rPr>
          <w:rFonts w:ascii="Arial" w:hAnsi="Arial" w:cs="Arial"/>
          <w:sz w:val="24"/>
          <w:szCs w:val="24"/>
        </w:rPr>
      </w:pPr>
      <w:r>
        <w:rPr>
          <w:rFonts w:ascii="Arial" w:hAnsi="Arial" w:cs="Arial"/>
          <w:sz w:val="24"/>
          <w:szCs w:val="24"/>
        </w:rPr>
        <w:t>OEB staff has updated Hearst Power’s model as part of these questions.</w:t>
      </w:r>
      <w:r w:rsidR="00B54B3F">
        <w:rPr>
          <w:rFonts w:ascii="Arial" w:hAnsi="Arial" w:cs="Arial"/>
          <w:sz w:val="24"/>
          <w:szCs w:val="24"/>
        </w:rPr>
        <w:t xml:space="preserve"> OEB staff has also updated the most recent inflation index of 1.20% issued by the OEB, and the most recent UTRs.</w:t>
      </w:r>
    </w:p>
    <w:p w:rsidR="00E50D46" w:rsidRDefault="00E50D46" w:rsidP="004E76E0">
      <w:pPr>
        <w:spacing w:after="0" w:line="240" w:lineRule="auto"/>
        <w:rPr>
          <w:rFonts w:ascii="Arial" w:hAnsi="Arial" w:cs="Arial"/>
          <w:sz w:val="24"/>
          <w:szCs w:val="24"/>
        </w:rPr>
      </w:pPr>
    </w:p>
    <w:p w:rsidR="00E50D46" w:rsidRDefault="00E50D46" w:rsidP="004E76E0">
      <w:pPr>
        <w:spacing w:after="0" w:line="240" w:lineRule="auto"/>
        <w:rPr>
          <w:rFonts w:ascii="Arial" w:hAnsi="Arial" w:cs="Arial"/>
          <w:sz w:val="24"/>
          <w:szCs w:val="24"/>
        </w:rPr>
      </w:pPr>
      <w:r>
        <w:rPr>
          <w:rFonts w:ascii="Arial" w:hAnsi="Arial" w:cs="Arial"/>
          <w:sz w:val="24"/>
          <w:szCs w:val="24"/>
        </w:rPr>
        <w:t>Please confirm the accuracy of the updated Rate Generator Model</w:t>
      </w:r>
      <w:r w:rsidR="00B54B3F">
        <w:rPr>
          <w:rFonts w:ascii="Arial" w:hAnsi="Arial" w:cs="Arial"/>
          <w:sz w:val="24"/>
          <w:szCs w:val="24"/>
        </w:rPr>
        <w:t xml:space="preserve"> and use this version if any further updated are required </w:t>
      </w:r>
      <w:proofErr w:type="gramStart"/>
      <w:r w:rsidR="00B54B3F">
        <w:rPr>
          <w:rFonts w:ascii="Arial" w:hAnsi="Arial" w:cs="Arial"/>
          <w:sz w:val="24"/>
          <w:szCs w:val="24"/>
        </w:rPr>
        <w:t>as a result of</w:t>
      </w:r>
      <w:proofErr w:type="gramEnd"/>
      <w:r w:rsidR="00B54B3F">
        <w:rPr>
          <w:rFonts w:ascii="Arial" w:hAnsi="Arial" w:cs="Arial"/>
          <w:sz w:val="24"/>
          <w:szCs w:val="24"/>
        </w:rPr>
        <w:t xml:space="preserve"> the questions below</w:t>
      </w:r>
      <w:r>
        <w:rPr>
          <w:rFonts w:ascii="Arial" w:hAnsi="Arial" w:cs="Arial"/>
          <w:sz w:val="24"/>
          <w:szCs w:val="24"/>
        </w:rPr>
        <w:t xml:space="preserve">. </w:t>
      </w:r>
    </w:p>
    <w:p w:rsidR="000B2E82" w:rsidRDefault="000B2E82" w:rsidP="004E76E0">
      <w:pPr>
        <w:spacing w:after="0" w:line="240" w:lineRule="auto"/>
        <w:rPr>
          <w:rFonts w:ascii="Arial" w:hAnsi="Arial" w:cs="Arial"/>
          <w:sz w:val="24"/>
          <w:szCs w:val="24"/>
        </w:rPr>
      </w:pPr>
    </w:p>
    <w:p w:rsidR="000B2E82" w:rsidRPr="000B2E82" w:rsidRDefault="000B2E82" w:rsidP="004E76E0">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 xml:space="preserve">Hearst Power: </w:t>
      </w:r>
      <w:r w:rsidRPr="000B2E82">
        <w:rPr>
          <w:rFonts w:ascii="Arial" w:hAnsi="Arial" w:cs="Arial"/>
          <w:b/>
          <w:color w:val="1F497D" w:themeColor="text2"/>
          <w:sz w:val="24"/>
          <w:szCs w:val="24"/>
        </w:rPr>
        <w:t>Ok.</w:t>
      </w:r>
    </w:p>
    <w:p w:rsidR="00E50D46" w:rsidRDefault="00E50D46" w:rsidP="004E76E0">
      <w:pPr>
        <w:spacing w:after="0" w:line="240" w:lineRule="auto"/>
        <w:rPr>
          <w:rFonts w:ascii="Arial" w:hAnsi="Arial" w:cs="Arial"/>
          <w:b/>
          <w:sz w:val="24"/>
          <w:szCs w:val="24"/>
        </w:rPr>
      </w:pPr>
    </w:p>
    <w:p w:rsidR="004E76E0" w:rsidRDefault="00C3011F" w:rsidP="004E76E0">
      <w:pPr>
        <w:spacing w:after="0" w:line="240" w:lineRule="auto"/>
        <w:rPr>
          <w:rFonts w:ascii="Arial" w:hAnsi="Arial" w:cs="Arial"/>
          <w:b/>
          <w:sz w:val="24"/>
          <w:szCs w:val="24"/>
        </w:rPr>
      </w:pPr>
      <w:r>
        <w:rPr>
          <w:rFonts w:ascii="Arial" w:hAnsi="Arial" w:cs="Arial"/>
          <w:b/>
          <w:sz w:val="24"/>
          <w:szCs w:val="24"/>
        </w:rPr>
        <w:t>Staff-2</w:t>
      </w:r>
    </w:p>
    <w:p w:rsidR="004E76E0" w:rsidRDefault="00933B2D" w:rsidP="004E76E0">
      <w:pPr>
        <w:spacing w:after="0" w:line="240" w:lineRule="auto"/>
        <w:rPr>
          <w:rFonts w:ascii="Arial" w:hAnsi="Arial" w:cs="Arial"/>
          <w:b/>
          <w:sz w:val="24"/>
          <w:szCs w:val="24"/>
        </w:rPr>
      </w:pPr>
      <w:r>
        <w:rPr>
          <w:rFonts w:ascii="Arial" w:hAnsi="Arial" w:cs="Arial"/>
          <w:b/>
          <w:sz w:val="24"/>
          <w:szCs w:val="24"/>
        </w:rPr>
        <w:t>Ref: Rate Generator Model, Tab 1</w:t>
      </w:r>
      <w:r w:rsidR="004E76E0">
        <w:rPr>
          <w:rFonts w:ascii="Arial" w:hAnsi="Arial" w:cs="Arial"/>
          <w:b/>
          <w:sz w:val="24"/>
          <w:szCs w:val="24"/>
        </w:rPr>
        <w:t xml:space="preserve"> </w:t>
      </w:r>
      <w:r>
        <w:rPr>
          <w:rFonts w:ascii="Arial" w:hAnsi="Arial" w:cs="Arial"/>
          <w:b/>
          <w:sz w:val="24"/>
          <w:szCs w:val="24"/>
        </w:rPr>
        <w:t>Information Sheet</w:t>
      </w:r>
    </w:p>
    <w:p w:rsidR="00933B2D" w:rsidRDefault="00933B2D" w:rsidP="004E76E0">
      <w:pPr>
        <w:spacing w:after="0" w:line="240" w:lineRule="auto"/>
        <w:rPr>
          <w:rFonts w:ascii="Arial" w:hAnsi="Arial" w:cs="Arial"/>
          <w:b/>
          <w:sz w:val="24"/>
          <w:szCs w:val="24"/>
        </w:rPr>
      </w:pPr>
    </w:p>
    <w:p w:rsidR="00933B2D" w:rsidRDefault="00933B2D" w:rsidP="004E76E0">
      <w:pPr>
        <w:spacing w:after="0" w:line="240" w:lineRule="auto"/>
        <w:rPr>
          <w:rFonts w:ascii="Arial" w:hAnsi="Arial" w:cs="Arial"/>
          <w:sz w:val="24"/>
          <w:szCs w:val="24"/>
        </w:rPr>
      </w:pPr>
      <w:r>
        <w:rPr>
          <w:rFonts w:ascii="Arial" w:hAnsi="Arial" w:cs="Arial"/>
          <w:sz w:val="24"/>
          <w:szCs w:val="24"/>
        </w:rPr>
        <w:t>Tab 1, row 30 of the Rate Generator Model asks to indicate the rate year in which Group 1 Accounts were last cleared. Hearst Power has entered 2016.</w:t>
      </w:r>
    </w:p>
    <w:p w:rsidR="00933B2D" w:rsidRDefault="00933B2D" w:rsidP="004E76E0">
      <w:pPr>
        <w:spacing w:after="0" w:line="240" w:lineRule="auto"/>
        <w:rPr>
          <w:rFonts w:ascii="Arial" w:hAnsi="Arial" w:cs="Arial"/>
          <w:sz w:val="24"/>
          <w:szCs w:val="24"/>
        </w:rPr>
      </w:pPr>
    </w:p>
    <w:p w:rsidR="00933B2D" w:rsidRDefault="00933B2D" w:rsidP="004E76E0">
      <w:pPr>
        <w:spacing w:after="0" w:line="240" w:lineRule="auto"/>
        <w:rPr>
          <w:rFonts w:ascii="Arial" w:hAnsi="Arial" w:cs="Arial"/>
          <w:sz w:val="24"/>
          <w:szCs w:val="24"/>
        </w:rPr>
      </w:pPr>
      <w:r>
        <w:rPr>
          <w:rFonts w:ascii="Arial" w:hAnsi="Arial" w:cs="Arial"/>
          <w:sz w:val="24"/>
          <w:szCs w:val="24"/>
        </w:rPr>
        <w:t xml:space="preserve">OEB staff notes that Hearst Power </w:t>
      </w:r>
      <w:r w:rsidR="00065468">
        <w:rPr>
          <w:rFonts w:ascii="Arial" w:hAnsi="Arial" w:cs="Arial"/>
          <w:sz w:val="24"/>
          <w:szCs w:val="24"/>
        </w:rPr>
        <w:t>received OEB approval to dispose of its Group 1 deferral and variance account balances as part of its 2017 rate application (EB-2016-0224)</w:t>
      </w:r>
    </w:p>
    <w:p w:rsidR="00065468" w:rsidRDefault="00065468" w:rsidP="004E76E0">
      <w:pPr>
        <w:spacing w:after="0" w:line="240" w:lineRule="auto"/>
        <w:rPr>
          <w:rFonts w:ascii="Arial" w:hAnsi="Arial" w:cs="Arial"/>
          <w:sz w:val="24"/>
          <w:szCs w:val="24"/>
        </w:rPr>
      </w:pPr>
    </w:p>
    <w:p w:rsidR="00065468" w:rsidRDefault="00065468" w:rsidP="004E76E0">
      <w:pPr>
        <w:spacing w:after="0" w:line="240" w:lineRule="auto"/>
        <w:rPr>
          <w:rFonts w:ascii="Arial" w:hAnsi="Arial" w:cs="Arial"/>
          <w:sz w:val="24"/>
          <w:szCs w:val="24"/>
        </w:rPr>
      </w:pPr>
      <w:r>
        <w:rPr>
          <w:rFonts w:ascii="Arial" w:hAnsi="Arial" w:cs="Arial"/>
          <w:sz w:val="24"/>
          <w:szCs w:val="24"/>
        </w:rPr>
        <w:t xml:space="preserve">Please make the necessary correction to the Rate Generator Model. </w:t>
      </w:r>
    </w:p>
    <w:p w:rsidR="00065468" w:rsidRDefault="00065468" w:rsidP="004E76E0">
      <w:pPr>
        <w:spacing w:after="0" w:line="240" w:lineRule="auto"/>
        <w:rPr>
          <w:rFonts w:ascii="Arial" w:hAnsi="Arial" w:cs="Arial"/>
          <w:sz w:val="24"/>
          <w:szCs w:val="24"/>
        </w:rPr>
      </w:pPr>
    </w:p>
    <w:p w:rsidR="000B2E82" w:rsidRPr="000B2E82" w:rsidRDefault="000B2E82" w:rsidP="000B2E82">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 xml:space="preserve">Hearst Power: </w:t>
      </w:r>
      <w:r w:rsidRPr="000B2E82">
        <w:rPr>
          <w:rFonts w:ascii="Arial" w:hAnsi="Arial" w:cs="Arial"/>
          <w:b/>
          <w:color w:val="1F497D" w:themeColor="text2"/>
          <w:sz w:val="24"/>
          <w:szCs w:val="24"/>
        </w:rPr>
        <w:t>Ok.</w:t>
      </w:r>
      <w:r>
        <w:rPr>
          <w:rFonts w:ascii="Arial" w:hAnsi="Arial" w:cs="Arial"/>
          <w:b/>
          <w:color w:val="1F497D" w:themeColor="text2"/>
          <w:sz w:val="24"/>
          <w:szCs w:val="24"/>
        </w:rPr>
        <w:t xml:space="preserve">  2016 was changed to 2017.</w:t>
      </w:r>
    </w:p>
    <w:p w:rsidR="000B2E82" w:rsidRDefault="000B2E82" w:rsidP="004E76E0">
      <w:pPr>
        <w:spacing w:after="0" w:line="240" w:lineRule="auto"/>
        <w:rPr>
          <w:rFonts w:ascii="Arial" w:hAnsi="Arial" w:cs="Arial"/>
          <w:sz w:val="24"/>
          <w:szCs w:val="24"/>
        </w:rPr>
      </w:pPr>
    </w:p>
    <w:p w:rsidR="00065468" w:rsidRPr="00DD41EF" w:rsidRDefault="00C3011F" w:rsidP="004E76E0">
      <w:pPr>
        <w:spacing w:after="0" w:line="240" w:lineRule="auto"/>
        <w:rPr>
          <w:rFonts w:ascii="Arial" w:hAnsi="Arial" w:cs="Arial"/>
          <w:b/>
          <w:sz w:val="24"/>
          <w:szCs w:val="24"/>
        </w:rPr>
      </w:pPr>
      <w:r>
        <w:rPr>
          <w:rFonts w:ascii="Arial" w:hAnsi="Arial" w:cs="Arial"/>
          <w:b/>
          <w:sz w:val="24"/>
          <w:szCs w:val="24"/>
        </w:rPr>
        <w:t>Staff-3</w:t>
      </w:r>
    </w:p>
    <w:p w:rsidR="0008482A" w:rsidRPr="00DD41EF" w:rsidRDefault="0008482A" w:rsidP="004E76E0">
      <w:pPr>
        <w:spacing w:after="0" w:line="240" w:lineRule="auto"/>
        <w:rPr>
          <w:rFonts w:ascii="Arial" w:hAnsi="Arial" w:cs="Arial"/>
          <w:b/>
          <w:sz w:val="24"/>
          <w:szCs w:val="24"/>
        </w:rPr>
      </w:pPr>
      <w:r w:rsidRPr="00DD41EF">
        <w:rPr>
          <w:rFonts w:ascii="Arial" w:hAnsi="Arial" w:cs="Arial"/>
          <w:b/>
          <w:sz w:val="24"/>
          <w:szCs w:val="24"/>
        </w:rPr>
        <w:t>Ref: Rate Generator Model, Tab 3 Continuity Schedule</w:t>
      </w:r>
    </w:p>
    <w:p w:rsidR="0008482A" w:rsidRDefault="0008482A" w:rsidP="004E76E0">
      <w:pPr>
        <w:spacing w:after="0" w:line="240" w:lineRule="auto"/>
        <w:rPr>
          <w:rFonts w:ascii="Arial" w:hAnsi="Arial" w:cs="Arial"/>
          <w:sz w:val="24"/>
          <w:szCs w:val="24"/>
        </w:rPr>
      </w:pPr>
    </w:p>
    <w:p w:rsidR="0008482A" w:rsidRDefault="0008482A" w:rsidP="004E76E0">
      <w:pPr>
        <w:spacing w:after="0" w:line="240" w:lineRule="auto"/>
        <w:rPr>
          <w:rFonts w:ascii="Arial" w:hAnsi="Arial" w:cs="Arial"/>
          <w:sz w:val="24"/>
          <w:szCs w:val="24"/>
        </w:rPr>
      </w:pPr>
      <w:r>
        <w:rPr>
          <w:rFonts w:ascii="Arial" w:hAnsi="Arial" w:cs="Arial"/>
          <w:sz w:val="24"/>
          <w:szCs w:val="24"/>
        </w:rPr>
        <w:t xml:space="preserve">Hearst Power has entered amounts in columns G and L for OEB-approved disposition during 2011. OEB staff notes that Hearst Power did not file an application in the 2011 rate year. </w:t>
      </w:r>
    </w:p>
    <w:p w:rsidR="000B2E82" w:rsidRDefault="000B2E82" w:rsidP="004E76E0">
      <w:pPr>
        <w:spacing w:after="0" w:line="240" w:lineRule="auto"/>
        <w:rPr>
          <w:rFonts w:ascii="Arial" w:hAnsi="Arial" w:cs="Arial"/>
          <w:sz w:val="24"/>
          <w:szCs w:val="24"/>
        </w:rPr>
      </w:pPr>
    </w:p>
    <w:p w:rsidR="0008482A" w:rsidRDefault="00DD41EF" w:rsidP="004E76E0">
      <w:pPr>
        <w:spacing w:after="0" w:line="240" w:lineRule="auto"/>
        <w:rPr>
          <w:rFonts w:ascii="Arial" w:hAnsi="Arial" w:cs="Arial"/>
          <w:sz w:val="24"/>
          <w:szCs w:val="24"/>
        </w:rPr>
      </w:pPr>
      <w:r>
        <w:rPr>
          <w:rFonts w:ascii="Arial" w:hAnsi="Arial" w:cs="Arial"/>
          <w:sz w:val="24"/>
          <w:szCs w:val="24"/>
        </w:rPr>
        <w:t>Please explain this</w:t>
      </w:r>
      <w:r w:rsidR="0008482A">
        <w:rPr>
          <w:rFonts w:ascii="Arial" w:hAnsi="Arial" w:cs="Arial"/>
          <w:sz w:val="24"/>
          <w:szCs w:val="24"/>
        </w:rPr>
        <w:t xml:space="preserve"> discrepancy.</w:t>
      </w:r>
    </w:p>
    <w:p w:rsidR="000B2E82" w:rsidRDefault="000B2E82" w:rsidP="004E76E0">
      <w:pPr>
        <w:spacing w:after="0" w:line="240" w:lineRule="auto"/>
        <w:rPr>
          <w:rFonts w:ascii="Arial" w:hAnsi="Arial" w:cs="Arial"/>
          <w:sz w:val="24"/>
          <w:szCs w:val="24"/>
        </w:rPr>
      </w:pPr>
    </w:p>
    <w:p w:rsidR="000B2E82" w:rsidRPr="000B2E82" w:rsidRDefault="000B2E82" w:rsidP="000B2E82">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lastRenderedPageBreak/>
        <w:t>Hearst Power: As per application EB-2009-0266, disposition was effective February 1</w:t>
      </w:r>
      <w:r w:rsidRPr="000B2E82">
        <w:rPr>
          <w:rFonts w:ascii="Arial" w:hAnsi="Arial" w:cs="Arial"/>
          <w:b/>
          <w:color w:val="1F497D" w:themeColor="text2"/>
          <w:sz w:val="24"/>
          <w:szCs w:val="24"/>
          <w:vertAlign w:val="superscript"/>
        </w:rPr>
        <w:t>st</w:t>
      </w:r>
      <w:r>
        <w:rPr>
          <w:rFonts w:ascii="Arial" w:hAnsi="Arial" w:cs="Arial"/>
          <w:b/>
          <w:color w:val="1F497D" w:themeColor="text2"/>
          <w:sz w:val="24"/>
          <w:szCs w:val="24"/>
        </w:rPr>
        <w:t>, 2011.</w:t>
      </w:r>
    </w:p>
    <w:p w:rsidR="003271E6" w:rsidRDefault="003271E6" w:rsidP="004E76E0">
      <w:pPr>
        <w:spacing w:after="0" w:line="240" w:lineRule="auto"/>
        <w:rPr>
          <w:rFonts w:ascii="Arial" w:hAnsi="Arial" w:cs="Arial"/>
          <w:b/>
          <w:sz w:val="24"/>
          <w:szCs w:val="24"/>
        </w:rPr>
      </w:pPr>
    </w:p>
    <w:p w:rsidR="0008482A" w:rsidRPr="00DD41EF" w:rsidRDefault="00C3011F" w:rsidP="004E76E0">
      <w:pPr>
        <w:spacing w:after="0" w:line="240" w:lineRule="auto"/>
        <w:rPr>
          <w:rFonts w:ascii="Arial" w:hAnsi="Arial" w:cs="Arial"/>
          <w:b/>
          <w:sz w:val="24"/>
          <w:szCs w:val="24"/>
        </w:rPr>
      </w:pPr>
      <w:r>
        <w:rPr>
          <w:rFonts w:ascii="Arial" w:hAnsi="Arial" w:cs="Arial"/>
          <w:b/>
          <w:sz w:val="24"/>
          <w:szCs w:val="24"/>
        </w:rPr>
        <w:t>Staff-4</w:t>
      </w:r>
    </w:p>
    <w:p w:rsidR="0008482A" w:rsidRPr="00DD41EF" w:rsidRDefault="0008482A" w:rsidP="004E76E0">
      <w:pPr>
        <w:spacing w:after="0" w:line="240" w:lineRule="auto"/>
        <w:rPr>
          <w:rFonts w:ascii="Arial" w:hAnsi="Arial" w:cs="Arial"/>
          <w:b/>
          <w:sz w:val="24"/>
          <w:szCs w:val="24"/>
        </w:rPr>
      </w:pPr>
      <w:r w:rsidRPr="00DD41EF">
        <w:rPr>
          <w:rFonts w:ascii="Arial" w:hAnsi="Arial" w:cs="Arial"/>
          <w:b/>
          <w:sz w:val="24"/>
          <w:szCs w:val="24"/>
        </w:rPr>
        <w:t>Ref: Rate Generator Model, Tab 3 Continuity Schedule</w:t>
      </w:r>
    </w:p>
    <w:p w:rsidR="004E76E0" w:rsidRPr="00D75A43" w:rsidRDefault="004E76E0" w:rsidP="004E76E0">
      <w:pPr>
        <w:spacing w:after="0" w:line="240" w:lineRule="auto"/>
        <w:rPr>
          <w:rFonts w:ascii="Arial" w:hAnsi="Arial" w:cs="Arial"/>
          <w:sz w:val="24"/>
          <w:szCs w:val="24"/>
        </w:rPr>
      </w:pPr>
    </w:p>
    <w:p w:rsidR="00DD41EF" w:rsidRDefault="0008482A" w:rsidP="002C6D87">
      <w:pPr>
        <w:spacing w:after="0" w:line="240" w:lineRule="auto"/>
        <w:rPr>
          <w:rFonts w:ascii="Arial" w:hAnsi="Arial" w:cs="Arial"/>
          <w:sz w:val="24"/>
          <w:szCs w:val="24"/>
        </w:rPr>
      </w:pPr>
      <w:r>
        <w:rPr>
          <w:rFonts w:ascii="Arial" w:hAnsi="Arial" w:cs="Arial"/>
          <w:sz w:val="24"/>
          <w:szCs w:val="24"/>
        </w:rPr>
        <w:t xml:space="preserve">Please explain the principle </w:t>
      </w:r>
      <w:r w:rsidR="00DD41EF">
        <w:rPr>
          <w:rFonts w:ascii="Arial" w:hAnsi="Arial" w:cs="Arial"/>
          <w:sz w:val="24"/>
          <w:szCs w:val="24"/>
        </w:rPr>
        <w:t xml:space="preserve">adjustments for the 2011 rate year, entered in column H. If any corrections are required, please make them to the Rate Generator Model. </w:t>
      </w:r>
    </w:p>
    <w:p w:rsidR="00DD41EF" w:rsidRDefault="00DD41EF" w:rsidP="002C6D87">
      <w:pPr>
        <w:spacing w:after="0" w:line="240" w:lineRule="auto"/>
        <w:rPr>
          <w:rFonts w:ascii="Arial" w:hAnsi="Arial" w:cs="Arial"/>
          <w:b/>
          <w:sz w:val="24"/>
          <w:szCs w:val="24"/>
        </w:rPr>
      </w:pPr>
    </w:p>
    <w:p w:rsidR="00F76FBE" w:rsidRPr="000B2E82" w:rsidRDefault="00F76FBE" w:rsidP="00F76FBE">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Hearst Power: As per OEB in-person audit EB-2012-0131.</w:t>
      </w:r>
    </w:p>
    <w:p w:rsidR="00F76FBE" w:rsidRDefault="00F76FBE" w:rsidP="002C6D87">
      <w:pPr>
        <w:spacing w:after="0" w:line="240" w:lineRule="auto"/>
        <w:rPr>
          <w:rFonts w:ascii="Arial" w:hAnsi="Arial" w:cs="Arial"/>
          <w:b/>
          <w:sz w:val="24"/>
          <w:szCs w:val="24"/>
        </w:rPr>
      </w:pPr>
    </w:p>
    <w:p w:rsidR="00F76FBE" w:rsidRDefault="00F76FBE" w:rsidP="002C6D87">
      <w:pPr>
        <w:spacing w:after="0" w:line="240" w:lineRule="auto"/>
        <w:rPr>
          <w:rFonts w:ascii="Arial" w:hAnsi="Arial" w:cs="Arial"/>
          <w:b/>
          <w:sz w:val="24"/>
          <w:szCs w:val="24"/>
        </w:rPr>
      </w:pPr>
    </w:p>
    <w:p w:rsidR="00771A96" w:rsidRDefault="00C3011F" w:rsidP="002C6D87">
      <w:pPr>
        <w:spacing w:after="0" w:line="240" w:lineRule="auto"/>
        <w:rPr>
          <w:rFonts w:ascii="Arial" w:hAnsi="Arial" w:cs="Arial"/>
          <w:b/>
          <w:sz w:val="24"/>
          <w:szCs w:val="24"/>
        </w:rPr>
      </w:pPr>
      <w:r>
        <w:rPr>
          <w:rFonts w:ascii="Arial" w:hAnsi="Arial" w:cs="Arial"/>
          <w:b/>
          <w:sz w:val="24"/>
          <w:szCs w:val="24"/>
        </w:rPr>
        <w:t>Staff-5</w:t>
      </w:r>
    </w:p>
    <w:p w:rsidR="00DD41EF" w:rsidRPr="00DD41EF" w:rsidRDefault="00DD41EF" w:rsidP="00DD41EF">
      <w:pPr>
        <w:spacing w:after="0" w:line="240" w:lineRule="auto"/>
        <w:rPr>
          <w:rFonts w:ascii="Arial" w:hAnsi="Arial" w:cs="Arial"/>
          <w:b/>
          <w:sz w:val="24"/>
          <w:szCs w:val="24"/>
        </w:rPr>
      </w:pPr>
      <w:r w:rsidRPr="00DD41EF">
        <w:rPr>
          <w:rFonts w:ascii="Arial" w:hAnsi="Arial" w:cs="Arial"/>
          <w:b/>
          <w:sz w:val="24"/>
          <w:szCs w:val="24"/>
        </w:rPr>
        <w:t>Ref: Rate Generator Model, Tab 3 Continuity Schedule</w:t>
      </w:r>
    </w:p>
    <w:p w:rsidR="00DD41EF" w:rsidRDefault="00DD41EF" w:rsidP="002C6D87">
      <w:pPr>
        <w:spacing w:after="0" w:line="240" w:lineRule="auto"/>
        <w:rPr>
          <w:rFonts w:ascii="Arial" w:hAnsi="Arial" w:cs="Arial"/>
          <w:b/>
          <w:sz w:val="24"/>
          <w:szCs w:val="24"/>
        </w:rPr>
      </w:pPr>
    </w:p>
    <w:p w:rsidR="00DD41EF" w:rsidRDefault="00DD41EF" w:rsidP="002C6D87">
      <w:pPr>
        <w:spacing w:after="0" w:line="240" w:lineRule="auto"/>
        <w:rPr>
          <w:rFonts w:ascii="Arial" w:hAnsi="Arial" w:cs="Arial"/>
          <w:sz w:val="24"/>
          <w:szCs w:val="24"/>
        </w:rPr>
      </w:pPr>
      <w:r>
        <w:rPr>
          <w:rFonts w:ascii="Arial" w:hAnsi="Arial" w:cs="Arial"/>
          <w:sz w:val="24"/>
          <w:szCs w:val="24"/>
        </w:rPr>
        <w:t xml:space="preserve">OEB staff notes that the amounts entered in columns Q and V for OEB-Approved principle and interest in the 2012 rate year do not reconcile to the OEB’s decision in EB-2011-0171. </w:t>
      </w:r>
    </w:p>
    <w:p w:rsidR="00DD41EF" w:rsidRDefault="00DD41EF" w:rsidP="002C6D87">
      <w:pPr>
        <w:spacing w:after="0" w:line="240" w:lineRule="auto"/>
        <w:rPr>
          <w:rFonts w:ascii="Arial" w:hAnsi="Arial" w:cs="Arial"/>
          <w:sz w:val="24"/>
          <w:szCs w:val="24"/>
        </w:rPr>
      </w:pPr>
    </w:p>
    <w:p w:rsidR="00DD41EF" w:rsidRDefault="00DD41EF" w:rsidP="002C6D87">
      <w:pPr>
        <w:spacing w:after="0" w:line="240" w:lineRule="auto"/>
        <w:rPr>
          <w:rFonts w:ascii="Arial" w:hAnsi="Arial" w:cs="Arial"/>
          <w:sz w:val="24"/>
          <w:szCs w:val="24"/>
        </w:rPr>
      </w:pPr>
      <w:r>
        <w:rPr>
          <w:rFonts w:ascii="Arial" w:hAnsi="Arial" w:cs="Arial"/>
          <w:sz w:val="24"/>
          <w:szCs w:val="24"/>
        </w:rPr>
        <w:t>Please reconcile these amounts, and if any changes are required, please make them to the Rate Generator Model.</w:t>
      </w:r>
    </w:p>
    <w:p w:rsidR="00F76FBE" w:rsidRDefault="00F76FBE" w:rsidP="002C6D87">
      <w:pPr>
        <w:spacing w:after="0" w:line="240" w:lineRule="auto"/>
        <w:rPr>
          <w:rFonts w:ascii="Arial" w:hAnsi="Arial" w:cs="Arial"/>
          <w:sz w:val="24"/>
          <w:szCs w:val="24"/>
        </w:rPr>
      </w:pPr>
    </w:p>
    <w:p w:rsidR="00F76FBE" w:rsidRPr="000B2E82" w:rsidRDefault="00F76FBE" w:rsidP="00F76FBE">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 xml:space="preserve">Hearst Power: </w:t>
      </w:r>
      <w:r w:rsidR="00F54F0D">
        <w:rPr>
          <w:rFonts w:ascii="Arial" w:hAnsi="Arial" w:cs="Arial"/>
          <w:b/>
          <w:color w:val="1F497D" w:themeColor="text2"/>
          <w:sz w:val="24"/>
          <w:szCs w:val="24"/>
        </w:rPr>
        <w:t>As per EB-2011-0171 and OEB audit EB-2012-0131 (Please refer to attached spreadsheet for reconciliation)</w:t>
      </w:r>
    </w:p>
    <w:p w:rsidR="00F76FBE" w:rsidRDefault="00F76FBE" w:rsidP="002C6D87">
      <w:pPr>
        <w:spacing w:after="0" w:line="240" w:lineRule="auto"/>
        <w:rPr>
          <w:rFonts w:ascii="Arial" w:hAnsi="Arial" w:cs="Arial"/>
          <w:sz w:val="24"/>
          <w:szCs w:val="24"/>
        </w:rPr>
      </w:pPr>
    </w:p>
    <w:p w:rsidR="00DD41EF" w:rsidRDefault="00DD41EF" w:rsidP="002C6D87">
      <w:pPr>
        <w:spacing w:after="0" w:line="240" w:lineRule="auto"/>
        <w:rPr>
          <w:rFonts w:ascii="Arial" w:hAnsi="Arial" w:cs="Arial"/>
          <w:sz w:val="24"/>
          <w:szCs w:val="24"/>
        </w:rPr>
      </w:pPr>
    </w:p>
    <w:p w:rsidR="00DD41EF" w:rsidRPr="00DD41EF" w:rsidRDefault="00C3011F" w:rsidP="00DD41EF">
      <w:pPr>
        <w:spacing w:after="0" w:line="240" w:lineRule="auto"/>
        <w:rPr>
          <w:rFonts w:ascii="Arial" w:hAnsi="Arial" w:cs="Arial"/>
          <w:b/>
          <w:sz w:val="24"/>
          <w:szCs w:val="24"/>
        </w:rPr>
      </w:pPr>
      <w:r>
        <w:rPr>
          <w:rFonts w:ascii="Arial" w:hAnsi="Arial" w:cs="Arial"/>
          <w:b/>
          <w:sz w:val="24"/>
          <w:szCs w:val="24"/>
        </w:rPr>
        <w:t>Staff-6</w:t>
      </w:r>
    </w:p>
    <w:p w:rsidR="00DD41EF" w:rsidRPr="00DD41EF" w:rsidRDefault="00DD41EF" w:rsidP="00DD41EF">
      <w:pPr>
        <w:spacing w:after="0" w:line="240" w:lineRule="auto"/>
        <w:rPr>
          <w:rFonts w:ascii="Arial" w:hAnsi="Arial" w:cs="Arial"/>
          <w:b/>
          <w:sz w:val="24"/>
          <w:szCs w:val="24"/>
        </w:rPr>
      </w:pPr>
      <w:r w:rsidRPr="00DD41EF">
        <w:rPr>
          <w:rFonts w:ascii="Arial" w:hAnsi="Arial" w:cs="Arial"/>
          <w:b/>
          <w:sz w:val="24"/>
          <w:szCs w:val="24"/>
        </w:rPr>
        <w:t>Ref: Rate Generator Model, Tab 3 Continuity Schedule</w:t>
      </w:r>
    </w:p>
    <w:p w:rsidR="00DD41EF" w:rsidRPr="00D75A43" w:rsidRDefault="00DD41EF" w:rsidP="00DD41EF">
      <w:pPr>
        <w:spacing w:after="0" w:line="240" w:lineRule="auto"/>
        <w:rPr>
          <w:rFonts w:ascii="Arial" w:hAnsi="Arial" w:cs="Arial"/>
          <w:sz w:val="24"/>
          <w:szCs w:val="24"/>
        </w:rPr>
      </w:pPr>
    </w:p>
    <w:p w:rsidR="00DD41EF" w:rsidRDefault="00DD41EF" w:rsidP="00DD41EF">
      <w:pPr>
        <w:spacing w:after="0" w:line="240" w:lineRule="auto"/>
        <w:rPr>
          <w:rFonts w:ascii="Arial" w:hAnsi="Arial" w:cs="Arial"/>
          <w:sz w:val="24"/>
          <w:szCs w:val="24"/>
        </w:rPr>
      </w:pPr>
      <w:r>
        <w:rPr>
          <w:rFonts w:ascii="Arial" w:hAnsi="Arial" w:cs="Arial"/>
          <w:sz w:val="24"/>
          <w:szCs w:val="24"/>
        </w:rPr>
        <w:t xml:space="preserve">Please explain the principle and interest adjustments for the 2012 rate year, entered in columns R and W. If any corrections are required, please make them to the Rate Generator Model. </w:t>
      </w:r>
    </w:p>
    <w:p w:rsidR="007A0F06" w:rsidRDefault="007A0F06" w:rsidP="00DD41EF">
      <w:pPr>
        <w:spacing w:after="0" w:line="240" w:lineRule="auto"/>
        <w:rPr>
          <w:rFonts w:ascii="Arial" w:hAnsi="Arial" w:cs="Arial"/>
          <w:sz w:val="24"/>
          <w:szCs w:val="24"/>
        </w:rPr>
      </w:pPr>
    </w:p>
    <w:p w:rsidR="007A0F06" w:rsidRPr="000B2E82" w:rsidRDefault="007A0F06" w:rsidP="007A0F06">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Hearst Power: As per OEB in-person audit EB-2012-0131.</w:t>
      </w:r>
    </w:p>
    <w:p w:rsidR="007A0F06" w:rsidRDefault="007A0F06" w:rsidP="00DD41EF">
      <w:pPr>
        <w:spacing w:after="0" w:line="240" w:lineRule="auto"/>
        <w:rPr>
          <w:rFonts w:ascii="Arial" w:hAnsi="Arial" w:cs="Arial"/>
          <w:sz w:val="24"/>
          <w:szCs w:val="24"/>
        </w:rPr>
      </w:pPr>
    </w:p>
    <w:p w:rsidR="00DD41EF" w:rsidRDefault="00DD41EF" w:rsidP="00DD41EF">
      <w:pPr>
        <w:spacing w:after="0" w:line="240" w:lineRule="auto"/>
        <w:rPr>
          <w:rFonts w:ascii="Arial" w:hAnsi="Arial" w:cs="Arial"/>
          <w:sz w:val="24"/>
          <w:szCs w:val="24"/>
        </w:rPr>
      </w:pPr>
    </w:p>
    <w:p w:rsidR="00DD41EF" w:rsidRPr="00DD41EF" w:rsidRDefault="00C3011F" w:rsidP="00DD41EF">
      <w:pPr>
        <w:spacing w:after="0" w:line="240" w:lineRule="auto"/>
        <w:rPr>
          <w:rFonts w:ascii="Arial" w:hAnsi="Arial" w:cs="Arial"/>
          <w:b/>
          <w:sz w:val="24"/>
          <w:szCs w:val="24"/>
        </w:rPr>
      </w:pPr>
      <w:r>
        <w:rPr>
          <w:rFonts w:ascii="Arial" w:hAnsi="Arial" w:cs="Arial"/>
          <w:b/>
          <w:sz w:val="24"/>
          <w:szCs w:val="24"/>
        </w:rPr>
        <w:t>Staff-7</w:t>
      </w:r>
    </w:p>
    <w:p w:rsidR="00DD41EF" w:rsidRPr="00DD41EF" w:rsidRDefault="00DD41EF" w:rsidP="00DD41EF">
      <w:pPr>
        <w:spacing w:after="0" w:line="240" w:lineRule="auto"/>
        <w:rPr>
          <w:rFonts w:ascii="Arial" w:hAnsi="Arial" w:cs="Arial"/>
          <w:b/>
          <w:sz w:val="24"/>
          <w:szCs w:val="24"/>
        </w:rPr>
      </w:pPr>
      <w:r w:rsidRPr="00DD41EF">
        <w:rPr>
          <w:rFonts w:ascii="Arial" w:hAnsi="Arial" w:cs="Arial"/>
          <w:b/>
          <w:sz w:val="24"/>
          <w:szCs w:val="24"/>
        </w:rPr>
        <w:t>Ref: Rate Generator Model, Tab 3 Continuity Schedule</w:t>
      </w:r>
    </w:p>
    <w:p w:rsidR="00DD41EF" w:rsidRPr="00D75A43" w:rsidRDefault="00DD41EF" w:rsidP="00DD41EF">
      <w:pPr>
        <w:spacing w:after="0" w:line="240" w:lineRule="auto"/>
        <w:rPr>
          <w:rFonts w:ascii="Arial" w:hAnsi="Arial" w:cs="Arial"/>
          <w:sz w:val="24"/>
          <w:szCs w:val="24"/>
        </w:rPr>
      </w:pPr>
    </w:p>
    <w:p w:rsidR="00DD41EF" w:rsidRDefault="00DD41EF" w:rsidP="00DD41EF">
      <w:pPr>
        <w:spacing w:after="0" w:line="240" w:lineRule="auto"/>
        <w:rPr>
          <w:rFonts w:ascii="Arial" w:hAnsi="Arial" w:cs="Arial"/>
          <w:sz w:val="24"/>
          <w:szCs w:val="24"/>
        </w:rPr>
      </w:pPr>
      <w:r>
        <w:rPr>
          <w:rFonts w:ascii="Arial" w:hAnsi="Arial" w:cs="Arial"/>
          <w:sz w:val="24"/>
          <w:szCs w:val="24"/>
        </w:rPr>
        <w:t xml:space="preserve">Please explain the principle and interest adjustments for the 2013 rate year, entered in columns AB and AG. If any corrections are required, please make them to the Rate Generator Model. </w:t>
      </w:r>
    </w:p>
    <w:p w:rsidR="007A0F06" w:rsidRDefault="007A0F06" w:rsidP="00DD41EF">
      <w:pPr>
        <w:spacing w:after="0" w:line="240" w:lineRule="auto"/>
        <w:rPr>
          <w:rFonts w:ascii="Arial" w:hAnsi="Arial" w:cs="Arial"/>
          <w:sz w:val="24"/>
          <w:szCs w:val="24"/>
        </w:rPr>
      </w:pPr>
    </w:p>
    <w:p w:rsidR="007A0F06" w:rsidRPr="000B2E82" w:rsidRDefault="007A0F06" w:rsidP="007A0F06">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Hearst Power: As per OEB in-person audit EB-2012-0131.</w:t>
      </w:r>
    </w:p>
    <w:p w:rsidR="007A0F06" w:rsidRDefault="007A0F06" w:rsidP="00DD41EF">
      <w:pPr>
        <w:spacing w:after="0" w:line="240" w:lineRule="auto"/>
        <w:rPr>
          <w:rFonts w:ascii="Arial" w:hAnsi="Arial" w:cs="Arial"/>
          <w:sz w:val="24"/>
          <w:szCs w:val="24"/>
        </w:rPr>
      </w:pPr>
    </w:p>
    <w:p w:rsidR="00771A96" w:rsidRDefault="00771A96" w:rsidP="002C6D87">
      <w:pPr>
        <w:spacing w:after="0" w:line="240" w:lineRule="auto"/>
        <w:rPr>
          <w:rFonts w:ascii="Arial" w:hAnsi="Arial" w:cs="Arial"/>
          <w:b/>
          <w:sz w:val="24"/>
          <w:szCs w:val="24"/>
        </w:rPr>
      </w:pPr>
    </w:p>
    <w:p w:rsidR="00DD41EF" w:rsidRPr="00DD41EF" w:rsidRDefault="00C3011F" w:rsidP="00DD41EF">
      <w:pPr>
        <w:spacing w:after="0" w:line="240" w:lineRule="auto"/>
        <w:rPr>
          <w:rFonts w:ascii="Arial" w:hAnsi="Arial" w:cs="Arial"/>
          <w:b/>
          <w:sz w:val="24"/>
          <w:szCs w:val="24"/>
        </w:rPr>
      </w:pPr>
      <w:r>
        <w:rPr>
          <w:rFonts w:ascii="Arial" w:hAnsi="Arial" w:cs="Arial"/>
          <w:b/>
          <w:sz w:val="24"/>
          <w:szCs w:val="24"/>
        </w:rPr>
        <w:t>Staff-8</w:t>
      </w:r>
    </w:p>
    <w:p w:rsidR="00DD41EF" w:rsidRPr="00DD41EF" w:rsidRDefault="00DD41EF" w:rsidP="00DD41EF">
      <w:pPr>
        <w:spacing w:after="0" w:line="240" w:lineRule="auto"/>
        <w:rPr>
          <w:rFonts w:ascii="Arial" w:hAnsi="Arial" w:cs="Arial"/>
          <w:b/>
          <w:sz w:val="24"/>
          <w:szCs w:val="24"/>
        </w:rPr>
      </w:pPr>
      <w:r w:rsidRPr="00DD41EF">
        <w:rPr>
          <w:rFonts w:ascii="Arial" w:hAnsi="Arial" w:cs="Arial"/>
          <w:b/>
          <w:sz w:val="24"/>
          <w:szCs w:val="24"/>
        </w:rPr>
        <w:t>Ref: Rate Generator Model, Tab 3 Continuity Schedule</w:t>
      </w:r>
    </w:p>
    <w:p w:rsidR="00DD41EF" w:rsidRPr="00D75A43" w:rsidRDefault="00DD41EF" w:rsidP="00DD41EF">
      <w:pPr>
        <w:spacing w:after="0" w:line="240" w:lineRule="auto"/>
        <w:rPr>
          <w:rFonts w:ascii="Arial" w:hAnsi="Arial" w:cs="Arial"/>
          <w:sz w:val="24"/>
          <w:szCs w:val="24"/>
        </w:rPr>
      </w:pPr>
    </w:p>
    <w:p w:rsidR="00DD41EF" w:rsidRDefault="00DD41EF" w:rsidP="00DD41EF">
      <w:pPr>
        <w:spacing w:after="0" w:line="240" w:lineRule="auto"/>
        <w:rPr>
          <w:rFonts w:ascii="Arial" w:hAnsi="Arial" w:cs="Arial"/>
          <w:sz w:val="24"/>
          <w:szCs w:val="24"/>
        </w:rPr>
      </w:pPr>
      <w:r>
        <w:rPr>
          <w:rFonts w:ascii="Arial" w:hAnsi="Arial" w:cs="Arial"/>
          <w:sz w:val="24"/>
          <w:szCs w:val="24"/>
        </w:rPr>
        <w:t>Please explain why amounts have not been populated in columns BM and BN (i.e. principle and interest disposition in 2017 – instructed by the OEB). OEB staff notes that Hearst Power was approved to dispose of its deferral an</w:t>
      </w:r>
      <w:r w:rsidR="00C3011F">
        <w:rPr>
          <w:rFonts w:ascii="Arial" w:hAnsi="Arial" w:cs="Arial"/>
          <w:sz w:val="24"/>
          <w:szCs w:val="24"/>
        </w:rPr>
        <w:t xml:space="preserve">d variance accounts in its 2017 </w:t>
      </w:r>
      <w:r>
        <w:rPr>
          <w:rFonts w:ascii="Arial" w:hAnsi="Arial" w:cs="Arial"/>
          <w:sz w:val="24"/>
          <w:szCs w:val="24"/>
        </w:rPr>
        <w:t>application (EB-2016-0224).</w:t>
      </w:r>
    </w:p>
    <w:p w:rsidR="00DD41EF" w:rsidRDefault="00DD41EF" w:rsidP="00DD41EF">
      <w:pPr>
        <w:spacing w:after="0" w:line="240" w:lineRule="auto"/>
        <w:rPr>
          <w:rFonts w:ascii="Arial" w:hAnsi="Arial" w:cs="Arial"/>
          <w:sz w:val="24"/>
          <w:szCs w:val="24"/>
        </w:rPr>
      </w:pPr>
    </w:p>
    <w:p w:rsidR="00DD41EF" w:rsidRDefault="00DD41EF" w:rsidP="00DD41EF">
      <w:pPr>
        <w:spacing w:after="0" w:line="240" w:lineRule="auto"/>
        <w:rPr>
          <w:rFonts w:ascii="Arial" w:hAnsi="Arial" w:cs="Arial"/>
          <w:sz w:val="24"/>
          <w:szCs w:val="24"/>
        </w:rPr>
      </w:pPr>
      <w:r>
        <w:rPr>
          <w:rFonts w:ascii="Arial" w:hAnsi="Arial" w:cs="Arial"/>
          <w:sz w:val="24"/>
          <w:szCs w:val="24"/>
        </w:rPr>
        <w:t xml:space="preserve">Please update the Rate Generator Model. </w:t>
      </w:r>
    </w:p>
    <w:p w:rsidR="00DD41EF" w:rsidRDefault="00DD41EF" w:rsidP="002C6D87">
      <w:pPr>
        <w:spacing w:after="0" w:line="240" w:lineRule="auto"/>
        <w:rPr>
          <w:rFonts w:ascii="Arial" w:hAnsi="Arial" w:cs="Arial"/>
          <w:b/>
          <w:sz w:val="24"/>
          <w:szCs w:val="24"/>
        </w:rPr>
      </w:pPr>
    </w:p>
    <w:p w:rsidR="00CF0156" w:rsidRPr="000B2E82" w:rsidRDefault="00CF0156" w:rsidP="00CF0156">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Hearst Power: Rate Generator Model was updated to show 2017 principle and interest disposition instructed by OEB.</w:t>
      </w:r>
      <w:bookmarkStart w:id="0" w:name="_GoBack"/>
      <w:bookmarkEnd w:id="0"/>
    </w:p>
    <w:p w:rsidR="00C3011F" w:rsidRDefault="00C3011F" w:rsidP="002C6D87">
      <w:pPr>
        <w:spacing w:after="0" w:line="240" w:lineRule="auto"/>
        <w:rPr>
          <w:rFonts w:ascii="Arial" w:hAnsi="Arial" w:cs="Arial"/>
          <w:b/>
          <w:sz w:val="24"/>
          <w:szCs w:val="24"/>
        </w:rPr>
      </w:pPr>
    </w:p>
    <w:p w:rsidR="00C3011F" w:rsidRDefault="00C3011F" w:rsidP="002C6D87">
      <w:pPr>
        <w:spacing w:after="0" w:line="240" w:lineRule="auto"/>
        <w:rPr>
          <w:rFonts w:ascii="Arial" w:hAnsi="Arial" w:cs="Arial"/>
          <w:b/>
          <w:sz w:val="24"/>
          <w:szCs w:val="24"/>
        </w:rPr>
      </w:pPr>
    </w:p>
    <w:p w:rsidR="00BC32CA" w:rsidRDefault="00C3011F" w:rsidP="002C6D87">
      <w:pPr>
        <w:spacing w:after="0" w:line="240" w:lineRule="auto"/>
        <w:rPr>
          <w:rFonts w:ascii="Arial" w:hAnsi="Arial" w:cs="Arial"/>
          <w:b/>
          <w:sz w:val="24"/>
          <w:szCs w:val="24"/>
        </w:rPr>
      </w:pPr>
      <w:r>
        <w:rPr>
          <w:rFonts w:ascii="Arial" w:hAnsi="Arial" w:cs="Arial"/>
          <w:b/>
          <w:sz w:val="24"/>
          <w:szCs w:val="24"/>
        </w:rPr>
        <w:t>Staff-9</w:t>
      </w:r>
    </w:p>
    <w:p w:rsidR="00BC32CA" w:rsidRDefault="00BC32CA" w:rsidP="002C6D87">
      <w:pPr>
        <w:spacing w:after="0" w:line="240" w:lineRule="auto"/>
        <w:rPr>
          <w:rFonts w:ascii="Arial" w:hAnsi="Arial" w:cs="Arial"/>
          <w:b/>
          <w:sz w:val="24"/>
          <w:szCs w:val="24"/>
        </w:rPr>
      </w:pPr>
      <w:r>
        <w:rPr>
          <w:rFonts w:ascii="Arial" w:hAnsi="Arial" w:cs="Arial"/>
          <w:b/>
          <w:sz w:val="24"/>
          <w:szCs w:val="24"/>
        </w:rPr>
        <w:t xml:space="preserve">Ref: </w:t>
      </w:r>
      <w:r w:rsidRPr="00BC32CA">
        <w:rPr>
          <w:rFonts w:ascii="Arial" w:hAnsi="Arial" w:cs="Arial"/>
          <w:b/>
          <w:sz w:val="24"/>
          <w:szCs w:val="24"/>
        </w:rPr>
        <w:t>Rate Generator Model, Tab 3 Continuity Schedule</w:t>
      </w:r>
    </w:p>
    <w:p w:rsidR="00BC32CA" w:rsidRDefault="00BC32CA" w:rsidP="002C6D87">
      <w:pPr>
        <w:spacing w:after="0" w:line="240" w:lineRule="auto"/>
        <w:rPr>
          <w:rFonts w:ascii="Arial" w:hAnsi="Arial" w:cs="Arial"/>
          <w:b/>
          <w:sz w:val="24"/>
          <w:szCs w:val="24"/>
        </w:rPr>
      </w:pPr>
    </w:p>
    <w:p w:rsidR="001B61E0" w:rsidRDefault="001B61E0" w:rsidP="001B61E0">
      <w:pPr>
        <w:spacing w:after="0" w:line="240" w:lineRule="auto"/>
        <w:rPr>
          <w:rFonts w:ascii="Arial" w:hAnsi="Arial" w:cs="Arial"/>
          <w:sz w:val="24"/>
          <w:szCs w:val="24"/>
        </w:rPr>
      </w:pPr>
      <w:r w:rsidRPr="001B61E0">
        <w:rPr>
          <w:rFonts w:ascii="Arial" w:hAnsi="Arial" w:cs="Arial"/>
          <w:sz w:val="24"/>
          <w:szCs w:val="24"/>
        </w:rPr>
        <w:t>With regards to the D</w:t>
      </w:r>
      <w:r>
        <w:rPr>
          <w:rFonts w:ascii="Arial" w:hAnsi="Arial" w:cs="Arial"/>
          <w:sz w:val="24"/>
          <w:szCs w:val="24"/>
        </w:rPr>
        <w:t>ecember</w:t>
      </w:r>
      <w:r w:rsidRPr="001B61E0">
        <w:rPr>
          <w:rFonts w:ascii="Arial" w:hAnsi="Arial" w:cs="Arial"/>
          <w:sz w:val="24"/>
          <w:szCs w:val="24"/>
        </w:rPr>
        <w:t xml:space="preserve"> 31 balance in Account 1588, all components that flow into Account 1588 (</w:t>
      </w:r>
      <w:proofErr w:type="spellStart"/>
      <w:r w:rsidRPr="001B61E0">
        <w:rPr>
          <w:rFonts w:ascii="Arial" w:hAnsi="Arial" w:cs="Arial"/>
          <w:sz w:val="24"/>
          <w:szCs w:val="24"/>
        </w:rPr>
        <w:t>i</w:t>
      </w:r>
      <w:proofErr w:type="spellEnd"/>
      <w:r w:rsidRPr="001B61E0">
        <w:rPr>
          <w:rFonts w:ascii="Arial" w:hAnsi="Arial" w:cs="Arial"/>
          <w:sz w:val="24"/>
          <w:szCs w:val="24"/>
        </w:rPr>
        <w:t xml:space="preserve"> to iv in table below) should be all based on actuals at year end. </w:t>
      </w:r>
    </w:p>
    <w:p w:rsidR="001B61E0" w:rsidRDefault="001B61E0" w:rsidP="001B61E0">
      <w:pPr>
        <w:spacing w:after="0" w:line="240" w:lineRule="auto"/>
        <w:rPr>
          <w:rFonts w:ascii="Arial" w:hAnsi="Arial" w:cs="Arial"/>
          <w:sz w:val="24"/>
          <w:szCs w:val="24"/>
        </w:rPr>
      </w:pPr>
      <w:r w:rsidRPr="001B61E0">
        <w:rPr>
          <w:rFonts w:ascii="Arial" w:hAnsi="Arial" w:cs="Arial"/>
          <w:sz w:val="24"/>
          <w:szCs w:val="24"/>
        </w:rPr>
        <w:t>Please complete the following table to a) indicate whether the component is based on estimates or actuals at year end and b) quantify the adjustment pertaining to each component that is trued up from estimate to actual</w:t>
      </w:r>
      <w:r>
        <w:rPr>
          <w:rFonts w:ascii="Arial" w:hAnsi="Arial" w:cs="Arial"/>
          <w:sz w:val="24"/>
          <w:szCs w:val="24"/>
        </w:rPr>
        <w:t>.</w:t>
      </w:r>
    </w:p>
    <w:p w:rsidR="001B61E0" w:rsidRPr="001B61E0" w:rsidRDefault="001B61E0" w:rsidP="001B61E0">
      <w:pPr>
        <w:spacing w:after="0" w:line="240" w:lineRule="auto"/>
        <w:rPr>
          <w:rFonts w:ascii="Arial" w:hAnsi="Arial" w:cs="Arial"/>
          <w:sz w:val="24"/>
          <w:szCs w:val="24"/>
        </w:rPr>
      </w:pPr>
    </w:p>
    <w:tbl>
      <w:tblPr>
        <w:tblStyle w:val="TableGrid"/>
        <w:tblW w:w="9605" w:type="dxa"/>
        <w:tblLook w:val="04A0" w:firstRow="1" w:lastRow="0" w:firstColumn="1" w:lastColumn="0" w:noHBand="0" w:noVBand="1"/>
      </w:tblPr>
      <w:tblGrid>
        <w:gridCol w:w="390"/>
        <w:gridCol w:w="1870"/>
        <w:gridCol w:w="1870"/>
        <w:gridCol w:w="3605"/>
        <w:gridCol w:w="1870"/>
      </w:tblGrid>
      <w:tr w:rsidR="001B61E0" w:rsidRPr="001B61E0" w:rsidTr="00607CEC">
        <w:tc>
          <w:tcPr>
            <w:tcW w:w="390" w:type="dxa"/>
          </w:tcPr>
          <w:p w:rsidR="001B61E0" w:rsidRPr="001B61E0" w:rsidRDefault="001B61E0" w:rsidP="001B61E0">
            <w:pPr>
              <w:rPr>
                <w:rFonts w:ascii="Arial" w:hAnsi="Arial" w:cs="Arial"/>
                <w:sz w:val="24"/>
                <w:szCs w:val="24"/>
              </w:rPr>
            </w:pPr>
          </w:p>
        </w:tc>
        <w:tc>
          <w:tcPr>
            <w:tcW w:w="1870" w:type="dxa"/>
          </w:tcPr>
          <w:p w:rsidR="001B61E0" w:rsidRPr="001B61E0" w:rsidRDefault="001B61E0" w:rsidP="001B61E0">
            <w:pPr>
              <w:rPr>
                <w:rFonts w:ascii="Arial" w:hAnsi="Arial" w:cs="Arial"/>
                <w:b/>
                <w:sz w:val="24"/>
                <w:szCs w:val="24"/>
              </w:rPr>
            </w:pPr>
            <w:r w:rsidRPr="001B61E0">
              <w:rPr>
                <w:rFonts w:ascii="Arial" w:hAnsi="Arial" w:cs="Arial"/>
                <w:b/>
                <w:sz w:val="24"/>
                <w:szCs w:val="24"/>
              </w:rPr>
              <w:t>Component</w:t>
            </w:r>
          </w:p>
        </w:tc>
        <w:tc>
          <w:tcPr>
            <w:tcW w:w="1870" w:type="dxa"/>
          </w:tcPr>
          <w:p w:rsidR="001B61E0" w:rsidRPr="001B61E0" w:rsidRDefault="001B61E0" w:rsidP="001B61E0">
            <w:pPr>
              <w:rPr>
                <w:rFonts w:ascii="Arial" w:hAnsi="Arial" w:cs="Arial"/>
                <w:b/>
                <w:sz w:val="24"/>
                <w:szCs w:val="24"/>
              </w:rPr>
            </w:pPr>
            <w:r w:rsidRPr="001B61E0">
              <w:rPr>
                <w:rFonts w:ascii="Arial" w:hAnsi="Arial" w:cs="Arial"/>
                <w:b/>
                <w:sz w:val="24"/>
                <w:szCs w:val="24"/>
              </w:rPr>
              <w:t>a) Estimate or Actual</w:t>
            </w:r>
          </w:p>
        </w:tc>
        <w:tc>
          <w:tcPr>
            <w:tcW w:w="3605" w:type="dxa"/>
          </w:tcPr>
          <w:p w:rsidR="001B61E0" w:rsidRPr="001B61E0" w:rsidRDefault="001B61E0" w:rsidP="001B61E0">
            <w:pPr>
              <w:rPr>
                <w:rFonts w:ascii="Arial" w:hAnsi="Arial" w:cs="Arial"/>
                <w:b/>
                <w:sz w:val="24"/>
                <w:szCs w:val="24"/>
              </w:rPr>
            </w:pPr>
            <w:r w:rsidRPr="001B61E0">
              <w:rPr>
                <w:rFonts w:ascii="Arial" w:hAnsi="Arial" w:cs="Arial"/>
                <w:b/>
                <w:sz w:val="24"/>
                <w:szCs w:val="24"/>
              </w:rPr>
              <w:t>Notes/Comments</w:t>
            </w:r>
          </w:p>
        </w:tc>
        <w:tc>
          <w:tcPr>
            <w:tcW w:w="1870" w:type="dxa"/>
          </w:tcPr>
          <w:p w:rsidR="001B61E0" w:rsidRPr="001B61E0" w:rsidRDefault="001B61E0" w:rsidP="001B61E0">
            <w:pPr>
              <w:rPr>
                <w:rFonts w:ascii="Arial" w:hAnsi="Arial" w:cs="Arial"/>
                <w:b/>
                <w:sz w:val="24"/>
                <w:szCs w:val="24"/>
              </w:rPr>
            </w:pPr>
            <w:r w:rsidRPr="001B61E0">
              <w:rPr>
                <w:rFonts w:ascii="Arial" w:hAnsi="Arial" w:cs="Arial"/>
                <w:b/>
                <w:sz w:val="24"/>
                <w:szCs w:val="24"/>
              </w:rPr>
              <w:t>b) Quantify True Up  Adjustment</w:t>
            </w:r>
          </w:p>
        </w:tc>
      </w:tr>
      <w:tr w:rsidR="001B61E0" w:rsidRPr="001B61E0" w:rsidTr="00607CEC">
        <w:tc>
          <w:tcPr>
            <w:tcW w:w="390" w:type="dxa"/>
          </w:tcPr>
          <w:p w:rsidR="001B61E0" w:rsidRPr="000804E7" w:rsidRDefault="001B61E0" w:rsidP="001B61E0">
            <w:pPr>
              <w:rPr>
                <w:rFonts w:ascii="Arial" w:hAnsi="Arial" w:cs="Arial"/>
                <w:szCs w:val="24"/>
              </w:rPr>
            </w:pPr>
            <w:proofErr w:type="spellStart"/>
            <w:r w:rsidRPr="000804E7">
              <w:rPr>
                <w:rFonts w:ascii="Arial" w:hAnsi="Arial" w:cs="Arial"/>
                <w:szCs w:val="24"/>
              </w:rPr>
              <w:t>i</w:t>
            </w:r>
            <w:proofErr w:type="spellEnd"/>
          </w:p>
        </w:tc>
        <w:tc>
          <w:tcPr>
            <w:tcW w:w="1870" w:type="dxa"/>
          </w:tcPr>
          <w:p w:rsidR="001B61E0" w:rsidRPr="000804E7" w:rsidRDefault="001B61E0" w:rsidP="001B61E0">
            <w:pPr>
              <w:rPr>
                <w:rFonts w:ascii="Arial" w:hAnsi="Arial" w:cs="Arial"/>
                <w:szCs w:val="24"/>
              </w:rPr>
            </w:pPr>
            <w:r w:rsidRPr="000804E7">
              <w:rPr>
                <w:rFonts w:ascii="Arial" w:hAnsi="Arial" w:cs="Arial"/>
                <w:szCs w:val="24"/>
              </w:rPr>
              <w:t xml:space="preserve">Revenues (i.e. is unbilled revenues trued up by year end) </w:t>
            </w:r>
          </w:p>
          <w:p w:rsidR="001B61E0" w:rsidRPr="000804E7" w:rsidRDefault="001B61E0" w:rsidP="001B61E0">
            <w:pPr>
              <w:rPr>
                <w:rFonts w:ascii="Arial" w:hAnsi="Arial" w:cs="Arial"/>
                <w:szCs w:val="24"/>
              </w:rPr>
            </w:pPr>
          </w:p>
        </w:tc>
        <w:tc>
          <w:tcPr>
            <w:tcW w:w="1870" w:type="dxa"/>
          </w:tcPr>
          <w:p w:rsidR="001B61E0" w:rsidRPr="007A0F06" w:rsidRDefault="007A0F06" w:rsidP="001B61E0">
            <w:pPr>
              <w:rPr>
                <w:rFonts w:ascii="Arial" w:hAnsi="Arial" w:cs="Arial"/>
                <w:b/>
                <w:sz w:val="24"/>
                <w:szCs w:val="24"/>
              </w:rPr>
            </w:pPr>
            <w:r w:rsidRPr="007A0F06">
              <w:rPr>
                <w:rFonts w:ascii="Arial" w:hAnsi="Arial" w:cs="Arial"/>
                <w:b/>
                <w:color w:val="1F497D" w:themeColor="text2"/>
                <w:sz w:val="24"/>
                <w:szCs w:val="24"/>
              </w:rPr>
              <w:t>Actual</w:t>
            </w:r>
          </w:p>
        </w:tc>
        <w:tc>
          <w:tcPr>
            <w:tcW w:w="3605" w:type="dxa"/>
          </w:tcPr>
          <w:p w:rsidR="001B61E0" w:rsidRPr="001B61E0" w:rsidRDefault="001B61E0" w:rsidP="001B61E0">
            <w:pPr>
              <w:rPr>
                <w:rFonts w:ascii="Arial" w:hAnsi="Arial" w:cs="Arial"/>
                <w:sz w:val="24"/>
                <w:szCs w:val="24"/>
              </w:rPr>
            </w:pPr>
          </w:p>
        </w:tc>
        <w:tc>
          <w:tcPr>
            <w:tcW w:w="1870" w:type="dxa"/>
          </w:tcPr>
          <w:p w:rsidR="001B61E0" w:rsidRPr="001B61E0" w:rsidRDefault="001B61E0" w:rsidP="001B61E0">
            <w:pPr>
              <w:rPr>
                <w:rFonts w:ascii="Arial" w:hAnsi="Arial" w:cs="Arial"/>
                <w:sz w:val="24"/>
                <w:szCs w:val="24"/>
              </w:rPr>
            </w:pPr>
          </w:p>
        </w:tc>
      </w:tr>
      <w:tr w:rsidR="001B61E0" w:rsidRPr="001B61E0" w:rsidTr="00607CEC">
        <w:tc>
          <w:tcPr>
            <w:tcW w:w="390" w:type="dxa"/>
          </w:tcPr>
          <w:p w:rsidR="001B61E0" w:rsidRPr="000804E7" w:rsidRDefault="001B61E0" w:rsidP="001B61E0">
            <w:pPr>
              <w:rPr>
                <w:rFonts w:ascii="Arial" w:hAnsi="Arial" w:cs="Arial"/>
                <w:szCs w:val="24"/>
              </w:rPr>
            </w:pPr>
            <w:r w:rsidRPr="000804E7">
              <w:rPr>
                <w:rFonts w:ascii="Arial" w:hAnsi="Arial" w:cs="Arial"/>
                <w:szCs w:val="24"/>
              </w:rPr>
              <w:t>ii</w:t>
            </w:r>
          </w:p>
        </w:tc>
        <w:tc>
          <w:tcPr>
            <w:tcW w:w="1870" w:type="dxa"/>
          </w:tcPr>
          <w:p w:rsidR="001B61E0" w:rsidRPr="000804E7" w:rsidRDefault="001B61E0" w:rsidP="001B61E0">
            <w:pPr>
              <w:rPr>
                <w:rFonts w:ascii="Arial" w:hAnsi="Arial" w:cs="Arial"/>
                <w:szCs w:val="24"/>
              </w:rPr>
            </w:pPr>
            <w:r w:rsidRPr="000804E7">
              <w:rPr>
                <w:rFonts w:ascii="Arial" w:hAnsi="Arial" w:cs="Arial"/>
                <w:szCs w:val="24"/>
              </w:rPr>
              <w:t>Expenses – Commodity: Charge Type 101 (i.e. is expense based on IESO invoice at year end)</w:t>
            </w:r>
          </w:p>
        </w:tc>
        <w:tc>
          <w:tcPr>
            <w:tcW w:w="1870" w:type="dxa"/>
          </w:tcPr>
          <w:p w:rsidR="001B61E0" w:rsidRPr="001B61E0" w:rsidRDefault="007A0F06" w:rsidP="001B61E0">
            <w:pPr>
              <w:rPr>
                <w:rFonts w:ascii="Arial" w:hAnsi="Arial" w:cs="Arial"/>
                <w:sz w:val="24"/>
                <w:szCs w:val="24"/>
              </w:rPr>
            </w:pPr>
            <w:r w:rsidRPr="007A0F06">
              <w:rPr>
                <w:rFonts w:ascii="Arial" w:hAnsi="Arial" w:cs="Arial"/>
                <w:b/>
                <w:color w:val="1F497D" w:themeColor="text2"/>
                <w:sz w:val="24"/>
                <w:szCs w:val="24"/>
              </w:rPr>
              <w:t>Actual</w:t>
            </w:r>
          </w:p>
        </w:tc>
        <w:tc>
          <w:tcPr>
            <w:tcW w:w="3605" w:type="dxa"/>
          </w:tcPr>
          <w:p w:rsidR="001B61E0" w:rsidRPr="001B61E0" w:rsidRDefault="001B61E0" w:rsidP="001B61E0">
            <w:pPr>
              <w:rPr>
                <w:rFonts w:ascii="Arial" w:hAnsi="Arial" w:cs="Arial"/>
                <w:sz w:val="24"/>
                <w:szCs w:val="24"/>
              </w:rPr>
            </w:pPr>
          </w:p>
        </w:tc>
        <w:tc>
          <w:tcPr>
            <w:tcW w:w="1870" w:type="dxa"/>
          </w:tcPr>
          <w:p w:rsidR="001B61E0" w:rsidRPr="001B61E0" w:rsidRDefault="001B61E0" w:rsidP="001B61E0">
            <w:pPr>
              <w:rPr>
                <w:rFonts w:ascii="Arial" w:hAnsi="Arial" w:cs="Arial"/>
                <w:sz w:val="24"/>
                <w:szCs w:val="24"/>
              </w:rPr>
            </w:pPr>
          </w:p>
        </w:tc>
      </w:tr>
      <w:tr w:rsidR="001B61E0" w:rsidRPr="001B61E0" w:rsidTr="00607CEC">
        <w:tc>
          <w:tcPr>
            <w:tcW w:w="390" w:type="dxa"/>
          </w:tcPr>
          <w:p w:rsidR="001B61E0" w:rsidRPr="000804E7" w:rsidRDefault="001B61E0" w:rsidP="001B61E0">
            <w:pPr>
              <w:rPr>
                <w:rFonts w:ascii="Arial" w:hAnsi="Arial" w:cs="Arial"/>
                <w:szCs w:val="24"/>
              </w:rPr>
            </w:pPr>
            <w:proofErr w:type="spellStart"/>
            <w:r w:rsidRPr="000804E7">
              <w:rPr>
                <w:rFonts w:ascii="Arial" w:hAnsi="Arial" w:cs="Arial"/>
                <w:szCs w:val="24"/>
              </w:rPr>
              <w:t>ijj</w:t>
            </w:r>
            <w:proofErr w:type="spellEnd"/>
          </w:p>
        </w:tc>
        <w:tc>
          <w:tcPr>
            <w:tcW w:w="1870" w:type="dxa"/>
          </w:tcPr>
          <w:p w:rsidR="001B61E0" w:rsidRPr="000804E7" w:rsidRDefault="001B61E0" w:rsidP="001B61E0">
            <w:pPr>
              <w:rPr>
                <w:rFonts w:ascii="Arial" w:hAnsi="Arial" w:cs="Arial"/>
                <w:szCs w:val="24"/>
              </w:rPr>
            </w:pPr>
            <w:r w:rsidRPr="000804E7">
              <w:rPr>
                <w:rFonts w:ascii="Arial" w:hAnsi="Arial" w:cs="Arial"/>
                <w:szCs w:val="24"/>
              </w:rPr>
              <w:t xml:space="preserve">Expenses - GA RPP: Charge Type 148 with respect to the quantum dollar amount (i.e. is </w:t>
            </w:r>
            <w:r w:rsidRPr="000804E7">
              <w:rPr>
                <w:rFonts w:ascii="Arial" w:hAnsi="Arial" w:cs="Arial"/>
                <w:szCs w:val="24"/>
              </w:rPr>
              <w:lastRenderedPageBreak/>
              <w:t>expense based on IESO invoice at year end)</w:t>
            </w:r>
          </w:p>
          <w:p w:rsidR="001B61E0" w:rsidRPr="000804E7" w:rsidRDefault="001B61E0" w:rsidP="001B61E0">
            <w:pPr>
              <w:rPr>
                <w:rFonts w:ascii="Arial" w:hAnsi="Arial" w:cs="Arial"/>
                <w:szCs w:val="24"/>
              </w:rPr>
            </w:pPr>
          </w:p>
        </w:tc>
        <w:tc>
          <w:tcPr>
            <w:tcW w:w="1870" w:type="dxa"/>
          </w:tcPr>
          <w:p w:rsidR="001B61E0" w:rsidRPr="001B61E0" w:rsidRDefault="007A0F06" w:rsidP="001B61E0">
            <w:pPr>
              <w:rPr>
                <w:rFonts w:ascii="Arial" w:hAnsi="Arial" w:cs="Arial"/>
                <w:sz w:val="24"/>
                <w:szCs w:val="24"/>
              </w:rPr>
            </w:pPr>
            <w:r w:rsidRPr="007A0F06">
              <w:rPr>
                <w:rFonts w:ascii="Arial" w:hAnsi="Arial" w:cs="Arial"/>
                <w:b/>
                <w:color w:val="1F497D" w:themeColor="text2"/>
                <w:sz w:val="24"/>
                <w:szCs w:val="24"/>
              </w:rPr>
              <w:lastRenderedPageBreak/>
              <w:t>Actual</w:t>
            </w:r>
          </w:p>
        </w:tc>
        <w:tc>
          <w:tcPr>
            <w:tcW w:w="3605" w:type="dxa"/>
          </w:tcPr>
          <w:p w:rsidR="001B61E0" w:rsidRPr="001B61E0" w:rsidRDefault="001B61E0" w:rsidP="001B61E0">
            <w:pPr>
              <w:rPr>
                <w:rFonts w:ascii="Arial" w:hAnsi="Arial" w:cs="Arial"/>
                <w:sz w:val="24"/>
                <w:szCs w:val="24"/>
              </w:rPr>
            </w:pPr>
          </w:p>
        </w:tc>
        <w:tc>
          <w:tcPr>
            <w:tcW w:w="1870" w:type="dxa"/>
          </w:tcPr>
          <w:p w:rsidR="001B61E0" w:rsidRPr="001B61E0" w:rsidRDefault="001B61E0" w:rsidP="001B61E0">
            <w:pPr>
              <w:rPr>
                <w:rFonts w:ascii="Arial" w:hAnsi="Arial" w:cs="Arial"/>
                <w:sz w:val="24"/>
                <w:szCs w:val="24"/>
              </w:rPr>
            </w:pPr>
          </w:p>
        </w:tc>
      </w:tr>
      <w:tr w:rsidR="001B61E0" w:rsidRPr="001B61E0" w:rsidTr="00607CEC">
        <w:tc>
          <w:tcPr>
            <w:tcW w:w="390" w:type="dxa"/>
          </w:tcPr>
          <w:p w:rsidR="001B61E0" w:rsidRPr="000804E7" w:rsidRDefault="001B61E0" w:rsidP="001B61E0">
            <w:pPr>
              <w:rPr>
                <w:rFonts w:ascii="Arial" w:hAnsi="Arial" w:cs="Arial"/>
                <w:szCs w:val="24"/>
              </w:rPr>
            </w:pPr>
            <w:r w:rsidRPr="000804E7">
              <w:rPr>
                <w:rFonts w:ascii="Arial" w:hAnsi="Arial" w:cs="Arial"/>
                <w:szCs w:val="24"/>
              </w:rPr>
              <w:t>iv</w:t>
            </w:r>
          </w:p>
        </w:tc>
        <w:tc>
          <w:tcPr>
            <w:tcW w:w="1870" w:type="dxa"/>
          </w:tcPr>
          <w:p w:rsidR="001B61E0" w:rsidRPr="000804E7" w:rsidRDefault="001B61E0" w:rsidP="001B61E0">
            <w:pPr>
              <w:rPr>
                <w:rFonts w:ascii="Arial" w:hAnsi="Arial" w:cs="Arial"/>
                <w:szCs w:val="24"/>
              </w:rPr>
            </w:pPr>
            <w:r w:rsidRPr="000804E7">
              <w:rPr>
                <w:rFonts w:ascii="Arial" w:hAnsi="Arial" w:cs="Arial"/>
                <w:szCs w:val="24"/>
              </w:rPr>
              <w:t>Expenses - GA RPP: Charge Type 148 with respect and RPP/non-RPP pro-ration percentages</w:t>
            </w:r>
          </w:p>
          <w:p w:rsidR="001B61E0" w:rsidRPr="000804E7" w:rsidRDefault="001B61E0" w:rsidP="001B61E0">
            <w:pPr>
              <w:rPr>
                <w:rFonts w:ascii="Arial" w:hAnsi="Arial" w:cs="Arial"/>
                <w:szCs w:val="24"/>
              </w:rPr>
            </w:pPr>
          </w:p>
        </w:tc>
        <w:tc>
          <w:tcPr>
            <w:tcW w:w="1870" w:type="dxa"/>
          </w:tcPr>
          <w:p w:rsidR="001B61E0" w:rsidRPr="001B61E0" w:rsidRDefault="007A0F06" w:rsidP="001B61E0">
            <w:pPr>
              <w:rPr>
                <w:rFonts w:ascii="Arial" w:hAnsi="Arial" w:cs="Arial"/>
                <w:sz w:val="24"/>
                <w:szCs w:val="24"/>
              </w:rPr>
            </w:pPr>
            <w:r w:rsidRPr="007A0F06">
              <w:rPr>
                <w:rFonts w:ascii="Arial" w:hAnsi="Arial" w:cs="Arial"/>
                <w:b/>
                <w:color w:val="1F497D" w:themeColor="text2"/>
                <w:sz w:val="24"/>
                <w:szCs w:val="24"/>
              </w:rPr>
              <w:t>Actual</w:t>
            </w:r>
          </w:p>
        </w:tc>
        <w:tc>
          <w:tcPr>
            <w:tcW w:w="3605" w:type="dxa"/>
          </w:tcPr>
          <w:p w:rsidR="001B61E0" w:rsidRPr="001B61E0" w:rsidRDefault="001B61E0" w:rsidP="001B61E0">
            <w:pPr>
              <w:rPr>
                <w:rFonts w:ascii="Arial" w:hAnsi="Arial" w:cs="Arial"/>
                <w:sz w:val="24"/>
                <w:szCs w:val="24"/>
              </w:rPr>
            </w:pPr>
          </w:p>
        </w:tc>
        <w:tc>
          <w:tcPr>
            <w:tcW w:w="1870" w:type="dxa"/>
          </w:tcPr>
          <w:p w:rsidR="001B61E0" w:rsidRPr="001B61E0" w:rsidRDefault="001B61E0" w:rsidP="001B61E0">
            <w:pPr>
              <w:rPr>
                <w:rFonts w:ascii="Arial" w:hAnsi="Arial" w:cs="Arial"/>
                <w:sz w:val="24"/>
                <w:szCs w:val="24"/>
              </w:rPr>
            </w:pPr>
          </w:p>
        </w:tc>
      </w:tr>
      <w:tr w:rsidR="001B61E0" w:rsidRPr="001B61E0" w:rsidTr="00607CEC">
        <w:tc>
          <w:tcPr>
            <w:tcW w:w="390" w:type="dxa"/>
          </w:tcPr>
          <w:p w:rsidR="001B61E0" w:rsidRPr="000804E7" w:rsidRDefault="001B61E0" w:rsidP="001B61E0">
            <w:pPr>
              <w:rPr>
                <w:rFonts w:ascii="Arial" w:hAnsi="Arial" w:cs="Arial"/>
                <w:szCs w:val="24"/>
              </w:rPr>
            </w:pPr>
            <w:r w:rsidRPr="000804E7">
              <w:rPr>
                <w:rFonts w:ascii="Arial" w:hAnsi="Arial" w:cs="Arial"/>
                <w:szCs w:val="24"/>
              </w:rPr>
              <w:t>v</w:t>
            </w:r>
          </w:p>
        </w:tc>
        <w:tc>
          <w:tcPr>
            <w:tcW w:w="1870" w:type="dxa"/>
          </w:tcPr>
          <w:p w:rsidR="001B61E0" w:rsidRPr="000804E7" w:rsidRDefault="001B61E0" w:rsidP="001B61E0">
            <w:pPr>
              <w:rPr>
                <w:rFonts w:ascii="Arial" w:hAnsi="Arial" w:cs="Arial"/>
                <w:szCs w:val="24"/>
              </w:rPr>
            </w:pPr>
            <w:r w:rsidRPr="000804E7">
              <w:rPr>
                <w:rFonts w:ascii="Arial" w:hAnsi="Arial" w:cs="Arial"/>
                <w:szCs w:val="24"/>
              </w:rPr>
              <w:t>RPP Settlement: Charge Type 142 including any data used for determining the RPP/HOEP/RPP GA components of  the charge type</w:t>
            </w:r>
          </w:p>
          <w:p w:rsidR="001B61E0" w:rsidRPr="000804E7" w:rsidRDefault="001B61E0" w:rsidP="001B61E0">
            <w:pPr>
              <w:rPr>
                <w:rFonts w:ascii="Arial" w:hAnsi="Arial" w:cs="Arial"/>
                <w:szCs w:val="24"/>
              </w:rPr>
            </w:pPr>
          </w:p>
        </w:tc>
        <w:tc>
          <w:tcPr>
            <w:tcW w:w="1870" w:type="dxa"/>
          </w:tcPr>
          <w:p w:rsidR="001B61E0" w:rsidRPr="001B61E0" w:rsidRDefault="007A0F06" w:rsidP="001B61E0">
            <w:pPr>
              <w:rPr>
                <w:rFonts w:ascii="Arial" w:hAnsi="Arial" w:cs="Arial"/>
                <w:sz w:val="24"/>
                <w:szCs w:val="24"/>
              </w:rPr>
            </w:pPr>
            <w:r w:rsidRPr="007A0F06">
              <w:rPr>
                <w:rFonts w:ascii="Arial" w:hAnsi="Arial" w:cs="Arial"/>
                <w:b/>
                <w:color w:val="1F497D" w:themeColor="text2"/>
                <w:sz w:val="24"/>
                <w:szCs w:val="24"/>
              </w:rPr>
              <w:t>Actual</w:t>
            </w:r>
          </w:p>
        </w:tc>
        <w:tc>
          <w:tcPr>
            <w:tcW w:w="3605" w:type="dxa"/>
          </w:tcPr>
          <w:p w:rsidR="001B61E0" w:rsidRPr="001B61E0" w:rsidRDefault="001B61E0" w:rsidP="001B61E0">
            <w:pPr>
              <w:rPr>
                <w:rFonts w:ascii="Arial" w:hAnsi="Arial" w:cs="Arial"/>
                <w:sz w:val="24"/>
                <w:szCs w:val="24"/>
              </w:rPr>
            </w:pPr>
          </w:p>
        </w:tc>
        <w:tc>
          <w:tcPr>
            <w:tcW w:w="1870" w:type="dxa"/>
          </w:tcPr>
          <w:p w:rsidR="001B61E0" w:rsidRPr="001B61E0" w:rsidRDefault="001B61E0" w:rsidP="001B61E0">
            <w:pPr>
              <w:rPr>
                <w:rFonts w:ascii="Arial" w:hAnsi="Arial" w:cs="Arial"/>
                <w:sz w:val="24"/>
                <w:szCs w:val="24"/>
              </w:rPr>
            </w:pPr>
          </w:p>
        </w:tc>
      </w:tr>
    </w:tbl>
    <w:p w:rsidR="00BC32CA" w:rsidRPr="00BC32CA" w:rsidRDefault="00BC32CA" w:rsidP="002C6D87">
      <w:pPr>
        <w:spacing w:after="0" w:line="240" w:lineRule="auto"/>
        <w:rPr>
          <w:rFonts w:ascii="Arial" w:hAnsi="Arial" w:cs="Arial"/>
          <w:sz w:val="24"/>
          <w:szCs w:val="24"/>
        </w:rPr>
      </w:pPr>
    </w:p>
    <w:p w:rsidR="00B97E51" w:rsidRPr="00B97E51" w:rsidRDefault="00B97E51" w:rsidP="00B97E51">
      <w:pPr>
        <w:spacing w:after="0" w:line="240" w:lineRule="auto"/>
        <w:rPr>
          <w:rFonts w:ascii="Arial" w:hAnsi="Arial" w:cs="Arial"/>
          <w:sz w:val="24"/>
          <w:szCs w:val="24"/>
        </w:rPr>
      </w:pPr>
      <w:r>
        <w:rPr>
          <w:rFonts w:ascii="Arial" w:hAnsi="Arial" w:cs="Arial"/>
          <w:sz w:val="24"/>
          <w:szCs w:val="24"/>
        </w:rPr>
        <w:t xml:space="preserve"> </w:t>
      </w:r>
    </w:p>
    <w:sectPr w:rsidR="00B97E51" w:rsidRPr="00B97E51" w:rsidSect="00EA0919">
      <w:headerReference w:type="default" r:id="rId7"/>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F35" w:rsidRDefault="002B5F35" w:rsidP="0077449D">
      <w:pPr>
        <w:spacing w:after="0" w:line="240" w:lineRule="auto"/>
      </w:pPr>
      <w:r>
        <w:separator/>
      </w:r>
    </w:p>
  </w:endnote>
  <w:endnote w:type="continuationSeparator" w:id="0">
    <w:p w:rsidR="002B5F35" w:rsidRDefault="002B5F35" w:rsidP="0077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F35" w:rsidRDefault="002B5F35" w:rsidP="0077449D">
      <w:pPr>
        <w:spacing w:after="0" w:line="240" w:lineRule="auto"/>
      </w:pPr>
      <w:r>
        <w:separator/>
      </w:r>
    </w:p>
  </w:footnote>
  <w:footnote w:type="continuationSeparator" w:id="0">
    <w:p w:rsidR="002B5F35" w:rsidRDefault="002B5F35" w:rsidP="00774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49D" w:rsidRDefault="00771A96" w:rsidP="0077449D">
    <w:pPr>
      <w:pStyle w:val="Header"/>
      <w:jc w:val="right"/>
    </w:pPr>
    <w:r>
      <w:tab/>
      <w:t>Hearst Power Distribution Co. Ltd.</w:t>
    </w:r>
  </w:p>
  <w:p w:rsidR="0077449D" w:rsidRDefault="00771A96" w:rsidP="0077449D">
    <w:pPr>
      <w:pStyle w:val="Header"/>
      <w:jc w:val="right"/>
    </w:pPr>
    <w:r>
      <w:t>EB-2017-0046</w:t>
    </w:r>
  </w:p>
  <w:p w:rsidR="0077449D" w:rsidRDefault="0077449D" w:rsidP="0077449D">
    <w:pPr>
      <w:pStyle w:val="Header"/>
      <w:jc w:val="right"/>
    </w:pPr>
    <w:r>
      <w:t>OEB staff Analysis</w:t>
    </w:r>
  </w:p>
  <w:p w:rsidR="0077449D" w:rsidRDefault="0077449D">
    <w:pPr>
      <w:pStyle w:val="Header"/>
    </w:pPr>
  </w:p>
  <w:p w:rsidR="0077449D" w:rsidRDefault="00774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5311"/>
    <w:multiLevelType w:val="hybridMultilevel"/>
    <w:tmpl w:val="75DE3DEC"/>
    <w:lvl w:ilvl="0" w:tplc="750CC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96E7A"/>
    <w:multiLevelType w:val="hybridMultilevel"/>
    <w:tmpl w:val="21D0ABDA"/>
    <w:lvl w:ilvl="0" w:tplc="EC7E670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51479D"/>
    <w:multiLevelType w:val="hybridMultilevel"/>
    <w:tmpl w:val="8780A322"/>
    <w:lvl w:ilvl="0" w:tplc="4C9EBED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F64F1E"/>
    <w:multiLevelType w:val="hybridMultilevel"/>
    <w:tmpl w:val="46129484"/>
    <w:lvl w:ilvl="0" w:tplc="1E7AA39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8C6069"/>
    <w:multiLevelType w:val="hybridMultilevel"/>
    <w:tmpl w:val="08B8D8E4"/>
    <w:lvl w:ilvl="0" w:tplc="1390C93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894674"/>
    <w:multiLevelType w:val="hybridMultilevel"/>
    <w:tmpl w:val="17580FF6"/>
    <w:lvl w:ilvl="0" w:tplc="D506E8D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1AD59E4"/>
    <w:multiLevelType w:val="hybridMultilevel"/>
    <w:tmpl w:val="249267E0"/>
    <w:lvl w:ilvl="0" w:tplc="A0B8602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3EB63AA"/>
    <w:multiLevelType w:val="hybridMultilevel"/>
    <w:tmpl w:val="C6927CDA"/>
    <w:lvl w:ilvl="0" w:tplc="90DA92D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4065F37"/>
    <w:multiLevelType w:val="hybridMultilevel"/>
    <w:tmpl w:val="9D789358"/>
    <w:lvl w:ilvl="0" w:tplc="D7649C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5503F44"/>
    <w:multiLevelType w:val="hybridMultilevel"/>
    <w:tmpl w:val="04E648DE"/>
    <w:lvl w:ilvl="0" w:tplc="66681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96628"/>
    <w:multiLevelType w:val="hybridMultilevel"/>
    <w:tmpl w:val="126C0ABC"/>
    <w:lvl w:ilvl="0" w:tplc="B8E471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6"/>
  </w:num>
  <w:num w:numId="2">
    <w:abstractNumId w:val="2"/>
  </w:num>
  <w:num w:numId="3">
    <w:abstractNumId w:val="5"/>
  </w:num>
  <w:num w:numId="4">
    <w:abstractNumId w:val="10"/>
  </w:num>
  <w:num w:numId="5">
    <w:abstractNumId w:val="3"/>
  </w:num>
  <w:num w:numId="6">
    <w:abstractNumId w:val="1"/>
  </w:num>
  <w:num w:numId="7">
    <w:abstractNumId w:val="7"/>
  </w:num>
  <w:num w:numId="8">
    <w:abstractNumId w:val="8"/>
  </w:num>
  <w:num w:numId="9">
    <w:abstractNumId w:val="4"/>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1C"/>
    <w:rsid w:val="0000368D"/>
    <w:rsid w:val="00050A1C"/>
    <w:rsid w:val="00051716"/>
    <w:rsid w:val="000547C0"/>
    <w:rsid w:val="00065468"/>
    <w:rsid w:val="0008010E"/>
    <w:rsid w:val="000804E7"/>
    <w:rsid w:val="0008482A"/>
    <w:rsid w:val="000B2E82"/>
    <w:rsid w:val="000B3D88"/>
    <w:rsid w:val="000C3D7A"/>
    <w:rsid w:val="0012131E"/>
    <w:rsid w:val="00135224"/>
    <w:rsid w:val="00195388"/>
    <w:rsid w:val="001B61E0"/>
    <w:rsid w:val="001D0BC5"/>
    <w:rsid w:val="00221BAC"/>
    <w:rsid w:val="00244E4E"/>
    <w:rsid w:val="00273B75"/>
    <w:rsid w:val="00277EDA"/>
    <w:rsid w:val="00281C53"/>
    <w:rsid w:val="002A4DEA"/>
    <w:rsid w:val="002B253D"/>
    <w:rsid w:val="002B5F35"/>
    <w:rsid w:val="002C6D87"/>
    <w:rsid w:val="002D34E0"/>
    <w:rsid w:val="002F1428"/>
    <w:rsid w:val="002F4193"/>
    <w:rsid w:val="00313BBF"/>
    <w:rsid w:val="00326D23"/>
    <w:rsid w:val="003271E6"/>
    <w:rsid w:val="00333EF2"/>
    <w:rsid w:val="003711B9"/>
    <w:rsid w:val="00380AE9"/>
    <w:rsid w:val="00384F40"/>
    <w:rsid w:val="003A6E9F"/>
    <w:rsid w:val="003D6176"/>
    <w:rsid w:val="003E4EEB"/>
    <w:rsid w:val="003F7161"/>
    <w:rsid w:val="0041146F"/>
    <w:rsid w:val="00412DC6"/>
    <w:rsid w:val="0042166B"/>
    <w:rsid w:val="00447311"/>
    <w:rsid w:val="00490E49"/>
    <w:rsid w:val="004B6F88"/>
    <w:rsid w:val="004C3BB5"/>
    <w:rsid w:val="004D581F"/>
    <w:rsid w:val="004E49FC"/>
    <w:rsid w:val="004E76E0"/>
    <w:rsid w:val="005750C1"/>
    <w:rsid w:val="00575514"/>
    <w:rsid w:val="00593956"/>
    <w:rsid w:val="005A1389"/>
    <w:rsid w:val="005D09BD"/>
    <w:rsid w:val="005F33A0"/>
    <w:rsid w:val="005F3DE7"/>
    <w:rsid w:val="00615542"/>
    <w:rsid w:val="00641EC2"/>
    <w:rsid w:val="00644601"/>
    <w:rsid w:val="00644734"/>
    <w:rsid w:val="006540B8"/>
    <w:rsid w:val="006774C2"/>
    <w:rsid w:val="00686479"/>
    <w:rsid w:val="00713ACA"/>
    <w:rsid w:val="0074459A"/>
    <w:rsid w:val="00746080"/>
    <w:rsid w:val="00765711"/>
    <w:rsid w:val="00771A96"/>
    <w:rsid w:val="0077449D"/>
    <w:rsid w:val="0078711C"/>
    <w:rsid w:val="007A0F06"/>
    <w:rsid w:val="007B51AD"/>
    <w:rsid w:val="00806FF0"/>
    <w:rsid w:val="00853062"/>
    <w:rsid w:val="00884C9E"/>
    <w:rsid w:val="008F16EE"/>
    <w:rsid w:val="00915980"/>
    <w:rsid w:val="00920F64"/>
    <w:rsid w:val="0093358C"/>
    <w:rsid w:val="00933B2D"/>
    <w:rsid w:val="00972756"/>
    <w:rsid w:val="009A0D79"/>
    <w:rsid w:val="009C6337"/>
    <w:rsid w:val="009D7835"/>
    <w:rsid w:val="009E6DD7"/>
    <w:rsid w:val="00A21231"/>
    <w:rsid w:val="00A4582B"/>
    <w:rsid w:val="00A94182"/>
    <w:rsid w:val="00AA06D9"/>
    <w:rsid w:val="00AB2F00"/>
    <w:rsid w:val="00B201D0"/>
    <w:rsid w:val="00B25576"/>
    <w:rsid w:val="00B54B3F"/>
    <w:rsid w:val="00B54D2B"/>
    <w:rsid w:val="00B97E51"/>
    <w:rsid w:val="00BB4EBF"/>
    <w:rsid w:val="00BC32CA"/>
    <w:rsid w:val="00C155E3"/>
    <w:rsid w:val="00C3011F"/>
    <w:rsid w:val="00CD5EB1"/>
    <w:rsid w:val="00CF0156"/>
    <w:rsid w:val="00CF0546"/>
    <w:rsid w:val="00CF11B4"/>
    <w:rsid w:val="00D43E58"/>
    <w:rsid w:val="00D52447"/>
    <w:rsid w:val="00D75A43"/>
    <w:rsid w:val="00DA4E29"/>
    <w:rsid w:val="00DC6DEE"/>
    <w:rsid w:val="00DD41EF"/>
    <w:rsid w:val="00E01F88"/>
    <w:rsid w:val="00E03B23"/>
    <w:rsid w:val="00E1079D"/>
    <w:rsid w:val="00E175E7"/>
    <w:rsid w:val="00E50D46"/>
    <w:rsid w:val="00E55AA0"/>
    <w:rsid w:val="00E63079"/>
    <w:rsid w:val="00E8068E"/>
    <w:rsid w:val="00EA0919"/>
    <w:rsid w:val="00EE5A38"/>
    <w:rsid w:val="00F360C3"/>
    <w:rsid w:val="00F54F0D"/>
    <w:rsid w:val="00F60E82"/>
    <w:rsid w:val="00F76FBE"/>
    <w:rsid w:val="00FB0E52"/>
    <w:rsid w:val="00FE0D71"/>
    <w:rsid w:val="00FE545E"/>
    <w:rsid w:val="00FE69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D37E"/>
  <w15:docId w15:val="{276ECA67-A037-43D3-A718-D013E8D7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9D"/>
  </w:style>
  <w:style w:type="paragraph" w:styleId="Footer">
    <w:name w:val="footer"/>
    <w:basedOn w:val="Normal"/>
    <w:link w:val="FooterChar"/>
    <w:uiPriority w:val="99"/>
    <w:unhideWhenUsed/>
    <w:rsid w:val="00774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9D"/>
  </w:style>
  <w:style w:type="paragraph" w:styleId="BalloonText">
    <w:name w:val="Balloon Text"/>
    <w:basedOn w:val="Normal"/>
    <w:link w:val="BalloonTextChar"/>
    <w:uiPriority w:val="99"/>
    <w:semiHidden/>
    <w:unhideWhenUsed/>
    <w:rsid w:val="00774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9D"/>
    <w:rPr>
      <w:rFonts w:ascii="Tahoma" w:hAnsi="Tahoma" w:cs="Tahoma"/>
      <w:sz w:val="16"/>
      <w:szCs w:val="16"/>
    </w:rPr>
  </w:style>
  <w:style w:type="paragraph" w:styleId="ListParagraph">
    <w:name w:val="List Paragraph"/>
    <w:basedOn w:val="Normal"/>
    <w:uiPriority w:val="34"/>
    <w:qFormat/>
    <w:rsid w:val="005F3DE7"/>
    <w:pPr>
      <w:ind w:left="720"/>
      <w:contextualSpacing/>
    </w:pPr>
  </w:style>
  <w:style w:type="character" w:styleId="CommentReference">
    <w:name w:val="annotation reference"/>
    <w:basedOn w:val="DefaultParagraphFont"/>
    <w:uiPriority w:val="99"/>
    <w:semiHidden/>
    <w:unhideWhenUsed/>
    <w:rsid w:val="00BB4EBF"/>
    <w:rPr>
      <w:sz w:val="16"/>
      <w:szCs w:val="16"/>
    </w:rPr>
  </w:style>
  <w:style w:type="paragraph" w:styleId="CommentText">
    <w:name w:val="annotation text"/>
    <w:basedOn w:val="Normal"/>
    <w:link w:val="CommentTextChar"/>
    <w:uiPriority w:val="99"/>
    <w:semiHidden/>
    <w:unhideWhenUsed/>
    <w:rsid w:val="00BB4EBF"/>
    <w:pPr>
      <w:spacing w:line="240" w:lineRule="auto"/>
    </w:pPr>
    <w:rPr>
      <w:sz w:val="20"/>
      <w:szCs w:val="20"/>
    </w:rPr>
  </w:style>
  <w:style w:type="character" w:customStyle="1" w:styleId="CommentTextChar">
    <w:name w:val="Comment Text Char"/>
    <w:basedOn w:val="DefaultParagraphFont"/>
    <w:link w:val="CommentText"/>
    <w:uiPriority w:val="99"/>
    <w:semiHidden/>
    <w:rsid w:val="00BB4EBF"/>
    <w:rPr>
      <w:sz w:val="20"/>
      <w:szCs w:val="20"/>
    </w:rPr>
  </w:style>
  <w:style w:type="paragraph" w:styleId="CommentSubject">
    <w:name w:val="annotation subject"/>
    <w:basedOn w:val="CommentText"/>
    <w:next w:val="CommentText"/>
    <w:link w:val="CommentSubjectChar"/>
    <w:uiPriority w:val="99"/>
    <w:semiHidden/>
    <w:unhideWhenUsed/>
    <w:rsid w:val="00BB4EBF"/>
    <w:rPr>
      <w:b/>
      <w:bCs/>
    </w:rPr>
  </w:style>
  <w:style w:type="character" w:customStyle="1" w:styleId="CommentSubjectChar">
    <w:name w:val="Comment Subject Char"/>
    <w:basedOn w:val="CommentTextChar"/>
    <w:link w:val="CommentSubject"/>
    <w:uiPriority w:val="99"/>
    <w:semiHidden/>
    <w:rsid w:val="00BB4EBF"/>
    <w:rPr>
      <w:b/>
      <w:bCs/>
      <w:sz w:val="20"/>
      <w:szCs w:val="20"/>
    </w:rPr>
  </w:style>
  <w:style w:type="table" w:styleId="TableGrid">
    <w:name w:val="Table Grid"/>
    <w:basedOn w:val="TableNormal"/>
    <w:uiPriority w:val="59"/>
    <w:rsid w:val="001B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Jessy Richard</cp:lastModifiedBy>
  <cp:revision>4</cp:revision>
  <cp:lastPrinted>2017-09-18T16:57:00Z</cp:lastPrinted>
  <dcterms:created xsi:type="dcterms:W3CDTF">2017-12-15T14:04:00Z</dcterms:created>
  <dcterms:modified xsi:type="dcterms:W3CDTF">2017-12-27T19:01:00Z</dcterms:modified>
</cp:coreProperties>
</file>