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73D" w:rsidRPr="00DA59F4" w:rsidRDefault="00DA59F4" w:rsidP="00DA59F4">
      <w:pPr>
        <w:rPr>
          <w:rFonts w:ascii="Arial" w:hAnsi="Arial" w:cs="Arial"/>
          <w:b/>
          <w:sz w:val="24"/>
          <w:szCs w:val="24"/>
        </w:rPr>
      </w:pPr>
      <w:proofErr w:type="spellStart"/>
      <w:r w:rsidRPr="00DA59F4">
        <w:rPr>
          <w:rFonts w:ascii="Arial" w:hAnsi="Arial" w:cs="Arial"/>
          <w:b/>
          <w:sz w:val="24"/>
          <w:szCs w:val="24"/>
        </w:rPr>
        <w:t>Tillsonburg</w:t>
      </w:r>
      <w:proofErr w:type="spellEnd"/>
      <w:r w:rsidRPr="00DA59F4">
        <w:rPr>
          <w:rFonts w:ascii="Arial" w:hAnsi="Arial" w:cs="Arial"/>
          <w:b/>
          <w:sz w:val="24"/>
          <w:szCs w:val="24"/>
        </w:rPr>
        <w:t xml:space="preserve"> Hydro Inc. </w:t>
      </w:r>
      <w:r>
        <w:rPr>
          <w:rFonts w:ascii="Arial" w:hAnsi="Arial" w:cs="Arial"/>
          <w:b/>
          <w:sz w:val="24"/>
          <w:szCs w:val="24"/>
        </w:rPr>
        <w:t xml:space="preserve">- </w:t>
      </w:r>
      <w:r w:rsidR="00342129">
        <w:rPr>
          <w:rFonts w:ascii="Arial" w:hAnsi="Arial" w:cs="Arial"/>
          <w:b/>
          <w:sz w:val="24"/>
          <w:szCs w:val="24"/>
        </w:rPr>
        <w:t>EB-2017-0076</w:t>
      </w:r>
      <w:bookmarkStart w:id="0" w:name="_GoBack"/>
      <w:bookmarkEnd w:id="0"/>
    </w:p>
    <w:p w:rsidR="0002696F" w:rsidRDefault="00F6173D" w:rsidP="00F6173D">
      <w:pPr>
        <w:rPr>
          <w:rFonts w:ascii="Arial" w:hAnsi="Arial" w:cs="Arial"/>
          <w:b/>
          <w:sz w:val="24"/>
          <w:szCs w:val="24"/>
        </w:rPr>
      </w:pPr>
      <w:r w:rsidRPr="00DA475F">
        <w:rPr>
          <w:rFonts w:ascii="Arial" w:hAnsi="Arial" w:cs="Arial"/>
          <w:b/>
          <w:sz w:val="24"/>
          <w:szCs w:val="24"/>
        </w:rPr>
        <w:t>GA Analysis</w:t>
      </w:r>
      <w:r>
        <w:rPr>
          <w:rFonts w:ascii="Arial" w:hAnsi="Arial" w:cs="Arial"/>
          <w:b/>
          <w:sz w:val="24"/>
          <w:szCs w:val="24"/>
        </w:rPr>
        <w:t xml:space="preserve"> </w:t>
      </w:r>
      <w:proofErr w:type="spellStart"/>
      <w:r>
        <w:rPr>
          <w:rFonts w:ascii="Arial" w:hAnsi="Arial" w:cs="Arial"/>
          <w:b/>
          <w:sz w:val="24"/>
          <w:szCs w:val="24"/>
        </w:rPr>
        <w:t>Workform</w:t>
      </w:r>
      <w:proofErr w:type="spellEnd"/>
      <w:r w:rsidRPr="00DA475F">
        <w:rPr>
          <w:rFonts w:ascii="Arial" w:hAnsi="Arial" w:cs="Arial"/>
          <w:b/>
          <w:sz w:val="24"/>
          <w:szCs w:val="24"/>
        </w:rPr>
        <w:t xml:space="preserve"> </w:t>
      </w:r>
      <w:r w:rsidR="00D850F9">
        <w:rPr>
          <w:rFonts w:ascii="Arial" w:hAnsi="Arial" w:cs="Arial"/>
          <w:b/>
          <w:sz w:val="24"/>
          <w:szCs w:val="24"/>
        </w:rPr>
        <w:t xml:space="preserve">Preliminary </w:t>
      </w:r>
      <w:r w:rsidRPr="00DA475F">
        <w:rPr>
          <w:rFonts w:ascii="Arial" w:hAnsi="Arial" w:cs="Arial"/>
          <w:b/>
          <w:sz w:val="24"/>
          <w:szCs w:val="24"/>
        </w:rPr>
        <w:t>Questions</w:t>
      </w:r>
    </w:p>
    <w:p w:rsidR="00F6173D" w:rsidRDefault="00F6173D" w:rsidP="00F6173D">
      <w:pPr>
        <w:rPr>
          <w:rFonts w:ascii="Arial" w:hAnsi="Arial" w:cs="Arial"/>
          <w:b/>
          <w:sz w:val="24"/>
          <w:szCs w:val="24"/>
        </w:rPr>
      </w:pPr>
    </w:p>
    <w:p w:rsidR="00F6173D" w:rsidRPr="000162D6" w:rsidRDefault="00F6173D" w:rsidP="00F6173D">
      <w:pPr>
        <w:pStyle w:val="ListParagraph"/>
        <w:numPr>
          <w:ilvl w:val="0"/>
          <w:numId w:val="1"/>
        </w:numPr>
        <w:rPr>
          <w:rFonts w:ascii="Arial" w:hAnsi="Arial" w:cs="Arial"/>
          <w:sz w:val="24"/>
          <w:szCs w:val="24"/>
        </w:rPr>
      </w:pPr>
      <w:r w:rsidRPr="000162D6">
        <w:rPr>
          <w:rFonts w:ascii="Arial" w:hAnsi="Arial" w:cs="Arial"/>
          <w:sz w:val="24"/>
          <w:szCs w:val="24"/>
        </w:rPr>
        <w:t>In booking expense journal entries for Charge Type 1142 (formerly 142), and Charge Type 148 from the IESO invoice, please confirm which of the following approach is used:</w:t>
      </w:r>
    </w:p>
    <w:p w:rsidR="00F6173D" w:rsidRDefault="00F6173D" w:rsidP="00F6173D">
      <w:pPr>
        <w:pStyle w:val="ListParagraph"/>
        <w:numPr>
          <w:ilvl w:val="0"/>
          <w:numId w:val="2"/>
        </w:numPr>
        <w:rPr>
          <w:rFonts w:ascii="Arial" w:hAnsi="Arial" w:cs="Arial"/>
          <w:sz w:val="24"/>
          <w:szCs w:val="24"/>
        </w:rPr>
      </w:pPr>
      <w:r w:rsidRPr="000162D6">
        <w:rPr>
          <w:rFonts w:ascii="Arial" w:hAnsi="Arial" w:cs="Arial"/>
          <w:sz w:val="24"/>
          <w:szCs w:val="24"/>
        </w:rPr>
        <w:t>Charge Type 1142 is booked into Account 1588. Charge Type 148 is pro-rated based on RPP/non-RPP consumption and then booked into Account 1588 and 1589, respectively</w:t>
      </w:r>
    </w:p>
    <w:p w:rsidR="00F6173D" w:rsidRPr="00ED2655" w:rsidRDefault="00F6173D" w:rsidP="00F6173D">
      <w:pPr>
        <w:pStyle w:val="ListParagraph"/>
        <w:numPr>
          <w:ilvl w:val="0"/>
          <w:numId w:val="2"/>
        </w:numPr>
        <w:rPr>
          <w:rFonts w:ascii="Arial" w:hAnsi="Arial" w:cs="Arial"/>
          <w:sz w:val="24"/>
          <w:szCs w:val="24"/>
        </w:rPr>
      </w:pPr>
      <w:r w:rsidRPr="000162D6">
        <w:rPr>
          <w:rFonts w:ascii="Arial" w:hAnsi="Arial" w:cs="Arial"/>
          <w:sz w:val="24"/>
          <w:szCs w:val="24"/>
        </w:rPr>
        <w:t xml:space="preserve"> </w:t>
      </w:r>
      <w:r w:rsidRPr="00ED2655">
        <w:rPr>
          <w:rFonts w:ascii="Arial" w:hAnsi="Arial" w:cs="Arial"/>
          <w:sz w:val="24"/>
          <w:szCs w:val="24"/>
        </w:rPr>
        <w:t xml:space="preserve">Charge Type 148 is booked into Account 1589. The portion of Charge Type 1142 equalling RPP-HOEP for RPP consumption is booked into Account 1588. The portion of Charge Type 1142 equalling GA RPP is credited into Account 1589.  </w:t>
      </w:r>
    </w:p>
    <w:p w:rsidR="00F6173D" w:rsidRPr="00ED2655" w:rsidRDefault="00F6173D" w:rsidP="00F6173D">
      <w:pPr>
        <w:pStyle w:val="ListParagraph"/>
        <w:numPr>
          <w:ilvl w:val="0"/>
          <w:numId w:val="2"/>
        </w:numPr>
        <w:rPr>
          <w:rFonts w:ascii="Arial" w:hAnsi="Arial" w:cs="Arial"/>
          <w:sz w:val="24"/>
          <w:szCs w:val="24"/>
        </w:rPr>
      </w:pPr>
      <w:r w:rsidRPr="00ED2655">
        <w:rPr>
          <w:rFonts w:ascii="Arial" w:hAnsi="Arial" w:cs="Arial"/>
          <w:sz w:val="24"/>
          <w:szCs w:val="24"/>
        </w:rPr>
        <w:t xml:space="preserve"> Another approach.  Please explain this approach in detail.</w:t>
      </w:r>
    </w:p>
    <w:p w:rsidR="00F6173D" w:rsidRPr="00ED2655" w:rsidRDefault="00F6173D" w:rsidP="00F6173D">
      <w:pPr>
        <w:pStyle w:val="ListParagraph"/>
        <w:rPr>
          <w:rFonts w:ascii="Arial" w:hAnsi="Arial" w:cs="Arial"/>
          <w:sz w:val="24"/>
          <w:szCs w:val="24"/>
        </w:rPr>
      </w:pPr>
    </w:p>
    <w:p w:rsidR="00F6173D" w:rsidRPr="00CC067D" w:rsidRDefault="00F6173D" w:rsidP="00CC067D">
      <w:pPr>
        <w:pStyle w:val="ListParagraph"/>
        <w:numPr>
          <w:ilvl w:val="0"/>
          <w:numId w:val="1"/>
        </w:numPr>
        <w:spacing w:after="0"/>
        <w:rPr>
          <w:rFonts w:ascii="Arial" w:hAnsi="Arial" w:cs="Arial"/>
          <w:sz w:val="24"/>
          <w:szCs w:val="24"/>
        </w:rPr>
      </w:pPr>
      <w:r w:rsidRPr="00ED2655">
        <w:rPr>
          <w:rFonts w:ascii="Arial" w:hAnsi="Arial" w:cs="Arial"/>
          <w:sz w:val="24"/>
          <w:szCs w:val="24"/>
        </w:rPr>
        <w:t>In regards to the Dec. 31 balance in Account 1589:</w:t>
      </w:r>
    </w:p>
    <w:p w:rsidR="00F6173D" w:rsidRPr="00916BA8" w:rsidRDefault="00F6173D" w:rsidP="00CC067D">
      <w:pPr>
        <w:pStyle w:val="ListParagraph"/>
        <w:numPr>
          <w:ilvl w:val="1"/>
          <w:numId w:val="1"/>
        </w:numPr>
        <w:spacing w:after="0"/>
        <w:rPr>
          <w:rFonts w:ascii="Arial" w:hAnsi="Arial" w:cs="Arial"/>
          <w:sz w:val="24"/>
          <w:szCs w:val="24"/>
        </w:rPr>
      </w:pPr>
      <w:r>
        <w:rPr>
          <w:rFonts w:ascii="Arial" w:hAnsi="Arial" w:cs="Arial"/>
          <w:sz w:val="24"/>
          <w:szCs w:val="24"/>
        </w:rPr>
        <w:t>For a</w:t>
      </w:r>
      <w:r w:rsidRPr="00916BA8">
        <w:rPr>
          <w:rFonts w:ascii="Arial" w:hAnsi="Arial" w:cs="Arial"/>
          <w:sz w:val="24"/>
          <w:szCs w:val="24"/>
        </w:rPr>
        <w:t>ll components that flow into Account 1589 (</w:t>
      </w:r>
      <w:r>
        <w:rPr>
          <w:rFonts w:ascii="Arial" w:hAnsi="Arial" w:cs="Arial"/>
          <w:sz w:val="24"/>
          <w:szCs w:val="24"/>
        </w:rPr>
        <w:t xml:space="preserve">see items </w:t>
      </w:r>
      <w:proofErr w:type="spellStart"/>
      <w:r w:rsidRPr="00916BA8">
        <w:rPr>
          <w:rFonts w:ascii="Arial" w:hAnsi="Arial" w:cs="Arial"/>
          <w:sz w:val="24"/>
          <w:szCs w:val="24"/>
        </w:rPr>
        <w:t>i</w:t>
      </w:r>
      <w:proofErr w:type="spellEnd"/>
      <w:r w:rsidRPr="00916BA8">
        <w:rPr>
          <w:rFonts w:ascii="Arial" w:hAnsi="Arial" w:cs="Arial"/>
          <w:sz w:val="24"/>
          <w:szCs w:val="24"/>
        </w:rPr>
        <w:t xml:space="preserve"> to </w:t>
      </w:r>
      <w:proofErr w:type="gramStart"/>
      <w:r w:rsidRPr="00916BA8">
        <w:rPr>
          <w:rFonts w:ascii="Arial" w:hAnsi="Arial" w:cs="Arial"/>
          <w:sz w:val="24"/>
          <w:szCs w:val="24"/>
        </w:rPr>
        <w:t>iv</w:t>
      </w:r>
      <w:proofErr w:type="gramEnd"/>
      <w:r w:rsidRPr="00916BA8">
        <w:rPr>
          <w:rFonts w:ascii="Arial" w:hAnsi="Arial" w:cs="Arial"/>
          <w:sz w:val="24"/>
          <w:szCs w:val="24"/>
        </w:rPr>
        <w:t xml:space="preserve"> in</w:t>
      </w:r>
      <w:r>
        <w:rPr>
          <w:rFonts w:ascii="Arial" w:hAnsi="Arial" w:cs="Arial"/>
          <w:sz w:val="24"/>
          <w:szCs w:val="24"/>
        </w:rPr>
        <w:t xml:space="preserve"> the</w:t>
      </w:r>
      <w:r w:rsidRPr="00916BA8">
        <w:rPr>
          <w:rFonts w:ascii="Arial" w:hAnsi="Arial" w:cs="Arial"/>
          <w:sz w:val="24"/>
          <w:szCs w:val="24"/>
        </w:rPr>
        <w:t xml:space="preserve"> table below)</w:t>
      </w:r>
      <w:r>
        <w:rPr>
          <w:rFonts w:ascii="Arial" w:hAnsi="Arial" w:cs="Arial"/>
          <w:sz w:val="24"/>
          <w:szCs w:val="24"/>
        </w:rPr>
        <w:t xml:space="preserve">, please complete the table below and indicate whether the items listed have been recorded based on estimates or actuals at year-end. </w:t>
      </w:r>
      <w:r w:rsidRPr="00916BA8">
        <w:rPr>
          <w:rFonts w:ascii="Arial" w:hAnsi="Arial" w:cs="Arial"/>
          <w:sz w:val="24"/>
          <w:szCs w:val="24"/>
        </w:rPr>
        <w:t xml:space="preserve"> </w:t>
      </w:r>
      <w:r>
        <w:rPr>
          <w:rFonts w:ascii="Arial" w:hAnsi="Arial" w:cs="Arial"/>
          <w:sz w:val="24"/>
          <w:szCs w:val="24"/>
        </w:rPr>
        <w:t>Where an item has been recorded based on an estimate,</w:t>
      </w:r>
      <w:r w:rsidRPr="00916BA8">
        <w:rPr>
          <w:rFonts w:ascii="Arial" w:hAnsi="Arial" w:cs="Arial"/>
          <w:sz w:val="24"/>
          <w:szCs w:val="24"/>
        </w:rPr>
        <w:t xml:space="preserve"> quantify the adjustment </w:t>
      </w:r>
      <w:r>
        <w:rPr>
          <w:rFonts w:ascii="Arial" w:hAnsi="Arial" w:cs="Arial"/>
          <w:sz w:val="24"/>
          <w:szCs w:val="24"/>
        </w:rPr>
        <w:t xml:space="preserve">required for </w:t>
      </w:r>
      <w:r w:rsidRPr="00916BA8">
        <w:rPr>
          <w:rFonts w:ascii="Arial" w:hAnsi="Arial" w:cs="Arial"/>
          <w:sz w:val="24"/>
          <w:szCs w:val="24"/>
        </w:rPr>
        <w:t>t</w:t>
      </w:r>
      <w:r>
        <w:rPr>
          <w:rFonts w:ascii="Arial" w:hAnsi="Arial" w:cs="Arial"/>
          <w:sz w:val="24"/>
          <w:szCs w:val="24"/>
        </w:rPr>
        <w:t>o</w:t>
      </w:r>
      <w:r w:rsidRPr="00916BA8">
        <w:rPr>
          <w:rFonts w:ascii="Arial" w:hAnsi="Arial" w:cs="Arial"/>
          <w:sz w:val="24"/>
          <w:szCs w:val="24"/>
        </w:rPr>
        <w:t xml:space="preserve"> true up from estimate to actual</w:t>
      </w:r>
      <w:r>
        <w:rPr>
          <w:rFonts w:ascii="Arial" w:hAnsi="Arial" w:cs="Arial"/>
          <w:sz w:val="24"/>
          <w:szCs w:val="24"/>
        </w:rPr>
        <w:t>.</w:t>
      </w:r>
    </w:p>
    <w:tbl>
      <w:tblPr>
        <w:tblStyle w:val="TableGrid"/>
        <w:tblW w:w="9605" w:type="dxa"/>
        <w:tblLook w:val="04A0" w:firstRow="1" w:lastRow="0" w:firstColumn="1" w:lastColumn="0" w:noHBand="0" w:noVBand="1"/>
      </w:tblPr>
      <w:tblGrid>
        <w:gridCol w:w="390"/>
        <w:gridCol w:w="1870"/>
        <w:gridCol w:w="1870"/>
        <w:gridCol w:w="3605"/>
        <w:gridCol w:w="1870"/>
      </w:tblGrid>
      <w:tr w:rsidR="00F6173D" w:rsidTr="00A12038">
        <w:tc>
          <w:tcPr>
            <w:tcW w:w="390" w:type="dxa"/>
          </w:tcPr>
          <w:p w:rsidR="00F6173D" w:rsidRPr="00360DCD" w:rsidRDefault="00F6173D" w:rsidP="00A12038">
            <w:pPr>
              <w:rPr>
                <w:rFonts w:ascii="Arial" w:hAnsi="Arial" w:cs="Arial"/>
                <w:sz w:val="20"/>
                <w:szCs w:val="20"/>
              </w:rPr>
            </w:pPr>
          </w:p>
        </w:tc>
        <w:tc>
          <w:tcPr>
            <w:tcW w:w="1870" w:type="dxa"/>
          </w:tcPr>
          <w:p w:rsidR="00F6173D" w:rsidRPr="00360DCD" w:rsidRDefault="00F6173D" w:rsidP="00A12038">
            <w:pPr>
              <w:rPr>
                <w:rFonts w:ascii="Arial" w:hAnsi="Arial" w:cs="Arial"/>
                <w:b/>
                <w:sz w:val="20"/>
                <w:szCs w:val="20"/>
              </w:rPr>
            </w:pPr>
            <w:r w:rsidRPr="00360DCD">
              <w:rPr>
                <w:rFonts w:ascii="Arial" w:hAnsi="Arial" w:cs="Arial"/>
                <w:b/>
                <w:sz w:val="20"/>
                <w:szCs w:val="20"/>
              </w:rPr>
              <w:t>Component</w:t>
            </w:r>
          </w:p>
        </w:tc>
        <w:tc>
          <w:tcPr>
            <w:tcW w:w="1870" w:type="dxa"/>
          </w:tcPr>
          <w:p w:rsidR="00F6173D" w:rsidRPr="00360DCD" w:rsidRDefault="00F6173D" w:rsidP="00A12038">
            <w:pPr>
              <w:rPr>
                <w:rFonts w:ascii="Arial" w:hAnsi="Arial" w:cs="Arial"/>
                <w:b/>
                <w:sz w:val="20"/>
                <w:szCs w:val="20"/>
              </w:rPr>
            </w:pPr>
            <w:r w:rsidRPr="00360DCD">
              <w:rPr>
                <w:rFonts w:ascii="Arial" w:hAnsi="Arial" w:cs="Arial"/>
                <w:b/>
                <w:sz w:val="20"/>
                <w:szCs w:val="20"/>
              </w:rPr>
              <w:t>a) Estimate or Actual</w:t>
            </w:r>
          </w:p>
        </w:tc>
        <w:tc>
          <w:tcPr>
            <w:tcW w:w="3605" w:type="dxa"/>
          </w:tcPr>
          <w:p w:rsidR="00F6173D" w:rsidRPr="00360DCD" w:rsidRDefault="00F6173D" w:rsidP="00A12038">
            <w:pPr>
              <w:rPr>
                <w:rFonts w:ascii="Arial" w:hAnsi="Arial" w:cs="Arial"/>
                <w:b/>
                <w:sz w:val="20"/>
                <w:szCs w:val="20"/>
              </w:rPr>
            </w:pPr>
            <w:r w:rsidRPr="00360DCD">
              <w:rPr>
                <w:rFonts w:ascii="Arial" w:hAnsi="Arial" w:cs="Arial"/>
                <w:b/>
                <w:sz w:val="20"/>
                <w:szCs w:val="20"/>
              </w:rPr>
              <w:t>Notes/Comments</w:t>
            </w:r>
          </w:p>
        </w:tc>
        <w:tc>
          <w:tcPr>
            <w:tcW w:w="1870" w:type="dxa"/>
          </w:tcPr>
          <w:p w:rsidR="00F6173D" w:rsidRPr="00360DCD" w:rsidRDefault="00F6173D" w:rsidP="00A12038">
            <w:pPr>
              <w:rPr>
                <w:rFonts w:ascii="Arial" w:hAnsi="Arial" w:cs="Arial"/>
                <w:b/>
                <w:sz w:val="20"/>
                <w:szCs w:val="20"/>
              </w:rPr>
            </w:pPr>
            <w:r w:rsidRPr="00360DCD">
              <w:rPr>
                <w:rFonts w:ascii="Arial" w:hAnsi="Arial" w:cs="Arial"/>
                <w:b/>
                <w:sz w:val="20"/>
                <w:szCs w:val="20"/>
              </w:rPr>
              <w:t>b) Quantify True Up  Adjustment</w:t>
            </w:r>
          </w:p>
        </w:tc>
      </w:tr>
      <w:tr w:rsidR="00F6173D" w:rsidTr="00A12038">
        <w:tc>
          <w:tcPr>
            <w:tcW w:w="390" w:type="dxa"/>
          </w:tcPr>
          <w:p w:rsidR="00F6173D" w:rsidRPr="00360DCD" w:rsidRDefault="00F6173D" w:rsidP="00A12038">
            <w:pPr>
              <w:rPr>
                <w:rFonts w:ascii="Arial" w:hAnsi="Arial" w:cs="Arial"/>
                <w:sz w:val="20"/>
                <w:szCs w:val="20"/>
              </w:rPr>
            </w:pPr>
            <w:proofErr w:type="spellStart"/>
            <w:r w:rsidRPr="00360DCD">
              <w:rPr>
                <w:rFonts w:ascii="Arial" w:hAnsi="Arial" w:cs="Arial"/>
                <w:sz w:val="20"/>
                <w:szCs w:val="20"/>
              </w:rPr>
              <w:t>i</w:t>
            </w:r>
            <w:proofErr w:type="spellEnd"/>
          </w:p>
        </w:tc>
        <w:tc>
          <w:tcPr>
            <w:tcW w:w="1870" w:type="dxa"/>
          </w:tcPr>
          <w:p w:rsidR="00F6173D" w:rsidRPr="00360DCD" w:rsidRDefault="00F6173D" w:rsidP="00A12038">
            <w:pPr>
              <w:rPr>
                <w:rFonts w:ascii="Arial" w:hAnsi="Arial" w:cs="Arial"/>
                <w:sz w:val="20"/>
                <w:szCs w:val="20"/>
              </w:rPr>
            </w:pPr>
            <w:r w:rsidRPr="00360DCD">
              <w:rPr>
                <w:rFonts w:ascii="Arial" w:hAnsi="Arial" w:cs="Arial"/>
                <w:sz w:val="20"/>
                <w:szCs w:val="20"/>
              </w:rPr>
              <w:t>Revenues (i.e. is unbilled revenues trued up</w:t>
            </w:r>
            <w:r>
              <w:rPr>
                <w:rFonts w:ascii="Arial" w:hAnsi="Arial" w:cs="Arial"/>
                <w:sz w:val="20"/>
                <w:szCs w:val="20"/>
              </w:rPr>
              <w:t xml:space="preserve"> by year end</w:t>
            </w:r>
            <w:r w:rsidRPr="00360DCD">
              <w:rPr>
                <w:rFonts w:ascii="Arial" w:hAnsi="Arial" w:cs="Arial"/>
                <w:sz w:val="20"/>
                <w:szCs w:val="20"/>
              </w:rPr>
              <w:t xml:space="preserve">) </w:t>
            </w:r>
          </w:p>
          <w:p w:rsidR="00F6173D" w:rsidRPr="00360DCD" w:rsidRDefault="00F6173D" w:rsidP="00A12038">
            <w:pPr>
              <w:rPr>
                <w:rFonts w:ascii="Arial" w:hAnsi="Arial" w:cs="Arial"/>
                <w:sz w:val="20"/>
                <w:szCs w:val="20"/>
              </w:rPr>
            </w:pPr>
          </w:p>
        </w:tc>
        <w:tc>
          <w:tcPr>
            <w:tcW w:w="1870" w:type="dxa"/>
          </w:tcPr>
          <w:p w:rsidR="00F6173D" w:rsidRDefault="00F6173D" w:rsidP="00A12038">
            <w:pPr>
              <w:rPr>
                <w:rFonts w:ascii="Arial" w:hAnsi="Arial" w:cs="Arial"/>
                <w:color w:val="FF0000"/>
                <w:sz w:val="20"/>
                <w:szCs w:val="20"/>
              </w:rPr>
            </w:pPr>
          </w:p>
          <w:p w:rsidR="00F6173D" w:rsidRPr="00C2214A" w:rsidRDefault="00F6173D" w:rsidP="00A12038">
            <w:pPr>
              <w:rPr>
                <w:rFonts w:ascii="Arial" w:hAnsi="Arial" w:cs="Arial"/>
                <w:color w:val="FF0000"/>
                <w:sz w:val="20"/>
                <w:szCs w:val="20"/>
              </w:rPr>
            </w:pPr>
          </w:p>
        </w:tc>
        <w:tc>
          <w:tcPr>
            <w:tcW w:w="3605" w:type="dxa"/>
          </w:tcPr>
          <w:p w:rsidR="00F6173D" w:rsidRPr="00360DCD" w:rsidRDefault="00F6173D" w:rsidP="00A12038">
            <w:pPr>
              <w:rPr>
                <w:rFonts w:ascii="Arial" w:hAnsi="Arial" w:cs="Arial"/>
                <w:sz w:val="20"/>
                <w:szCs w:val="20"/>
              </w:rPr>
            </w:pPr>
          </w:p>
        </w:tc>
        <w:tc>
          <w:tcPr>
            <w:tcW w:w="1870" w:type="dxa"/>
          </w:tcPr>
          <w:p w:rsidR="00F6173D" w:rsidRPr="00360DCD" w:rsidRDefault="00F6173D" w:rsidP="00A12038">
            <w:pPr>
              <w:jc w:val="center"/>
              <w:rPr>
                <w:rFonts w:ascii="Arial" w:hAnsi="Arial" w:cs="Arial"/>
                <w:sz w:val="20"/>
                <w:szCs w:val="20"/>
              </w:rPr>
            </w:pPr>
          </w:p>
        </w:tc>
      </w:tr>
      <w:tr w:rsidR="00F6173D" w:rsidTr="00A12038">
        <w:tc>
          <w:tcPr>
            <w:tcW w:w="390" w:type="dxa"/>
          </w:tcPr>
          <w:p w:rsidR="00F6173D" w:rsidRPr="00360DCD" w:rsidRDefault="00F6173D" w:rsidP="00A12038">
            <w:pPr>
              <w:rPr>
                <w:rFonts w:ascii="Arial" w:hAnsi="Arial" w:cs="Arial"/>
                <w:sz w:val="20"/>
                <w:szCs w:val="20"/>
              </w:rPr>
            </w:pPr>
            <w:r w:rsidRPr="00360DCD">
              <w:rPr>
                <w:rFonts w:ascii="Arial" w:hAnsi="Arial" w:cs="Arial"/>
                <w:sz w:val="20"/>
                <w:szCs w:val="20"/>
              </w:rPr>
              <w:t>ii</w:t>
            </w:r>
          </w:p>
        </w:tc>
        <w:tc>
          <w:tcPr>
            <w:tcW w:w="1870" w:type="dxa"/>
          </w:tcPr>
          <w:p w:rsidR="00F6173D" w:rsidRPr="00360DCD" w:rsidRDefault="00F6173D" w:rsidP="00A12038">
            <w:pPr>
              <w:rPr>
                <w:rFonts w:ascii="Arial" w:hAnsi="Arial" w:cs="Arial"/>
                <w:sz w:val="20"/>
                <w:szCs w:val="20"/>
              </w:rPr>
            </w:pPr>
            <w:r>
              <w:rPr>
                <w:rFonts w:ascii="Arial" w:hAnsi="Arial" w:cs="Arial"/>
                <w:sz w:val="20"/>
                <w:szCs w:val="20"/>
              </w:rPr>
              <w:t>Expenses - GA non-RPP: Charge Type 148</w:t>
            </w:r>
            <w:r w:rsidRPr="00360DCD">
              <w:rPr>
                <w:rFonts w:ascii="Arial" w:hAnsi="Arial" w:cs="Arial"/>
                <w:sz w:val="20"/>
                <w:szCs w:val="20"/>
              </w:rPr>
              <w:t xml:space="preserve"> with respect to the quantum dollar amount </w:t>
            </w:r>
            <w:r>
              <w:rPr>
                <w:rFonts w:ascii="Arial" w:hAnsi="Arial" w:cs="Arial"/>
                <w:sz w:val="20"/>
                <w:szCs w:val="20"/>
              </w:rPr>
              <w:t>(i.e. is expense based on IESO invoice at year end)</w:t>
            </w:r>
          </w:p>
          <w:p w:rsidR="00F6173D" w:rsidRPr="00360DCD" w:rsidRDefault="00F6173D" w:rsidP="00A12038">
            <w:pPr>
              <w:rPr>
                <w:rFonts w:ascii="Arial" w:hAnsi="Arial" w:cs="Arial"/>
                <w:sz w:val="20"/>
                <w:szCs w:val="20"/>
              </w:rPr>
            </w:pPr>
          </w:p>
        </w:tc>
        <w:tc>
          <w:tcPr>
            <w:tcW w:w="1870" w:type="dxa"/>
          </w:tcPr>
          <w:p w:rsidR="00F6173D" w:rsidRDefault="00F6173D" w:rsidP="00A12038">
            <w:pPr>
              <w:rPr>
                <w:rFonts w:ascii="Arial" w:hAnsi="Arial" w:cs="Arial"/>
                <w:sz w:val="20"/>
                <w:szCs w:val="20"/>
              </w:rPr>
            </w:pPr>
          </w:p>
          <w:p w:rsidR="00F6173D" w:rsidRPr="00360DCD" w:rsidRDefault="00F6173D" w:rsidP="00A12038">
            <w:pPr>
              <w:rPr>
                <w:rFonts w:ascii="Arial" w:hAnsi="Arial" w:cs="Arial"/>
                <w:sz w:val="20"/>
                <w:szCs w:val="20"/>
              </w:rPr>
            </w:pPr>
          </w:p>
        </w:tc>
        <w:tc>
          <w:tcPr>
            <w:tcW w:w="3605" w:type="dxa"/>
          </w:tcPr>
          <w:p w:rsidR="00F6173D" w:rsidRPr="00360DCD" w:rsidRDefault="00F6173D" w:rsidP="00A12038">
            <w:pPr>
              <w:rPr>
                <w:rFonts w:ascii="Arial" w:hAnsi="Arial" w:cs="Arial"/>
                <w:sz w:val="20"/>
                <w:szCs w:val="20"/>
              </w:rPr>
            </w:pPr>
          </w:p>
        </w:tc>
        <w:tc>
          <w:tcPr>
            <w:tcW w:w="1870" w:type="dxa"/>
          </w:tcPr>
          <w:p w:rsidR="00F6173D" w:rsidRPr="00360DCD" w:rsidRDefault="00F6173D" w:rsidP="00A12038">
            <w:pPr>
              <w:rPr>
                <w:rFonts w:ascii="Arial" w:hAnsi="Arial" w:cs="Arial"/>
                <w:sz w:val="20"/>
                <w:szCs w:val="20"/>
              </w:rPr>
            </w:pPr>
          </w:p>
        </w:tc>
      </w:tr>
      <w:tr w:rsidR="00F6173D" w:rsidTr="00A12038">
        <w:tc>
          <w:tcPr>
            <w:tcW w:w="390" w:type="dxa"/>
          </w:tcPr>
          <w:p w:rsidR="00F6173D" w:rsidRPr="00360DCD" w:rsidRDefault="00F6173D" w:rsidP="00A12038">
            <w:pPr>
              <w:rPr>
                <w:rFonts w:ascii="Arial" w:hAnsi="Arial" w:cs="Arial"/>
                <w:sz w:val="20"/>
                <w:szCs w:val="20"/>
              </w:rPr>
            </w:pPr>
            <w:r w:rsidRPr="00360DCD">
              <w:rPr>
                <w:rFonts w:ascii="Arial" w:hAnsi="Arial" w:cs="Arial"/>
                <w:sz w:val="20"/>
                <w:szCs w:val="20"/>
              </w:rPr>
              <w:t>Iii</w:t>
            </w:r>
          </w:p>
        </w:tc>
        <w:tc>
          <w:tcPr>
            <w:tcW w:w="1870" w:type="dxa"/>
          </w:tcPr>
          <w:p w:rsidR="00F6173D" w:rsidRDefault="00F6173D" w:rsidP="00A12038">
            <w:pPr>
              <w:rPr>
                <w:rFonts w:ascii="Arial" w:hAnsi="Arial" w:cs="Arial"/>
                <w:sz w:val="20"/>
                <w:szCs w:val="20"/>
              </w:rPr>
            </w:pPr>
            <w:r>
              <w:rPr>
                <w:rFonts w:ascii="Arial" w:hAnsi="Arial" w:cs="Arial"/>
                <w:sz w:val="20"/>
                <w:szCs w:val="20"/>
              </w:rPr>
              <w:t>Expenses - GA non-RPP: Charge Type 148</w:t>
            </w:r>
            <w:r w:rsidRPr="00360DCD">
              <w:rPr>
                <w:rFonts w:ascii="Arial" w:hAnsi="Arial" w:cs="Arial"/>
                <w:sz w:val="20"/>
                <w:szCs w:val="20"/>
              </w:rPr>
              <w:t xml:space="preserve"> with respect and RPP/non-RPP pro-ration percentages</w:t>
            </w:r>
          </w:p>
          <w:p w:rsidR="00CC067D" w:rsidRPr="00360DCD" w:rsidRDefault="00CC067D" w:rsidP="00A12038">
            <w:pPr>
              <w:rPr>
                <w:rFonts w:ascii="Arial" w:hAnsi="Arial" w:cs="Arial"/>
                <w:sz w:val="20"/>
                <w:szCs w:val="20"/>
              </w:rPr>
            </w:pPr>
          </w:p>
          <w:p w:rsidR="00F6173D" w:rsidRPr="00360DCD" w:rsidRDefault="00F6173D" w:rsidP="00A12038">
            <w:pPr>
              <w:rPr>
                <w:rFonts w:ascii="Arial" w:hAnsi="Arial" w:cs="Arial"/>
                <w:sz w:val="20"/>
                <w:szCs w:val="20"/>
              </w:rPr>
            </w:pPr>
          </w:p>
        </w:tc>
        <w:tc>
          <w:tcPr>
            <w:tcW w:w="1870" w:type="dxa"/>
          </w:tcPr>
          <w:p w:rsidR="00F6173D" w:rsidRDefault="00F6173D" w:rsidP="00A12038">
            <w:pPr>
              <w:rPr>
                <w:rFonts w:ascii="Arial" w:hAnsi="Arial" w:cs="Arial"/>
                <w:sz w:val="20"/>
                <w:szCs w:val="20"/>
              </w:rPr>
            </w:pPr>
          </w:p>
          <w:p w:rsidR="00F6173D" w:rsidRPr="00360DCD" w:rsidRDefault="00F6173D" w:rsidP="00A12038">
            <w:pPr>
              <w:rPr>
                <w:rFonts w:ascii="Arial" w:hAnsi="Arial" w:cs="Arial"/>
                <w:sz w:val="20"/>
                <w:szCs w:val="20"/>
              </w:rPr>
            </w:pPr>
          </w:p>
        </w:tc>
        <w:tc>
          <w:tcPr>
            <w:tcW w:w="3605" w:type="dxa"/>
          </w:tcPr>
          <w:p w:rsidR="00F6173D" w:rsidRPr="00360DCD" w:rsidRDefault="00F6173D" w:rsidP="00A12038">
            <w:pPr>
              <w:rPr>
                <w:rFonts w:ascii="Arial" w:hAnsi="Arial" w:cs="Arial"/>
                <w:sz w:val="20"/>
                <w:szCs w:val="20"/>
              </w:rPr>
            </w:pPr>
          </w:p>
        </w:tc>
        <w:tc>
          <w:tcPr>
            <w:tcW w:w="1870" w:type="dxa"/>
          </w:tcPr>
          <w:p w:rsidR="00F6173D" w:rsidRPr="00360DCD" w:rsidRDefault="00F6173D" w:rsidP="00A12038">
            <w:pPr>
              <w:rPr>
                <w:rFonts w:ascii="Arial" w:hAnsi="Arial" w:cs="Arial"/>
                <w:sz w:val="20"/>
                <w:szCs w:val="20"/>
              </w:rPr>
            </w:pPr>
          </w:p>
        </w:tc>
      </w:tr>
      <w:tr w:rsidR="00F6173D" w:rsidTr="00A12038">
        <w:tc>
          <w:tcPr>
            <w:tcW w:w="390" w:type="dxa"/>
          </w:tcPr>
          <w:p w:rsidR="00F6173D" w:rsidRPr="00360DCD" w:rsidRDefault="00F6173D" w:rsidP="00A12038">
            <w:pPr>
              <w:rPr>
                <w:rFonts w:ascii="Arial" w:hAnsi="Arial" w:cs="Arial"/>
                <w:sz w:val="20"/>
                <w:szCs w:val="20"/>
              </w:rPr>
            </w:pPr>
            <w:r w:rsidRPr="00360DCD">
              <w:rPr>
                <w:rFonts w:ascii="Arial" w:hAnsi="Arial" w:cs="Arial"/>
                <w:sz w:val="20"/>
                <w:szCs w:val="20"/>
              </w:rPr>
              <w:lastRenderedPageBreak/>
              <w:t>iv</w:t>
            </w:r>
          </w:p>
        </w:tc>
        <w:tc>
          <w:tcPr>
            <w:tcW w:w="1870" w:type="dxa"/>
          </w:tcPr>
          <w:p w:rsidR="00F6173D" w:rsidRPr="00360DCD" w:rsidRDefault="00F6173D" w:rsidP="00A12038">
            <w:pPr>
              <w:rPr>
                <w:rFonts w:ascii="Arial" w:hAnsi="Arial" w:cs="Arial"/>
                <w:sz w:val="20"/>
                <w:szCs w:val="20"/>
              </w:rPr>
            </w:pPr>
            <w:r w:rsidRPr="00360DCD">
              <w:rPr>
                <w:rFonts w:ascii="Arial" w:hAnsi="Arial" w:cs="Arial"/>
                <w:sz w:val="20"/>
                <w:szCs w:val="20"/>
              </w:rPr>
              <w:t xml:space="preserve">Credit of GA </w:t>
            </w:r>
            <w:r>
              <w:rPr>
                <w:rFonts w:ascii="Arial" w:hAnsi="Arial" w:cs="Arial"/>
                <w:sz w:val="20"/>
                <w:szCs w:val="20"/>
              </w:rPr>
              <w:t xml:space="preserve">RPP: Charge Type 142 </w:t>
            </w:r>
            <w:r w:rsidRPr="00360DCD">
              <w:rPr>
                <w:rFonts w:ascii="Arial" w:hAnsi="Arial" w:cs="Arial"/>
                <w:sz w:val="20"/>
                <w:szCs w:val="20"/>
              </w:rPr>
              <w:t>if the approach under IR 1b is used</w:t>
            </w:r>
          </w:p>
          <w:p w:rsidR="00F6173D" w:rsidRPr="00360DCD" w:rsidRDefault="00F6173D" w:rsidP="00A12038">
            <w:pPr>
              <w:rPr>
                <w:rFonts w:ascii="Arial" w:hAnsi="Arial" w:cs="Arial"/>
                <w:sz w:val="20"/>
                <w:szCs w:val="20"/>
              </w:rPr>
            </w:pPr>
          </w:p>
        </w:tc>
        <w:tc>
          <w:tcPr>
            <w:tcW w:w="1870" w:type="dxa"/>
          </w:tcPr>
          <w:p w:rsidR="00F6173D" w:rsidRDefault="00F6173D" w:rsidP="00A12038">
            <w:pPr>
              <w:rPr>
                <w:rFonts w:ascii="Arial" w:hAnsi="Arial" w:cs="Arial"/>
                <w:sz w:val="20"/>
                <w:szCs w:val="20"/>
              </w:rPr>
            </w:pPr>
          </w:p>
          <w:p w:rsidR="00F6173D" w:rsidRPr="00360DCD" w:rsidRDefault="00F6173D" w:rsidP="00A12038">
            <w:pPr>
              <w:rPr>
                <w:rFonts w:ascii="Arial" w:hAnsi="Arial" w:cs="Arial"/>
                <w:sz w:val="20"/>
                <w:szCs w:val="20"/>
              </w:rPr>
            </w:pPr>
          </w:p>
        </w:tc>
        <w:tc>
          <w:tcPr>
            <w:tcW w:w="3605" w:type="dxa"/>
          </w:tcPr>
          <w:p w:rsidR="00F6173D" w:rsidRPr="00360DCD" w:rsidRDefault="00F6173D" w:rsidP="00A12038">
            <w:pPr>
              <w:rPr>
                <w:rFonts w:ascii="Arial" w:hAnsi="Arial" w:cs="Arial"/>
                <w:sz w:val="20"/>
                <w:szCs w:val="20"/>
              </w:rPr>
            </w:pPr>
          </w:p>
        </w:tc>
        <w:tc>
          <w:tcPr>
            <w:tcW w:w="1870" w:type="dxa"/>
          </w:tcPr>
          <w:p w:rsidR="00F6173D" w:rsidRPr="00360DCD" w:rsidRDefault="00F6173D" w:rsidP="00A12038">
            <w:pPr>
              <w:rPr>
                <w:rFonts w:ascii="Arial" w:hAnsi="Arial" w:cs="Arial"/>
                <w:sz w:val="20"/>
                <w:szCs w:val="20"/>
              </w:rPr>
            </w:pPr>
          </w:p>
        </w:tc>
      </w:tr>
    </w:tbl>
    <w:p w:rsidR="00E3521A" w:rsidRDefault="00E3521A" w:rsidP="00E3521A">
      <w:pPr>
        <w:spacing w:after="160" w:line="252" w:lineRule="auto"/>
        <w:rPr>
          <w:rFonts w:ascii="Arial" w:hAnsi="Arial" w:cs="Arial"/>
          <w:sz w:val="24"/>
          <w:szCs w:val="24"/>
          <w:lang w:val="en-CA"/>
        </w:rPr>
      </w:pPr>
    </w:p>
    <w:p w:rsidR="00E3521A" w:rsidRDefault="00DA59F4" w:rsidP="00371096">
      <w:pPr>
        <w:pStyle w:val="ListParagraph"/>
        <w:numPr>
          <w:ilvl w:val="0"/>
          <w:numId w:val="1"/>
        </w:numPr>
        <w:rPr>
          <w:rFonts w:ascii="Arial" w:hAnsi="Arial" w:cs="Arial"/>
          <w:sz w:val="24"/>
          <w:szCs w:val="24"/>
        </w:rPr>
      </w:pPr>
      <w:r>
        <w:rPr>
          <w:rFonts w:ascii="Arial" w:hAnsi="Arial" w:cs="Arial"/>
          <w:sz w:val="24"/>
          <w:szCs w:val="24"/>
        </w:rPr>
        <w:t xml:space="preserve">All components of Account 1589 </w:t>
      </w:r>
      <w:r w:rsidRPr="00DA59F4">
        <w:rPr>
          <w:rFonts w:ascii="Arial" w:hAnsi="Arial" w:cs="Arial"/>
          <w:sz w:val="24"/>
          <w:szCs w:val="24"/>
        </w:rPr>
        <w:t>should be recorded based on actual</w:t>
      </w:r>
      <w:r w:rsidR="00DD4C56">
        <w:rPr>
          <w:rFonts w:ascii="Arial" w:hAnsi="Arial" w:cs="Arial"/>
          <w:sz w:val="24"/>
          <w:szCs w:val="24"/>
        </w:rPr>
        <w:t xml:space="preserve"> prior to seeking disposition of the balance with the OEB</w:t>
      </w:r>
      <w:r w:rsidRPr="00DA59F4">
        <w:rPr>
          <w:rFonts w:ascii="Arial" w:hAnsi="Arial" w:cs="Arial"/>
          <w:sz w:val="24"/>
          <w:szCs w:val="24"/>
        </w:rPr>
        <w:t xml:space="preserve">.  </w:t>
      </w:r>
      <w:r>
        <w:rPr>
          <w:rFonts w:ascii="Arial" w:hAnsi="Arial" w:cs="Arial"/>
          <w:sz w:val="24"/>
          <w:szCs w:val="24"/>
        </w:rPr>
        <w:t>For any items in</w:t>
      </w:r>
      <w:r w:rsidR="00DD4C56">
        <w:rPr>
          <w:rFonts w:ascii="Arial" w:hAnsi="Arial" w:cs="Arial"/>
          <w:sz w:val="24"/>
          <w:szCs w:val="24"/>
        </w:rPr>
        <w:t xml:space="preserve"> Account</w:t>
      </w:r>
      <w:r>
        <w:rPr>
          <w:rFonts w:ascii="Arial" w:hAnsi="Arial" w:cs="Arial"/>
          <w:sz w:val="24"/>
          <w:szCs w:val="24"/>
        </w:rPr>
        <w:t xml:space="preserve"> 1589 that are currently ba</w:t>
      </w:r>
      <w:r w:rsidR="00DD4C56">
        <w:rPr>
          <w:rFonts w:ascii="Arial" w:hAnsi="Arial" w:cs="Arial"/>
          <w:sz w:val="24"/>
          <w:szCs w:val="24"/>
        </w:rPr>
        <w:t xml:space="preserve">sed on estimates, please update </w:t>
      </w:r>
      <w:r w:rsidRPr="00DA59F4">
        <w:rPr>
          <w:rFonts w:ascii="Arial" w:hAnsi="Arial" w:cs="Arial"/>
          <w:sz w:val="24"/>
          <w:szCs w:val="24"/>
        </w:rPr>
        <w:t xml:space="preserve">Note 5 of the GA Analysis </w:t>
      </w:r>
      <w:proofErr w:type="spellStart"/>
      <w:r w:rsidRPr="00DA59F4">
        <w:rPr>
          <w:rFonts w:ascii="Arial" w:hAnsi="Arial" w:cs="Arial"/>
          <w:sz w:val="24"/>
          <w:szCs w:val="24"/>
        </w:rPr>
        <w:t>Workform</w:t>
      </w:r>
      <w:proofErr w:type="spellEnd"/>
      <w:r w:rsidR="00DD4C56">
        <w:rPr>
          <w:rFonts w:ascii="Arial" w:hAnsi="Arial" w:cs="Arial"/>
          <w:sz w:val="24"/>
          <w:szCs w:val="24"/>
        </w:rPr>
        <w:t xml:space="preserve"> with the required adjustments</w:t>
      </w:r>
      <w:r w:rsidR="00812F50">
        <w:rPr>
          <w:rFonts w:ascii="Arial" w:hAnsi="Arial" w:cs="Arial"/>
          <w:sz w:val="24"/>
          <w:szCs w:val="24"/>
        </w:rPr>
        <w:t xml:space="preserve"> to true-up to actual,</w:t>
      </w:r>
      <w:r w:rsidR="00DD4C56">
        <w:rPr>
          <w:rFonts w:ascii="Arial" w:hAnsi="Arial" w:cs="Arial"/>
          <w:sz w:val="24"/>
          <w:szCs w:val="24"/>
        </w:rPr>
        <w:t xml:space="preserve"> and </w:t>
      </w:r>
      <w:r w:rsidRPr="00DA59F4">
        <w:rPr>
          <w:rFonts w:ascii="Arial" w:hAnsi="Arial" w:cs="Arial"/>
          <w:sz w:val="24"/>
          <w:szCs w:val="24"/>
        </w:rPr>
        <w:t>update the DVA continuity schedule such that these adjustments are reflected in the Account 1589 balance being sought for disposition</w:t>
      </w:r>
      <w:r w:rsidR="00DD4C56">
        <w:rPr>
          <w:rFonts w:ascii="Arial" w:hAnsi="Arial" w:cs="Arial"/>
          <w:sz w:val="24"/>
          <w:szCs w:val="24"/>
        </w:rPr>
        <w:t xml:space="preserve"> (including adjustment 7 already disclosed in Note 5).</w:t>
      </w:r>
      <w:r w:rsidR="00812F50">
        <w:rPr>
          <w:rFonts w:ascii="Arial" w:hAnsi="Arial" w:cs="Arial"/>
          <w:sz w:val="24"/>
          <w:szCs w:val="24"/>
        </w:rPr>
        <w:t xml:space="preserve">  Any required true-up adjustments should be recorded in the “Principal Adjustments” column of the DVA continuity schedule.</w:t>
      </w:r>
    </w:p>
    <w:p w:rsidR="00230474" w:rsidRDefault="00230474" w:rsidP="00230474">
      <w:pPr>
        <w:pStyle w:val="ListParagraph"/>
        <w:ind w:left="360"/>
        <w:rPr>
          <w:rFonts w:ascii="Arial" w:hAnsi="Arial" w:cs="Arial"/>
          <w:sz w:val="24"/>
          <w:szCs w:val="24"/>
        </w:rPr>
      </w:pPr>
    </w:p>
    <w:p w:rsidR="00230474" w:rsidRDefault="00230474" w:rsidP="00371096">
      <w:pPr>
        <w:pStyle w:val="ListParagraph"/>
        <w:numPr>
          <w:ilvl w:val="0"/>
          <w:numId w:val="1"/>
        </w:numPr>
        <w:rPr>
          <w:rFonts w:ascii="Arial" w:hAnsi="Arial" w:cs="Arial"/>
          <w:sz w:val="24"/>
          <w:szCs w:val="24"/>
        </w:rPr>
      </w:pPr>
      <w:r>
        <w:rPr>
          <w:rFonts w:ascii="Arial" w:hAnsi="Arial" w:cs="Arial"/>
          <w:sz w:val="24"/>
          <w:szCs w:val="24"/>
        </w:rPr>
        <w:t>The starting point used by the applican</w:t>
      </w:r>
      <w:r w:rsidR="00812F50">
        <w:rPr>
          <w:rFonts w:ascii="Arial" w:hAnsi="Arial" w:cs="Arial"/>
          <w:sz w:val="24"/>
          <w:szCs w:val="24"/>
        </w:rPr>
        <w:t>t in cell D65</w:t>
      </w:r>
      <w:r>
        <w:rPr>
          <w:rFonts w:ascii="Arial" w:hAnsi="Arial" w:cs="Arial"/>
          <w:sz w:val="24"/>
          <w:szCs w:val="24"/>
        </w:rPr>
        <w:t xml:space="preserve"> of Note 5 of the GA Analysis </w:t>
      </w:r>
      <w:proofErr w:type="spellStart"/>
      <w:r>
        <w:rPr>
          <w:rFonts w:ascii="Arial" w:hAnsi="Arial" w:cs="Arial"/>
          <w:sz w:val="24"/>
          <w:szCs w:val="24"/>
        </w:rPr>
        <w:t>Workform</w:t>
      </w:r>
      <w:proofErr w:type="spellEnd"/>
      <w:r>
        <w:rPr>
          <w:rFonts w:ascii="Arial" w:hAnsi="Arial" w:cs="Arial"/>
          <w:sz w:val="24"/>
          <w:szCs w:val="24"/>
        </w:rPr>
        <w:t xml:space="preserve"> should equal the balance in the “Transactions debit / (credit) during 2016” column of the DVA continuity schedule for Account 1589.  Since the balance in the continuity schedule is a credit, this </w:t>
      </w:r>
      <w:r w:rsidR="00812F50">
        <w:rPr>
          <w:rFonts w:ascii="Arial" w:hAnsi="Arial" w:cs="Arial"/>
          <w:sz w:val="24"/>
          <w:szCs w:val="24"/>
        </w:rPr>
        <w:t>should be recognized in cell D65</w:t>
      </w:r>
      <w:r>
        <w:rPr>
          <w:rFonts w:ascii="Arial" w:hAnsi="Arial" w:cs="Arial"/>
          <w:sz w:val="24"/>
          <w:szCs w:val="24"/>
        </w:rPr>
        <w:t xml:space="preserve"> by making the balance negative.  Please update the GA Analysis </w:t>
      </w:r>
      <w:proofErr w:type="spellStart"/>
      <w:r>
        <w:rPr>
          <w:rFonts w:ascii="Arial" w:hAnsi="Arial" w:cs="Arial"/>
          <w:sz w:val="24"/>
          <w:szCs w:val="24"/>
        </w:rPr>
        <w:t>Workform</w:t>
      </w:r>
      <w:proofErr w:type="spellEnd"/>
      <w:r>
        <w:rPr>
          <w:rFonts w:ascii="Arial" w:hAnsi="Arial" w:cs="Arial"/>
          <w:sz w:val="24"/>
          <w:szCs w:val="24"/>
        </w:rPr>
        <w:t xml:space="preserve"> accordingly.</w:t>
      </w:r>
    </w:p>
    <w:p w:rsidR="00371096" w:rsidRPr="00371096" w:rsidRDefault="00371096" w:rsidP="00371096">
      <w:pPr>
        <w:pStyle w:val="ListParagraph"/>
        <w:ind w:left="360"/>
        <w:rPr>
          <w:rFonts w:ascii="Arial" w:hAnsi="Arial" w:cs="Arial"/>
          <w:sz w:val="24"/>
          <w:szCs w:val="24"/>
        </w:rPr>
      </w:pPr>
    </w:p>
    <w:p w:rsidR="00371096" w:rsidRPr="0015625F" w:rsidRDefault="00371096" w:rsidP="0015625F">
      <w:pPr>
        <w:pStyle w:val="ListParagraph"/>
        <w:numPr>
          <w:ilvl w:val="0"/>
          <w:numId w:val="1"/>
        </w:numPr>
        <w:spacing w:after="160" w:line="252" w:lineRule="auto"/>
        <w:rPr>
          <w:rFonts w:ascii="Arial" w:hAnsi="Arial" w:cs="Arial"/>
          <w:sz w:val="24"/>
          <w:szCs w:val="24"/>
        </w:rPr>
      </w:pPr>
      <w:r>
        <w:rPr>
          <w:rFonts w:ascii="Arial" w:hAnsi="Arial" w:cs="Arial"/>
          <w:sz w:val="24"/>
          <w:szCs w:val="24"/>
        </w:rPr>
        <w:t>I</w:t>
      </w:r>
      <w:r w:rsidRPr="00E3521A">
        <w:rPr>
          <w:rFonts w:ascii="Arial" w:hAnsi="Arial" w:cs="Arial"/>
          <w:sz w:val="24"/>
          <w:szCs w:val="24"/>
        </w:rPr>
        <w:t>n regards</w:t>
      </w:r>
      <w:r>
        <w:rPr>
          <w:rFonts w:ascii="Arial" w:hAnsi="Arial" w:cs="Arial"/>
          <w:sz w:val="24"/>
          <w:szCs w:val="24"/>
        </w:rPr>
        <w:t xml:space="preserve"> to adjustment 7 of Note 5 in the GA Analysis </w:t>
      </w:r>
      <w:proofErr w:type="spellStart"/>
      <w:r>
        <w:rPr>
          <w:rFonts w:ascii="Arial" w:hAnsi="Arial" w:cs="Arial"/>
          <w:sz w:val="24"/>
          <w:szCs w:val="24"/>
        </w:rPr>
        <w:t>Workform</w:t>
      </w:r>
      <w:proofErr w:type="spellEnd"/>
      <w:r w:rsidRPr="00E3521A">
        <w:rPr>
          <w:rFonts w:ascii="Arial" w:hAnsi="Arial" w:cs="Arial"/>
          <w:sz w:val="24"/>
          <w:szCs w:val="24"/>
        </w:rPr>
        <w:t xml:space="preserve">, please provide </w:t>
      </w:r>
      <w:r w:rsidR="0015625F">
        <w:rPr>
          <w:rFonts w:ascii="Arial" w:hAnsi="Arial" w:cs="Arial"/>
          <w:sz w:val="24"/>
          <w:szCs w:val="24"/>
        </w:rPr>
        <w:t>details as to what this adjustment relates to.  Please explain what the applicant was doing previously, why it was not correct, how the applicant quantif</w:t>
      </w:r>
      <w:r w:rsidR="00812F50">
        <w:rPr>
          <w:rFonts w:ascii="Arial" w:hAnsi="Arial" w:cs="Arial"/>
          <w:sz w:val="24"/>
          <w:szCs w:val="24"/>
        </w:rPr>
        <w:t xml:space="preserve">ied the impact of the error on the </w:t>
      </w:r>
      <w:r w:rsidR="0015625F">
        <w:rPr>
          <w:rFonts w:ascii="Arial" w:hAnsi="Arial" w:cs="Arial"/>
          <w:sz w:val="24"/>
          <w:szCs w:val="24"/>
        </w:rPr>
        <w:t>2016 GA activity (</w:t>
      </w:r>
      <w:r w:rsidR="00812F50">
        <w:rPr>
          <w:rFonts w:ascii="Arial" w:hAnsi="Arial" w:cs="Arial"/>
          <w:sz w:val="24"/>
          <w:szCs w:val="24"/>
        </w:rPr>
        <w:t xml:space="preserve">also </w:t>
      </w:r>
      <w:r w:rsidR="0015625F">
        <w:rPr>
          <w:rFonts w:ascii="Arial" w:hAnsi="Arial" w:cs="Arial"/>
          <w:sz w:val="24"/>
          <w:szCs w:val="24"/>
        </w:rPr>
        <w:t xml:space="preserve">provide the calculation), and why the applicant is now sure that the updated process / methodology is appropriate.   </w:t>
      </w:r>
      <w:r w:rsidR="00812F50">
        <w:rPr>
          <w:rFonts w:ascii="Arial" w:hAnsi="Arial" w:cs="Arial"/>
          <w:sz w:val="24"/>
          <w:szCs w:val="24"/>
        </w:rPr>
        <w:t>Please also confirm that the amount recorded as an adjustment only pertains to the impact on the GA transactions during 2016 (and not the cumulative impact including previous years already disposed).</w:t>
      </w:r>
    </w:p>
    <w:p w:rsidR="00371096" w:rsidRPr="00371096" w:rsidRDefault="00371096" w:rsidP="00371096">
      <w:pPr>
        <w:pStyle w:val="ListParagraph"/>
        <w:rPr>
          <w:rFonts w:ascii="Arial" w:hAnsi="Arial" w:cs="Arial"/>
          <w:sz w:val="24"/>
          <w:szCs w:val="24"/>
        </w:rPr>
      </w:pPr>
    </w:p>
    <w:p w:rsidR="0015625F" w:rsidRPr="0015625F" w:rsidRDefault="0015625F" w:rsidP="0015625F">
      <w:pPr>
        <w:pStyle w:val="ListParagraph"/>
        <w:numPr>
          <w:ilvl w:val="0"/>
          <w:numId w:val="1"/>
        </w:numPr>
        <w:spacing w:after="160" w:line="252" w:lineRule="auto"/>
        <w:rPr>
          <w:rFonts w:ascii="Arial" w:hAnsi="Arial" w:cs="Arial"/>
          <w:sz w:val="24"/>
          <w:szCs w:val="24"/>
        </w:rPr>
      </w:pPr>
      <w:r>
        <w:rPr>
          <w:rFonts w:ascii="Arial" w:hAnsi="Arial" w:cs="Arial"/>
          <w:sz w:val="24"/>
          <w:szCs w:val="24"/>
        </w:rPr>
        <w:t>P</w:t>
      </w:r>
      <w:r w:rsidR="00E3521A" w:rsidRPr="00E3521A">
        <w:rPr>
          <w:rFonts w:ascii="Arial" w:hAnsi="Arial" w:cs="Arial"/>
          <w:sz w:val="24"/>
          <w:szCs w:val="24"/>
        </w:rPr>
        <w:t xml:space="preserve">lease provide the actual system loss factor for 2016 and compare it to the OEB approved loss factor?  Please also provide </w:t>
      </w:r>
      <w:r w:rsidR="00A526C1">
        <w:rPr>
          <w:rFonts w:ascii="Arial" w:hAnsi="Arial" w:cs="Arial"/>
          <w:sz w:val="24"/>
          <w:szCs w:val="24"/>
        </w:rPr>
        <w:t xml:space="preserve">the </w:t>
      </w:r>
      <w:r w:rsidR="00E3521A">
        <w:rPr>
          <w:rFonts w:ascii="Arial" w:hAnsi="Arial" w:cs="Arial"/>
          <w:sz w:val="24"/>
          <w:szCs w:val="24"/>
        </w:rPr>
        <w:t xml:space="preserve">detailed </w:t>
      </w:r>
      <w:r w:rsidR="00E3521A" w:rsidRPr="00E3521A">
        <w:rPr>
          <w:rFonts w:ascii="Arial" w:hAnsi="Arial" w:cs="Arial"/>
          <w:sz w:val="24"/>
          <w:szCs w:val="24"/>
        </w:rPr>
        <w:t xml:space="preserve">calculation </w:t>
      </w:r>
      <w:r w:rsidR="00A526C1">
        <w:rPr>
          <w:rFonts w:ascii="Arial" w:hAnsi="Arial" w:cs="Arial"/>
          <w:sz w:val="24"/>
          <w:szCs w:val="24"/>
        </w:rPr>
        <w:t xml:space="preserve">that </w:t>
      </w:r>
      <w:r>
        <w:rPr>
          <w:rFonts w:ascii="Arial" w:hAnsi="Arial" w:cs="Arial"/>
          <w:sz w:val="24"/>
          <w:szCs w:val="24"/>
        </w:rPr>
        <w:t>quantifies the impact of this difference.  W</w:t>
      </w:r>
      <w:r w:rsidR="00812F50">
        <w:rPr>
          <w:rFonts w:ascii="Arial" w:hAnsi="Arial" w:cs="Arial"/>
          <w:sz w:val="24"/>
          <w:szCs w:val="24"/>
        </w:rPr>
        <w:t>ould this difference need to be</w:t>
      </w:r>
      <w:r>
        <w:rPr>
          <w:rFonts w:ascii="Arial" w:hAnsi="Arial" w:cs="Arial"/>
          <w:sz w:val="24"/>
          <w:szCs w:val="24"/>
        </w:rPr>
        <w:t xml:space="preserve"> presented as a reconciling item in Note 5 of the GA Analysis </w:t>
      </w:r>
      <w:proofErr w:type="spellStart"/>
      <w:r>
        <w:rPr>
          <w:rFonts w:ascii="Arial" w:hAnsi="Arial" w:cs="Arial"/>
          <w:sz w:val="24"/>
          <w:szCs w:val="24"/>
        </w:rPr>
        <w:t>Workfrom</w:t>
      </w:r>
      <w:proofErr w:type="spellEnd"/>
      <w:r>
        <w:rPr>
          <w:rFonts w:ascii="Arial" w:hAnsi="Arial" w:cs="Arial"/>
          <w:sz w:val="24"/>
          <w:szCs w:val="24"/>
        </w:rPr>
        <w:t>?</w:t>
      </w:r>
    </w:p>
    <w:p w:rsidR="0015625F" w:rsidRDefault="0015625F" w:rsidP="0015625F">
      <w:pPr>
        <w:pStyle w:val="ListParagraph"/>
        <w:spacing w:after="160" w:line="252" w:lineRule="auto"/>
        <w:ind w:left="360"/>
        <w:rPr>
          <w:rFonts w:ascii="Arial" w:hAnsi="Arial" w:cs="Arial"/>
          <w:sz w:val="24"/>
          <w:szCs w:val="24"/>
        </w:rPr>
      </w:pPr>
    </w:p>
    <w:p w:rsidR="00A526C1" w:rsidRDefault="00A526C1" w:rsidP="00A526C1">
      <w:pPr>
        <w:pStyle w:val="ListParagraph"/>
        <w:numPr>
          <w:ilvl w:val="0"/>
          <w:numId w:val="1"/>
        </w:numPr>
        <w:spacing w:after="160" w:line="252" w:lineRule="auto"/>
        <w:rPr>
          <w:rFonts w:ascii="Arial" w:hAnsi="Arial" w:cs="Arial"/>
          <w:sz w:val="24"/>
          <w:szCs w:val="24"/>
        </w:rPr>
      </w:pPr>
      <w:r w:rsidRPr="00672E00">
        <w:rPr>
          <w:rFonts w:ascii="Arial" w:hAnsi="Arial" w:cs="Arial"/>
          <w:sz w:val="24"/>
          <w:szCs w:val="24"/>
        </w:rPr>
        <w:t xml:space="preserve">Please provide the total GA amounts billed to non-RPP customers in 2016 as recorded in the applicant’s revenue G/L accounts for 2016. </w:t>
      </w:r>
    </w:p>
    <w:p w:rsidR="00D850F9" w:rsidRPr="00D850F9" w:rsidRDefault="00D850F9" w:rsidP="00D850F9">
      <w:pPr>
        <w:pStyle w:val="ListParagraph"/>
        <w:rPr>
          <w:rFonts w:ascii="Arial" w:hAnsi="Arial" w:cs="Arial"/>
          <w:sz w:val="24"/>
          <w:szCs w:val="24"/>
        </w:rPr>
      </w:pPr>
    </w:p>
    <w:p w:rsidR="00D850F9" w:rsidRPr="00D850F9" w:rsidRDefault="00D850F9" w:rsidP="00D850F9">
      <w:pPr>
        <w:pStyle w:val="ListParagraph"/>
        <w:numPr>
          <w:ilvl w:val="0"/>
          <w:numId w:val="1"/>
        </w:numPr>
        <w:spacing w:after="160" w:line="252" w:lineRule="auto"/>
        <w:rPr>
          <w:rFonts w:ascii="Arial" w:hAnsi="Arial" w:cs="Arial"/>
          <w:sz w:val="24"/>
          <w:szCs w:val="24"/>
        </w:rPr>
      </w:pPr>
      <w:r w:rsidRPr="00D850F9">
        <w:rPr>
          <w:rFonts w:ascii="Arial" w:hAnsi="Arial" w:cs="Arial"/>
          <w:sz w:val="24"/>
          <w:szCs w:val="24"/>
        </w:rPr>
        <w:t xml:space="preserve">In Note 4 of the GA Analysis </w:t>
      </w:r>
      <w:proofErr w:type="spellStart"/>
      <w:r w:rsidRPr="00D850F9">
        <w:rPr>
          <w:rFonts w:ascii="Arial" w:hAnsi="Arial" w:cs="Arial"/>
          <w:sz w:val="24"/>
          <w:szCs w:val="24"/>
        </w:rPr>
        <w:t>Workform</w:t>
      </w:r>
      <w:proofErr w:type="spellEnd"/>
      <w:r w:rsidRPr="00D850F9">
        <w:rPr>
          <w:rFonts w:ascii="Arial" w:hAnsi="Arial" w:cs="Arial"/>
          <w:sz w:val="24"/>
          <w:szCs w:val="24"/>
        </w:rPr>
        <w:t>, same Unbilled Loss Adjusted Consumptions were entered for previous month (Column G) and current month (Column H).</w:t>
      </w:r>
    </w:p>
    <w:p w:rsidR="00D850F9" w:rsidRPr="00D850F9" w:rsidRDefault="00D850F9" w:rsidP="00D850F9">
      <w:pPr>
        <w:pStyle w:val="ListParagraph"/>
        <w:numPr>
          <w:ilvl w:val="0"/>
          <w:numId w:val="9"/>
        </w:numPr>
        <w:rPr>
          <w:rFonts w:ascii="Arial" w:hAnsi="Arial" w:cs="Arial"/>
          <w:sz w:val="24"/>
          <w:szCs w:val="24"/>
        </w:rPr>
      </w:pPr>
      <w:r w:rsidRPr="00D850F9">
        <w:rPr>
          <w:rFonts w:ascii="Arial" w:hAnsi="Arial" w:cs="Arial"/>
          <w:sz w:val="24"/>
          <w:szCs w:val="24"/>
        </w:rPr>
        <w:t xml:space="preserve">Please explain how </w:t>
      </w:r>
      <w:proofErr w:type="spellStart"/>
      <w:r w:rsidRPr="00D850F9">
        <w:rPr>
          <w:rFonts w:ascii="Arial" w:hAnsi="Arial" w:cs="Arial"/>
          <w:sz w:val="24"/>
          <w:szCs w:val="24"/>
        </w:rPr>
        <w:t>Tillsonburg</w:t>
      </w:r>
      <w:proofErr w:type="spellEnd"/>
      <w:r w:rsidRPr="00D850F9">
        <w:rPr>
          <w:rFonts w:ascii="Arial" w:hAnsi="Arial" w:cs="Arial"/>
          <w:sz w:val="24"/>
          <w:szCs w:val="24"/>
        </w:rPr>
        <w:t xml:space="preserve"> Hydro estimates the unbilled consumption for each month (i.e. 8,453,587 kWh).</w:t>
      </w:r>
    </w:p>
    <w:p w:rsidR="00D850F9" w:rsidRDefault="00D850F9" w:rsidP="00D850F9">
      <w:pPr>
        <w:pStyle w:val="ListParagraph"/>
        <w:ind w:left="1440"/>
        <w:rPr>
          <w:rFonts w:ascii="Arial" w:hAnsi="Arial" w:cs="Arial"/>
          <w:sz w:val="24"/>
          <w:szCs w:val="24"/>
        </w:rPr>
      </w:pPr>
    </w:p>
    <w:p w:rsidR="00D850F9" w:rsidRPr="00D850F9" w:rsidRDefault="00D850F9" w:rsidP="00D850F9">
      <w:pPr>
        <w:pStyle w:val="ListParagraph"/>
        <w:numPr>
          <w:ilvl w:val="0"/>
          <w:numId w:val="1"/>
        </w:numPr>
        <w:spacing w:after="160" w:line="252" w:lineRule="auto"/>
        <w:rPr>
          <w:rFonts w:ascii="Arial" w:hAnsi="Arial" w:cs="Arial"/>
          <w:sz w:val="24"/>
          <w:szCs w:val="24"/>
        </w:rPr>
      </w:pPr>
      <w:r w:rsidRPr="00D850F9">
        <w:rPr>
          <w:rFonts w:ascii="Arial" w:hAnsi="Arial" w:cs="Arial"/>
          <w:sz w:val="24"/>
          <w:szCs w:val="24"/>
        </w:rPr>
        <w:t xml:space="preserve">The calculated Total Loss Factor (TLF) using data in the GA Analysis </w:t>
      </w:r>
      <w:proofErr w:type="spellStart"/>
      <w:r w:rsidRPr="00D850F9">
        <w:rPr>
          <w:rFonts w:ascii="Arial" w:hAnsi="Arial" w:cs="Arial"/>
          <w:sz w:val="24"/>
          <w:szCs w:val="24"/>
        </w:rPr>
        <w:t>Workform</w:t>
      </w:r>
      <w:proofErr w:type="spellEnd"/>
      <w:r w:rsidRPr="00D850F9">
        <w:rPr>
          <w:rFonts w:ascii="Arial" w:hAnsi="Arial" w:cs="Arial"/>
          <w:sz w:val="24"/>
          <w:szCs w:val="24"/>
        </w:rPr>
        <w:t xml:space="preserve"> (cell F59/D26) is 1.0255, while the TLF in the Current Tariff Schedule is 1.0333.</w:t>
      </w:r>
    </w:p>
    <w:p w:rsidR="00D850F9" w:rsidRPr="00D850F9" w:rsidRDefault="00D850F9" w:rsidP="00D850F9">
      <w:pPr>
        <w:pStyle w:val="ListParagraph"/>
        <w:numPr>
          <w:ilvl w:val="0"/>
          <w:numId w:val="10"/>
        </w:numPr>
        <w:rPr>
          <w:rFonts w:ascii="Arial" w:hAnsi="Arial" w:cs="Arial"/>
          <w:sz w:val="24"/>
          <w:szCs w:val="24"/>
        </w:rPr>
      </w:pPr>
      <w:r w:rsidRPr="00D850F9">
        <w:rPr>
          <w:rFonts w:ascii="Arial" w:hAnsi="Arial" w:cs="Arial"/>
          <w:sz w:val="24"/>
          <w:szCs w:val="24"/>
        </w:rPr>
        <w:t>Please explain the difference.</w:t>
      </w:r>
    </w:p>
    <w:p w:rsidR="00A526C1" w:rsidRPr="00A526C1" w:rsidRDefault="00A526C1" w:rsidP="00A526C1">
      <w:pPr>
        <w:pStyle w:val="ListParagraph"/>
        <w:rPr>
          <w:rFonts w:ascii="Arial" w:hAnsi="Arial" w:cs="Arial"/>
          <w:sz w:val="24"/>
          <w:szCs w:val="24"/>
        </w:rPr>
      </w:pPr>
    </w:p>
    <w:p w:rsidR="00A526C1" w:rsidRPr="00E3521A" w:rsidRDefault="00A526C1" w:rsidP="00A526C1">
      <w:pPr>
        <w:pStyle w:val="ListParagraph"/>
        <w:spacing w:after="160" w:line="252" w:lineRule="auto"/>
        <w:ind w:left="360"/>
        <w:rPr>
          <w:rFonts w:ascii="Arial" w:hAnsi="Arial" w:cs="Arial"/>
          <w:sz w:val="24"/>
          <w:szCs w:val="24"/>
        </w:rPr>
      </w:pPr>
    </w:p>
    <w:p w:rsidR="00F6173D" w:rsidRDefault="00F6173D" w:rsidP="00F6173D"/>
    <w:sectPr w:rsidR="00F617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0365C"/>
    <w:multiLevelType w:val="hybridMultilevel"/>
    <w:tmpl w:val="FF46C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90EA4"/>
    <w:multiLevelType w:val="hybridMultilevel"/>
    <w:tmpl w:val="A0902F08"/>
    <w:lvl w:ilvl="0" w:tplc="A2B6BE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116A3D"/>
    <w:multiLevelType w:val="hybridMultilevel"/>
    <w:tmpl w:val="EAF445DC"/>
    <w:lvl w:ilvl="0" w:tplc="7ED8C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5952B3"/>
    <w:multiLevelType w:val="hybridMultilevel"/>
    <w:tmpl w:val="E014F7A6"/>
    <w:lvl w:ilvl="0" w:tplc="3CB67CC4">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19931E1"/>
    <w:multiLevelType w:val="hybridMultilevel"/>
    <w:tmpl w:val="C54ED3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3772B12"/>
    <w:multiLevelType w:val="hybridMultilevel"/>
    <w:tmpl w:val="44E095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D9E2640"/>
    <w:multiLevelType w:val="hybridMultilevel"/>
    <w:tmpl w:val="44E095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EDE0327"/>
    <w:multiLevelType w:val="hybridMultilevel"/>
    <w:tmpl w:val="44E095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ABE2FD2"/>
    <w:multiLevelType w:val="hybridMultilevel"/>
    <w:tmpl w:val="C54ED3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72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9"/>
  </w:num>
  <w:num w:numId="2">
    <w:abstractNumId w:val="7"/>
  </w:num>
  <w:num w:numId="3">
    <w:abstractNumId w:val="2"/>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8"/>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73D"/>
    <w:rsid w:val="00002AC9"/>
    <w:rsid w:val="0015625F"/>
    <w:rsid w:val="00230474"/>
    <w:rsid w:val="00257AE2"/>
    <w:rsid w:val="00342129"/>
    <w:rsid w:val="00371096"/>
    <w:rsid w:val="006E567E"/>
    <w:rsid w:val="00812F50"/>
    <w:rsid w:val="00A526C1"/>
    <w:rsid w:val="00BE590D"/>
    <w:rsid w:val="00BF468E"/>
    <w:rsid w:val="00CC067D"/>
    <w:rsid w:val="00D850F9"/>
    <w:rsid w:val="00DA59F4"/>
    <w:rsid w:val="00DD4C56"/>
    <w:rsid w:val="00E3521A"/>
    <w:rsid w:val="00F6173D"/>
    <w:rsid w:val="00F80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4B2C"/>
  <w15:chartTrackingRefBased/>
  <w15:docId w15:val="{A6FB3CFA-1FA6-4443-84B5-713BFA9C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73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73D"/>
    <w:pPr>
      <w:spacing w:after="200" w:line="276" w:lineRule="auto"/>
      <w:ind w:left="720"/>
      <w:contextualSpacing/>
    </w:pPr>
    <w:rPr>
      <w:rFonts w:asciiTheme="minorHAnsi" w:hAnsiTheme="minorHAnsi" w:cstheme="minorBidi"/>
      <w:lang w:val="en-CA"/>
    </w:rPr>
  </w:style>
  <w:style w:type="table" w:styleId="TableGrid">
    <w:name w:val="Table Grid"/>
    <w:basedOn w:val="TableNormal"/>
    <w:uiPriority w:val="59"/>
    <w:rsid w:val="00F6173D"/>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DC9C6-03A0-4D43-A1BD-5BC5685EE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Rozic</dc:creator>
  <cp:keywords/>
  <dc:description/>
  <cp:lastModifiedBy>Shuo Zhang</cp:lastModifiedBy>
  <cp:revision>4</cp:revision>
  <dcterms:created xsi:type="dcterms:W3CDTF">2017-11-14T14:49:00Z</dcterms:created>
  <dcterms:modified xsi:type="dcterms:W3CDTF">2017-11-15T15:16:00Z</dcterms:modified>
</cp:coreProperties>
</file>