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E0F" w:rsidRPr="00CE2E0F" w:rsidRDefault="006833C4" w:rsidP="00CE2E0F">
      <w:pPr>
        <w:rPr>
          <w:rFonts w:ascii="Arial" w:hAnsi="Arial" w:cs="Arial"/>
          <w:b/>
          <w:sz w:val="24"/>
          <w:szCs w:val="24"/>
        </w:rPr>
      </w:pPr>
      <w:r>
        <w:rPr>
          <w:rFonts w:ascii="Arial" w:hAnsi="Arial" w:cs="Arial"/>
          <w:b/>
          <w:sz w:val="24"/>
          <w:szCs w:val="24"/>
        </w:rPr>
        <w:t xml:space="preserve">West Cost Huron Energy </w:t>
      </w:r>
      <w:proofErr w:type="spellStart"/>
      <w:r>
        <w:rPr>
          <w:rFonts w:ascii="Arial" w:hAnsi="Arial" w:cs="Arial"/>
          <w:b/>
          <w:sz w:val="24"/>
          <w:szCs w:val="24"/>
        </w:rPr>
        <w:t>Inc</w:t>
      </w:r>
      <w:proofErr w:type="spellEnd"/>
      <w:r w:rsidR="00CE2E0F">
        <w:rPr>
          <w:rFonts w:ascii="Arial" w:hAnsi="Arial" w:cs="Arial"/>
          <w:b/>
          <w:sz w:val="24"/>
          <w:szCs w:val="24"/>
        </w:rPr>
        <w:t xml:space="preserve"> - </w:t>
      </w:r>
      <w:r w:rsidR="002B6BB5">
        <w:rPr>
          <w:rFonts w:ascii="Arial" w:hAnsi="Arial" w:cs="Arial"/>
          <w:b/>
          <w:sz w:val="24"/>
          <w:szCs w:val="24"/>
        </w:rPr>
        <w:t>EB-2017-0083</w:t>
      </w:r>
    </w:p>
    <w:p w:rsidR="002D7125" w:rsidRPr="00CE2E0F" w:rsidRDefault="00CE2E0F" w:rsidP="002D7125">
      <w:pPr>
        <w:rPr>
          <w:rFonts w:ascii="Arial" w:hAnsi="Arial" w:cs="Arial"/>
          <w:b/>
          <w:sz w:val="24"/>
          <w:szCs w:val="24"/>
        </w:rPr>
      </w:pPr>
      <w:r>
        <w:rPr>
          <w:rFonts w:ascii="Arial" w:hAnsi="Arial" w:cs="Arial"/>
          <w:b/>
          <w:sz w:val="24"/>
          <w:szCs w:val="24"/>
        </w:rPr>
        <w:t xml:space="preserve">GA Analysis </w:t>
      </w:r>
      <w:proofErr w:type="spellStart"/>
      <w:r>
        <w:rPr>
          <w:rFonts w:ascii="Arial" w:hAnsi="Arial" w:cs="Arial"/>
          <w:b/>
          <w:sz w:val="24"/>
          <w:szCs w:val="24"/>
        </w:rPr>
        <w:t>Workform</w:t>
      </w:r>
      <w:proofErr w:type="spellEnd"/>
      <w:r>
        <w:rPr>
          <w:rFonts w:ascii="Arial" w:hAnsi="Arial" w:cs="Arial"/>
          <w:b/>
          <w:sz w:val="24"/>
          <w:szCs w:val="24"/>
        </w:rPr>
        <w:t xml:space="preserve"> Preliminary Questions</w:t>
      </w:r>
    </w:p>
    <w:p w:rsidR="00CE2E0F" w:rsidRPr="002D7125" w:rsidRDefault="00CE2E0F" w:rsidP="002D7125">
      <w:pPr>
        <w:rPr>
          <w:rFonts w:ascii="Arial" w:hAnsi="Arial" w:cs="Arial"/>
          <w:sz w:val="24"/>
          <w:szCs w:val="24"/>
        </w:rPr>
      </w:pPr>
    </w:p>
    <w:p w:rsidR="00F73B15" w:rsidRPr="000162D6" w:rsidRDefault="00F73B15" w:rsidP="00F73B15">
      <w:pPr>
        <w:pStyle w:val="ListParagraph"/>
        <w:numPr>
          <w:ilvl w:val="0"/>
          <w:numId w:val="2"/>
        </w:numPr>
        <w:rPr>
          <w:rFonts w:ascii="Arial" w:hAnsi="Arial" w:cs="Arial"/>
          <w:sz w:val="24"/>
          <w:szCs w:val="24"/>
        </w:rPr>
      </w:pPr>
      <w:r w:rsidRPr="000162D6">
        <w:rPr>
          <w:rFonts w:ascii="Arial" w:hAnsi="Arial" w:cs="Arial"/>
          <w:sz w:val="24"/>
          <w:szCs w:val="24"/>
        </w:rPr>
        <w:t>In booking expense journal entries for Charge Type 1142 (formerly 142), and Charge Type 148 from the IESO invoice, please confirm which of the following approach is used:</w:t>
      </w:r>
    </w:p>
    <w:p w:rsidR="00F73B15" w:rsidRDefault="00F73B15" w:rsidP="00F73B15">
      <w:pPr>
        <w:pStyle w:val="ListParagraph"/>
        <w:numPr>
          <w:ilvl w:val="0"/>
          <w:numId w:val="1"/>
        </w:numPr>
        <w:rPr>
          <w:rFonts w:ascii="Arial" w:hAnsi="Arial" w:cs="Arial"/>
          <w:sz w:val="24"/>
          <w:szCs w:val="24"/>
        </w:rPr>
      </w:pPr>
      <w:r w:rsidRPr="000162D6">
        <w:rPr>
          <w:rFonts w:ascii="Arial" w:hAnsi="Arial" w:cs="Arial"/>
          <w:sz w:val="24"/>
          <w:szCs w:val="24"/>
        </w:rPr>
        <w:t>Charge Type 1142 is booked into Account 1588. Charge Type 148 is pro-rated based on RPP/non-RPP consumption and then booked into Account 1588 and 1589, respectively</w:t>
      </w:r>
    </w:p>
    <w:p w:rsidR="00F73B15" w:rsidRPr="00ED2655" w:rsidRDefault="00F73B15" w:rsidP="00F73B15">
      <w:pPr>
        <w:pStyle w:val="ListParagraph"/>
        <w:numPr>
          <w:ilvl w:val="0"/>
          <w:numId w:val="1"/>
        </w:numPr>
        <w:rPr>
          <w:rFonts w:ascii="Arial" w:hAnsi="Arial" w:cs="Arial"/>
          <w:sz w:val="24"/>
          <w:szCs w:val="24"/>
        </w:rPr>
      </w:pPr>
      <w:r w:rsidRPr="00ED2655">
        <w:rPr>
          <w:rFonts w:ascii="Arial" w:hAnsi="Arial" w:cs="Arial"/>
          <w:sz w:val="24"/>
          <w:szCs w:val="24"/>
        </w:rPr>
        <w:t xml:space="preserve">Charge Type 148 is booked into Account 1589. The portion of Charge Type 1142 equalling RPP-HOEP for RPP consumption is booked into Account 1588. The portion of Charge Type 1142 equalling GA RPP is credited into Account 1589.  </w:t>
      </w:r>
    </w:p>
    <w:p w:rsidR="00F73B15" w:rsidRDefault="00F73B15" w:rsidP="00B63E93">
      <w:pPr>
        <w:pStyle w:val="ListParagraph"/>
        <w:numPr>
          <w:ilvl w:val="0"/>
          <w:numId w:val="1"/>
        </w:numPr>
        <w:rPr>
          <w:rFonts w:ascii="Arial" w:hAnsi="Arial" w:cs="Arial"/>
          <w:sz w:val="24"/>
          <w:szCs w:val="24"/>
        </w:rPr>
      </w:pPr>
      <w:r w:rsidRPr="00ED2655">
        <w:rPr>
          <w:rFonts w:ascii="Arial" w:hAnsi="Arial" w:cs="Arial"/>
          <w:sz w:val="24"/>
          <w:szCs w:val="24"/>
        </w:rPr>
        <w:t>Another approach.  Please explain this approach in detail.</w:t>
      </w:r>
    </w:p>
    <w:p w:rsidR="00B63E93" w:rsidRPr="00B63E93" w:rsidRDefault="00B63E93" w:rsidP="00B63E93">
      <w:pPr>
        <w:pStyle w:val="ListParagraph"/>
        <w:ind w:left="1080"/>
        <w:rPr>
          <w:rFonts w:ascii="Arial" w:hAnsi="Arial" w:cs="Arial"/>
          <w:sz w:val="24"/>
          <w:szCs w:val="24"/>
        </w:rPr>
      </w:pPr>
      <w:bookmarkStart w:id="0" w:name="_GoBack"/>
      <w:bookmarkEnd w:id="0"/>
    </w:p>
    <w:p w:rsidR="00F73B15" w:rsidRPr="00A12038" w:rsidRDefault="00F73B15" w:rsidP="00F73B15">
      <w:pPr>
        <w:pStyle w:val="ListParagraph"/>
        <w:numPr>
          <w:ilvl w:val="0"/>
          <w:numId w:val="2"/>
        </w:numPr>
        <w:rPr>
          <w:rFonts w:ascii="Arial" w:hAnsi="Arial" w:cs="Arial"/>
          <w:sz w:val="24"/>
          <w:szCs w:val="24"/>
        </w:rPr>
      </w:pPr>
      <w:r w:rsidRPr="00B915F7">
        <w:rPr>
          <w:rFonts w:ascii="Arial" w:hAnsi="Arial" w:cs="Arial"/>
          <w:sz w:val="24"/>
          <w:szCs w:val="24"/>
        </w:rPr>
        <w:t>In regards to the Dec. 31 balance in Account 1589;</w:t>
      </w:r>
      <w:r>
        <w:rPr>
          <w:rFonts w:ascii="Arial" w:hAnsi="Arial" w:cs="Arial"/>
          <w:sz w:val="24"/>
          <w:szCs w:val="24"/>
        </w:rPr>
        <w:t xml:space="preserve"> f</w:t>
      </w:r>
      <w:r w:rsidRPr="00A12038">
        <w:rPr>
          <w:rFonts w:ascii="Arial" w:hAnsi="Arial" w:cs="Arial"/>
          <w:sz w:val="24"/>
          <w:szCs w:val="24"/>
        </w:rPr>
        <w:t xml:space="preserve">or all components that flow into Account 1589 (see items </w:t>
      </w:r>
      <w:proofErr w:type="spellStart"/>
      <w:r w:rsidRPr="00A12038">
        <w:rPr>
          <w:rFonts w:ascii="Arial" w:hAnsi="Arial" w:cs="Arial"/>
          <w:sz w:val="24"/>
          <w:szCs w:val="24"/>
        </w:rPr>
        <w:t>i</w:t>
      </w:r>
      <w:proofErr w:type="spellEnd"/>
      <w:r w:rsidRPr="00A12038">
        <w:rPr>
          <w:rFonts w:ascii="Arial" w:hAnsi="Arial" w:cs="Arial"/>
          <w:sz w:val="24"/>
          <w:szCs w:val="24"/>
        </w:rPr>
        <w:t xml:space="preserve"> to </w:t>
      </w:r>
      <w:proofErr w:type="gramStart"/>
      <w:r w:rsidRPr="00A12038">
        <w:rPr>
          <w:rFonts w:ascii="Arial" w:hAnsi="Arial" w:cs="Arial"/>
          <w:sz w:val="24"/>
          <w:szCs w:val="24"/>
        </w:rPr>
        <w:t>iv</w:t>
      </w:r>
      <w:proofErr w:type="gramEnd"/>
      <w:r w:rsidRPr="00A12038">
        <w:rPr>
          <w:rFonts w:ascii="Arial" w:hAnsi="Arial" w:cs="Arial"/>
          <w:sz w:val="24"/>
          <w:szCs w:val="24"/>
        </w:rPr>
        <w:t xml:space="preserve"> in the table below), please complete the table below and indicate whether the items listed have been recorded based on estimates or actuals at year-end.  Where an item has been recorded based on an estimate, quantify the adjustment required for true up from estimate to actual.</w:t>
      </w:r>
    </w:p>
    <w:tbl>
      <w:tblPr>
        <w:tblStyle w:val="TableGrid"/>
        <w:tblW w:w="9605" w:type="dxa"/>
        <w:tblLook w:val="04A0" w:firstRow="1" w:lastRow="0" w:firstColumn="1" w:lastColumn="0" w:noHBand="0" w:noVBand="1"/>
      </w:tblPr>
      <w:tblGrid>
        <w:gridCol w:w="390"/>
        <w:gridCol w:w="1870"/>
        <w:gridCol w:w="1870"/>
        <w:gridCol w:w="3605"/>
        <w:gridCol w:w="1870"/>
      </w:tblGrid>
      <w:tr w:rsidR="00F73B15" w:rsidTr="00A12038">
        <w:tc>
          <w:tcPr>
            <w:tcW w:w="390" w:type="dxa"/>
          </w:tcPr>
          <w:p w:rsidR="00F73B15" w:rsidRPr="00360DCD" w:rsidRDefault="00F73B15" w:rsidP="00A12038">
            <w:pPr>
              <w:rPr>
                <w:rFonts w:ascii="Arial" w:hAnsi="Arial" w:cs="Arial"/>
                <w:sz w:val="20"/>
                <w:szCs w:val="20"/>
              </w:rPr>
            </w:pPr>
          </w:p>
        </w:tc>
        <w:tc>
          <w:tcPr>
            <w:tcW w:w="1870" w:type="dxa"/>
          </w:tcPr>
          <w:p w:rsidR="00F73B15" w:rsidRPr="00360DCD" w:rsidRDefault="00F73B15" w:rsidP="00A12038">
            <w:pPr>
              <w:rPr>
                <w:rFonts w:ascii="Arial" w:hAnsi="Arial" w:cs="Arial"/>
                <w:b/>
                <w:sz w:val="20"/>
                <w:szCs w:val="20"/>
              </w:rPr>
            </w:pPr>
            <w:r w:rsidRPr="00360DCD">
              <w:rPr>
                <w:rFonts w:ascii="Arial" w:hAnsi="Arial" w:cs="Arial"/>
                <w:b/>
                <w:sz w:val="20"/>
                <w:szCs w:val="20"/>
              </w:rPr>
              <w:t>Component</w:t>
            </w:r>
          </w:p>
        </w:tc>
        <w:tc>
          <w:tcPr>
            <w:tcW w:w="1870" w:type="dxa"/>
          </w:tcPr>
          <w:p w:rsidR="00F73B15" w:rsidRPr="00360DCD" w:rsidRDefault="00F73B15" w:rsidP="00A12038">
            <w:pPr>
              <w:rPr>
                <w:rFonts w:ascii="Arial" w:hAnsi="Arial" w:cs="Arial"/>
                <w:b/>
                <w:sz w:val="20"/>
                <w:szCs w:val="20"/>
              </w:rPr>
            </w:pPr>
            <w:r w:rsidRPr="00360DCD">
              <w:rPr>
                <w:rFonts w:ascii="Arial" w:hAnsi="Arial" w:cs="Arial"/>
                <w:b/>
                <w:sz w:val="20"/>
                <w:szCs w:val="20"/>
              </w:rPr>
              <w:t>a) Estimate or Actual</w:t>
            </w:r>
          </w:p>
        </w:tc>
        <w:tc>
          <w:tcPr>
            <w:tcW w:w="3605" w:type="dxa"/>
          </w:tcPr>
          <w:p w:rsidR="00F73B15" w:rsidRPr="00360DCD" w:rsidRDefault="00F73B15" w:rsidP="00A12038">
            <w:pPr>
              <w:rPr>
                <w:rFonts w:ascii="Arial" w:hAnsi="Arial" w:cs="Arial"/>
                <w:b/>
                <w:sz w:val="20"/>
                <w:szCs w:val="20"/>
              </w:rPr>
            </w:pPr>
            <w:r w:rsidRPr="00360DCD">
              <w:rPr>
                <w:rFonts w:ascii="Arial" w:hAnsi="Arial" w:cs="Arial"/>
                <w:b/>
                <w:sz w:val="20"/>
                <w:szCs w:val="20"/>
              </w:rPr>
              <w:t>Notes/Comments</w:t>
            </w:r>
          </w:p>
        </w:tc>
        <w:tc>
          <w:tcPr>
            <w:tcW w:w="1870" w:type="dxa"/>
          </w:tcPr>
          <w:p w:rsidR="00F73B15" w:rsidRPr="00360DCD" w:rsidRDefault="00F73B15" w:rsidP="00A12038">
            <w:pPr>
              <w:rPr>
                <w:rFonts w:ascii="Arial" w:hAnsi="Arial" w:cs="Arial"/>
                <w:b/>
                <w:sz w:val="20"/>
                <w:szCs w:val="20"/>
              </w:rPr>
            </w:pPr>
            <w:r w:rsidRPr="00360DCD">
              <w:rPr>
                <w:rFonts w:ascii="Arial" w:hAnsi="Arial" w:cs="Arial"/>
                <w:b/>
                <w:sz w:val="20"/>
                <w:szCs w:val="20"/>
              </w:rPr>
              <w:t>b) Quantify True Up  Adjustment</w:t>
            </w:r>
          </w:p>
        </w:tc>
      </w:tr>
      <w:tr w:rsidR="00F73B15" w:rsidTr="00A12038">
        <w:tc>
          <w:tcPr>
            <w:tcW w:w="390" w:type="dxa"/>
          </w:tcPr>
          <w:p w:rsidR="00F73B15" w:rsidRPr="00360DCD" w:rsidRDefault="002D7125" w:rsidP="00A12038">
            <w:pPr>
              <w:rPr>
                <w:rFonts w:ascii="Arial" w:hAnsi="Arial" w:cs="Arial"/>
                <w:sz w:val="20"/>
                <w:szCs w:val="20"/>
              </w:rPr>
            </w:pPr>
            <w:r w:rsidRPr="00360DCD">
              <w:rPr>
                <w:rFonts w:ascii="Arial" w:hAnsi="Arial" w:cs="Arial"/>
                <w:sz w:val="20"/>
                <w:szCs w:val="20"/>
              </w:rPr>
              <w:t>I</w:t>
            </w:r>
          </w:p>
        </w:tc>
        <w:tc>
          <w:tcPr>
            <w:tcW w:w="1870" w:type="dxa"/>
          </w:tcPr>
          <w:p w:rsidR="00F73B15" w:rsidRPr="00360DCD" w:rsidRDefault="00F73B15" w:rsidP="00A12038">
            <w:pPr>
              <w:rPr>
                <w:rFonts w:ascii="Arial" w:hAnsi="Arial" w:cs="Arial"/>
                <w:sz w:val="20"/>
                <w:szCs w:val="20"/>
              </w:rPr>
            </w:pPr>
            <w:r w:rsidRPr="00360DCD">
              <w:rPr>
                <w:rFonts w:ascii="Arial" w:hAnsi="Arial" w:cs="Arial"/>
                <w:sz w:val="20"/>
                <w:szCs w:val="20"/>
              </w:rPr>
              <w:t>Revenues (i.e. is unbilled revenues trued up</w:t>
            </w:r>
            <w:r>
              <w:rPr>
                <w:rFonts w:ascii="Arial" w:hAnsi="Arial" w:cs="Arial"/>
                <w:sz w:val="20"/>
                <w:szCs w:val="20"/>
              </w:rPr>
              <w:t xml:space="preserve"> by year end</w:t>
            </w:r>
            <w:r w:rsidRPr="00360DCD">
              <w:rPr>
                <w:rFonts w:ascii="Arial" w:hAnsi="Arial" w:cs="Arial"/>
                <w:sz w:val="20"/>
                <w:szCs w:val="20"/>
              </w:rPr>
              <w:t xml:space="preserve">) </w:t>
            </w:r>
          </w:p>
          <w:p w:rsidR="00F73B15" w:rsidRPr="00360DCD" w:rsidRDefault="00F73B15" w:rsidP="00A12038">
            <w:pPr>
              <w:rPr>
                <w:rFonts w:ascii="Arial" w:hAnsi="Arial" w:cs="Arial"/>
                <w:sz w:val="20"/>
                <w:szCs w:val="20"/>
              </w:rPr>
            </w:pPr>
          </w:p>
        </w:tc>
        <w:tc>
          <w:tcPr>
            <w:tcW w:w="1870" w:type="dxa"/>
          </w:tcPr>
          <w:p w:rsidR="00F73B15" w:rsidRDefault="00F73B15" w:rsidP="00A12038">
            <w:pPr>
              <w:rPr>
                <w:rFonts w:ascii="Arial" w:hAnsi="Arial" w:cs="Arial"/>
                <w:color w:val="FF0000"/>
                <w:sz w:val="20"/>
                <w:szCs w:val="20"/>
              </w:rPr>
            </w:pPr>
          </w:p>
          <w:p w:rsidR="00F73B15" w:rsidRPr="00C2214A" w:rsidRDefault="00F73B15" w:rsidP="00A12038">
            <w:pPr>
              <w:rPr>
                <w:rFonts w:ascii="Arial" w:hAnsi="Arial" w:cs="Arial"/>
                <w:color w:val="FF0000"/>
                <w:sz w:val="20"/>
                <w:szCs w:val="20"/>
              </w:rPr>
            </w:pPr>
          </w:p>
        </w:tc>
        <w:tc>
          <w:tcPr>
            <w:tcW w:w="3605" w:type="dxa"/>
          </w:tcPr>
          <w:p w:rsidR="00F73B15" w:rsidRPr="00360DCD" w:rsidRDefault="00F73B15" w:rsidP="00A12038">
            <w:pPr>
              <w:rPr>
                <w:rFonts w:ascii="Arial" w:hAnsi="Arial" w:cs="Arial"/>
                <w:sz w:val="20"/>
                <w:szCs w:val="20"/>
              </w:rPr>
            </w:pPr>
          </w:p>
        </w:tc>
        <w:tc>
          <w:tcPr>
            <w:tcW w:w="1870" w:type="dxa"/>
          </w:tcPr>
          <w:p w:rsidR="00F73B15" w:rsidRPr="00360DCD" w:rsidRDefault="00F73B15" w:rsidP="00A12038">
            <w:pPr>
              <w:jc w:val="center"/>
              <w:rPr>
                <w:rFonts w:ascii="Arial" w:hAnsi="Arial" w:cs="Arial"/>
                <w:sz w:val="20"/>
                <w:szCs w:val="20"/>
              </w:rPr>
            </w:pPr>
          </w:p>
        </w:tc>
      </w:tr>
      <w:tr w:rsidR="00F73B15" w:rsidTr="00A12038">
        <w:tc>
          <w:tcPr>
            <w:tcW w:w="390" w:type="dxa"/>
          </w:tcPr>
          <w:p w:rsidR="00F73B15" w:rsidRPr="00360DCD" w:rsidRDefault="002D7125" w:rsidP="00A12038">
            <w:pPr>
              <w:rPr>
                <w:rFonts w:ascii="Arial" w:hAnsi="Arial" w:cs="Arial"/>
                <w:sz w:val="20"/>
                <w:szCs w:val="20"/>
              </w:rPr>
            </w:pPr>
            <w:r w:rsidRPr="00360DCD">
              <w:rPr>
                <w:rFonts w:ascii="Arial" w:hAnsi="Arial" w:cs="Arial"/>
                <w:sz w:val="20"/>
                <w:szCs w:val="20"/>
              </w:rPr>
              <w:t>I</w:t>
            </w:r>
            <w:r w:rsidR="00F73B15" w:rsidRPr="00360DCD">
              <w:rPr>
                <w:rFonts w:ascii="Arial" w:hAnsi="Arial" w:cs="Arial"/>
                <w:sz w:val="20"/>
                <w:szCs w:val="20"/>
              </w:rPr>
              <w:t>i</w:t>
            </w:r>
          </w:p>
        </w:tc>
        <w:tc>
          <w:tcPr>
            <w:tcW w:w="1870" w:type="dxa"/>
          </w:tcPr>
          <w:p w:rsidR="00F73B15" w:rsidRPr="00360DCD" w:rsidRDefault="00F73B15" w:rsidP="00A12038">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to the quantum dollar amount </w:t>
            </w:r>
            <w:r>
              <w:rPr>
                <w:rFonts w:ascii="Arial" w:hAnsi="Arial" w:cs="Arial"/>
                <w:sz w:val="20"/>
                <w:szCs w:val="20"/>
              </w:rPr>
              <w:t>(i.e. is expense based on IESO invoice at year end)</w:t>
            </w:r>
          </w:p>
          <w:p w:rsidR="00F73B15" w:rsidRPr="00360DCD" w:rsidRDefault="00F73B15" w:rsidP="00A12038">
            <w:pPr>
              <w:rPr>
                <w:rFonts w:ascii="Arial" w:hAnsi="Arial" w:cs="Arial"/>
                <w:sz w:val="20"/>
                <w:szCs w:val="20"/>
              </w:rPr>
            </w:pPr>
          </w:p>
        </w:tc>
        <w:tc>
          <w:tcPr>
            <w:tcW w:w="1870" w:type="dxa"/>
          </w:tcPr>
          <w:p w:rsidR="00F73B15" w:rsidRDefault="00F73B15" w:rsidP="00A12038">
            <w:pPr>
              <w:rPr>
                <w:rFonts w:ascii="Arial" w:hAnsi="Arial" w:cs="Arial"/>
                <w:sz w:val="20"/>
                <w:szCs w:val="20"/>
              </w:rPr>
            </w:pPr>
          </w:p>
          <w:p w:rsidR="00F73B15" w:rsidRPr="00360DCD" w:rsidRDefault="00F73B15" w:rsidP="00A12038">
            <w:pPr>
              <w:rPr>
                <w:rFonts w:ascii="Arial" w:hAnsi="Arial" w:cs="Arial"/>
                <w:sz w:val="20"/>
                <w:szCs w:val="20"/>
              </w:rPr>
            </w:pPr>
          </w:p>
        </w:tc>
        <w:tc>
          <w:tcPr>
            <w:tcW w:w="3605" w:type="dxa"/>
          </w:tcPr>
          <w:p w:rsidR="00F73B15" w:rsidRPr="00360DCD" w:rsidRDefault="00F73B15" w:rsidP="00A12038">
            <w:pPr>
              <w:rPr>
                <w:rFonts w:ascii="Arial" w:hAnsi="Arial" w:cs="Arial"/>
                <w:sz w:val="20"/>
                <w:szCs w:val="20"/>
              </w:rPr>
            </w:pPr>
          </w:p>
        </w:tc>
        <w:tc>
          <w:tcPr>
            <w:tcW w:w="1870" w:type="dxa"/>
          </w:tcPr>
          <w:p w:rsidR="00F73B15" w:rsidRPr="00360DCD" w:rsidRDefault="00F73B15" w:rsidP="00A12038">
            <w:pPr>
              <w:rPr>
                <w:rFonts w:ascii="Arial" w:hAnsi="Arial" w:cs="Arial"/>
                <w:sz w:val="20"/>
                <w:szCs w:val="20"/>
              </w:rPr>
            </w:pPr>
          </w:p>
        </w:tc>
      </w:tr>
      <w:tr w:rsidR="00F73B15" w:rsidTr="00A12038">
        <w:tc>
          <w:tcPr>
            <w:tcW w:w="390" w:type="dxa"/>
          </w:tcPr>
          <w:p w:rsidR="00F73B15" w:rsidRPr="00360DCD" w:rsidRDefault="00F73B15" w:rsidP="00A12038">
            <w:pPr>
              <w:rPr>
                <w:rFonts w:ascii="Arial" w:hAnsi="Arial" w:cs="Arial"/>
                <w:sz w:val="20"/>
                <w:szCs w:val="20"/>
              </w:rPr>
            </w:pPr>
            <w:r w:rsidRPr="00360DCD">
              <w:rPr>
                <w:rFonts w:ascii="Arial" w:hAnsi="Arial" w:cs="Arial"/>
                <w:sz w:val="20"/>
                <w:szCs w:val="20"/>
              </w:rPr>
              <w:t>Iii</w:t>
            </w:r>
          </w:p>
        </w:tc>
        <w:tc>
          <w:tcPr>
            <w:tcW w:w="1870" w:type="dxa"/>
          </w:tcPr>
          <w:p w:rsidR="00F73B15" w:rsidRPr="00360DCD" w:rsidRDefault="00F73B15" w:rsidP="00A12038">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and RPP/non-RPP pro-ration percentages</w:t>
            </w:r>
          </w:p>
          <w:p w:rsidR="00F73B15" w:rsidRPr="00360DCD" w:rsidRDefault="00F73B15" w:rsidP="00A12038">
            <w:pPr>
              <w:rPr>
                <w:rFonts w:ascii="Arial" w:hAnsi="Arial" w:cs="Arial"/>
                <w:sz w:val="20"/>
                <w:szCs w:val="20"/>
              </w:rPr>
            </w:pPr>
          </w:p>
        </w:tc>
        <w:tc>
          <w:tcPr>
            <w:tcW w:w="1870" w:type="dxa"/>
          </w:tcPr>
          <w:p w:rsidR="00F73B15" w:rsidRDefault="00F73B15" w:rsidP="00A12038">
            <w:pPr>
              <w:rPr>
                <w:rFonts w:ascii="Arial" w:hAnsi="Arial" w:cs="Arial"/>
                <w:sz w:val="20"/>
                <w:szCs w:val="20"/>
              </w:rPr>
            </w:pPr>
          </w:p>
          <w:p w:rsidR="00F73B15" w:rsidRPr="00360DCD" w:rsidRDefault="00F73B15" w:rsidP="00A12038">
            <w:pPr>
              <w:rPr>
                <w:rFonts w:ascii="Arial" w:hAnsi="Arial" w:cs="Arial"/>
                <w:sz w:val="20"/>
                <w:szCs w:val="20"/>
              </w:rPr>
            </w:pPr>
          </w:p>
        </w:tc>
        <w:tc>
          <w:tcPr>
            <w:tcW w:w="3605" w:type="dxa"/>
          </w:tcPr>
          <w:p w:rsidR="00F73B15" w:rsidRPr="00360DCD" w:rsidRDefault="00F73B15" w:rsidP="00A12038">
            <w:pPr>
              <w:rPr>
                <w:rFonts w:ascii="Arial" w:hAnsi="Arial" w:cs="Arial"/>
                <w:sz w:val="20"/>
                <w:szCs w:val="20"/>
              </w:rPr>
            </w:pPr>
          </w:p>
        </w:tc>
        <w:tc>
          <w:tcPr>
            <w:tcW w:w="1870" w:type="dxa"/>
          </w:tcPr>
          <w:p w:rsidR="00F73B15" w:rsidRPr="00360DCD" w:rsidRDefault="00F73B15" w:rsidP="00A12038">
            <w:pPr>
              <w:rPr>
                <w:rFonts w:ascii="Arial" w:hAnsi="Arial" w:cs="Arial"/>
                <w:sz w:val="20"/>
                <w:szCs w:val="20"/>
              </w:rPr>
            </w:pPr>
          </w:p>
        </w:tc>
      </w:tr>
      <w:tr w:rsidR="00F73B15" w:rsidTr="00A12038">
        <w:tc>
          <w:tcPr>
            <w:tcW w:w="390" w:type="dxa"/>
          </w:tcPr>
          <w:p w:rsidR="00F73B15" w:rsidRPr="00360DCD" w:rsidRDefault="002D7125" w:rsidP="00A12038">
            <w:pPr>
              <w:rPr>
                <w:rFonts w:ascii="Arial" w:hAnsi="Arial" w:cs="Arial"/>
                <w:sz w:val="20"/>
                <w:szCs w:val="20"/>
              </w:rPr>
            </w:pPr>
            <w:r w:rsidRPr="00360DCD">
              <w:rPr>
                <w:rFonts w:ascii="Arial" w:hAnsi="Arial" w:cs="Arial"/>
                <w:sz w:val="20"/>
                <w:szCs w:val="20"/>
              </w:rPr>
              <w:t>I</w:t>
            </w:r>
            <w:r w:rsidR="00F73B15" w:rsidRPr="00360DCD">
              <w:rPr>
                <w:rFonts w:ascii="Arial" w:hAnsi="Arial" w:cs="Arial"/>
                <w:sz w:val="20"/>
                <w:szCs w:val="20"/>
              </w:rPr>
              <w:t>v</w:t>
            </w:r>
          </w:p>
        </w:tc>
        <w:tc>
          <w:tcPr>
            <w:tcW w:w="1870" w:type="dxa"/>
          </w:tcPr>
          <w:p w:rsidR="00F73B15" w:rsidRPr="00360DCD" w:rsidRDefault="00F73B15" w:rsidP="00A12038">
            <w:pPr>
              <w:rPr>
                <w:rFonts w:ascii="Arial" w:hAnsi="Arial" w:cs="Arial"/>
                <w:sz w:val="20"/>
                <w:szCs w:val="20"/>
              </w:rPr>
            </w:pPr>
            <w:r w:rsidRPr="00360DCD">
              <w:rPr>
                <w:rFonts w:ascii="Arial" w:hAnsi="Arial" w:cs="Arial"/>
                <w:sz w:val="20"/>
                <w:szCs w:val="20"/>
              </w:rPr>
              <w:t xml:space="preserve">Credit of GA </w:t>
            </w:r>
            <w:r>
              <w:rPr>
                <w:rFonts w:ascii="Arial" w:hAnsi="Arial" w:cs="Arial"/>
                <w:sz w:val="20"/>
                <w:szCs w:val="20"/>
              </w:rPr>
              <w:t xml:space="preserve">RPP: Charge Type 142 </w:t>
            </w:r>
            <w:r w:rsidRPr="00360DCD">
              <w:rPr>
                <w:rFonts w:ascii="Arial" w:hAnsi="Arial" w:cs="Arial"/>
                <w:sz w:val="20"/>
                <w:szCs w:val="20"/>
              </w:rPr>
              <w:t xml:space="preserve">if the approach </w:t>
            </w:r>
            <w:r w:rsidRPr="00360DCD">
              <w:rPr>
                <w:rFonts w:ascii="Arial" w:hAnsi="Arial" w:cs="Arial"/>
                <w:sz w:val="20"/>
                <w:szCs w:val="20"/>
              </w:rPr>
              <w:lastRenderedPageBreak/>
              <w:t>under IR 1b is used</w:t>
            </w:r>
          </w:p>
          <w:p w:rsidR="00F73B15" w:rsidRPr="00360DCD" w:rsidRDefault="00F73B15" w:rsidP="00A12038">
            <w:pPr>
              <w:rPr>
                <w:rFonts w:ascii="Arial" w:hAnsi="Arial" w:cs="Arial"/>
                <w:sz w:val="20"/>
                <w:szCs w:val="20"/>
              </w:rPr>
            </w:pPr>
          </w:p>
        </w:tc>
        <w:tc>
          <w:tcPr>
            <w:tcW w:w="1870" w:type="dxa"/>
          </w:tcPr>
          <w:p w:rsidR="00F73B15" w:rsidRDefault="00F73B15" w:rsidP="00A12038">
            <w:pPr>
              <w:rPr>
                <w:rFonts w:ascii="Arial" w:hAnsi="Arial" w:cs="Arial"/>
                <w:sz w:val="20"/>
                <w:szCs w:val="20"/>
              </w:rPr>
            </w:pPr>
          </w:p>
          <w:p w:rsidR="00F73B15" w:rsidRPr="00360DCD" w:rsidRDefault="00F73B15" w:rsidP="00A12038">
            <w:pPr>
              <w:rPr>
                <w:rFonts w:ascii="Arial" w:hAnsi="Arial" w:cs="Arial"/>
                <w:sz w:val="20"/>
                <w:szCs w:val="20"/>
              </w:rPr>
            </w:pPr>
          </w:p>
        </w:tc>
        <w:tc>
          <w:tcPr>
            <w:tcW w:w="3605" w:type="dxa"/>
          </w:tcPr>
          <w:p w:rsidR="00F73B15" w:rsidRPr="00360DCD" w:rsidRDefault="00F73B15" w:rsidP="00A12038">
            <w:pPr>
              <w:rPr>
                <w:rFonts w:ascii="Arial" w:hAnsi="Arial" w:cs="Arial"/>
                <w:sz w:val="20"/>
                <w:szCs w:val="20"/>
              </w:rPr>
            </w:pPr>
          </w:p>
        </w:tc>
        <w:tc>
          <w:tcPr>
            <w:tcW w:w="1870" w:type="dxa"/>
          </w:tcPr>
          <w:p w:rsidR="00F73B15" w:rsidRPr="00360DCD" w:rsidRDefault="00F73B15" w:rsidP="00A12038">
            <w:pPr>
              <w:rPr>
                <w:rFonts w:ascii="Arial" w:hAnsi="Arial" w:cs="Arial"/>
                <w:sz w:val="20"/>
                <w:szCs w:val="20"/>
              </w:rPr>
            </w:pPr>
          </w:p>
        </w:tc>
      </w:tr>
    </w:tbl>
    <w:p w:rsidR="002D7125" w:rsidRDefault="002D7125" w:rsidP="00CE2E0F">
      <w:pPr>
        <w:pStyle w:val="ListParagraph"/>
        <w:spacing w:after="160" w:line="252" w:lineRule="auto"/>
        <w:ind w:left="360"/>
        <w:rPr>
          <w:rFonts w:ascii="Arial" w:hAnsi="Arial" w:cs="Arial"/>
          <w:sz w:val="24"/>
          <w:szCs w:val="24"/>
        </w:rPr>
      </w:pPr>
    </w:p>
    <w:p w:rsidR="0048693B" w:rsidRDefault="0048693B" w:rsidP="00F73B15">
      <w:pPr>
        <w:pStyle w:val="ListParagraph"/>
        <w:numPr>
          <w:ilvl w:val="0"/>
          <w:numId w:val="2"/>
        </w:numPr>
        <w:spacing w:after="160" w:line="252" w:lineRule="auto"/>
        <w:rPr>
          <w:rFonts w:ascii="Arial" w:hAnsi="Arial" w:cs="Arial"/>
          <w:sz w:val="24"/>
          <w:szCs w:val="24"/>
        </w:rPr>
      </w:pPr>
      <w:r>
        <w:rPr>
          <w:rFonts w:ascii="Arial" w:hAnsi="Arial" w:cs="Arial"/>
          <w:sz w:val="24"/>
          <w:szCs w:val="24"/>
        </w:rPr>
        <w:t xml:space="preserve">Please populate Note 3 of the GA Analysis </w:t>
      </w:r>
      <w:proofErr w:type="spellStart"/>
      <w:r>
        <w:rPr>
          <w:rFonts w:ascii="Arial" w:hAnsi="Arial" w:cs="Arial"/>
          <w:sz w:val="24"/>
          <w:szCs w:val="24"/>
        </w:rPr>
        <w:t>workform</w:t>
      </w:r>
      <w:proofErr w:type="spellEnd"/>
      <w:r>
        <w:rPr>
          <w:rFonts w:ascii="Arial" w:hAnsi="Arial" w:cs="Arial"/>
          <w:sz w:val="24"/>
          <w:szCs w:val="24"/>
        </w:rPr>
        <w:t xml:space="preserve"> in accordance with the requirements specified in the “Instructions”</w:t>
      </w:r>
      <w:r w:rsidR="004F0B35">
        <w:rPr>
          <w:rFonts w:ascii="Arial" w:hAnsi="Arial" w:cs="Arial"/>
          <w:sz w:val="24"/>
          <w:szCs w:val="24"/>
        </w:rPr>
        <w:t xml:space="preserve"> tab of the workbook (refer to</w:t>
      </w:r>
      <w:r>
        <w:rPr>
          <w:rFonts w:ascii="Arial" w:hAnsi="Arial" w:cs="Arial"/>
          <w:sz w:val="24"/>
          <w:szCs w:val="24"/>
        </w:rPr>
        <w:t xml:space="preserve"> item 3. In the “Instructions” tab</w:t>
      </w:r>
      <w:r w:rsidR="004F0B35">
        <w:rPr>
          <w:rFonts w:ascii="Arial" w:hAnsi="Arial" w:cs="Arial"/>
          <w:sz w:val="24"/>
          <w:szCs w:val="24"/>
        </w:rPr>
        <w:t xml:space="preserve"> for detailed requirements</w:t>
      </w:r>
      <w:r>
        <w:rPr>
          <w:rFonts w:ascii="Arial" w:hAnsi="Arial" w:cs="Arial"/>
          <w:sz w:val="24"/>
          <w:szCs w:val="24"/>
        </w:rPr>
        <w:t>).</w:t>
      </w:r>
    </w:p>
    <w:p w:rsidR="0048693B" w:rsidRDefault="0048693B" w:rsidP="0048693B">
      <w:pPr>
        <w:pStyle w:val="ListParagraph"/>
        <w:spacing w:after="160" w:line="252" w:lineRule="auto"/>
        <w:ind w:left="360"/>
        <w:rPr>
          <w:rFonts w:ascii="Arial" w:hAnsi="Arial" w:cs="Arial"/>
          <w:sz w:val="24"/>
          <w:szCs w:val="24"/>
        </w:rPr>
      </w:pPr>
    </w:p>
    <w:p w:rsidR="00B63E93" w:rsidRPr="00AB6356" w:rsidRDefault="00B63E93" w:rsidP="00B63E93">
      <w:pPr>
        <w:pStyle w:val="ListParagraph"/>
        <w:numPr>
          <w:ilvl w:val="0"/>
          <w:numId w:val="2"/>
        </w:numPr>
        <w:spacing w:after="160" w:line="252" w:lineRule="auto"/>
        <w:rPr>
          <w:rFonts w:ascii="Arial" w:hAnsi="Arial" w:cs="Arial"/>
          <w:sz w:val="24"/>
          <w:szCs w:val="24"/>
        </w:rPr>
      </w:pPr>
      <w:r w:rsidRPr="00AB6356">
        <w:rPr>
          <w:rFonts w:ascii="Arial" w:hAnsi="Arial" w:cs="Arial"/>
          <w:sz w:val="24"/>
          <w:szCs w:val="24"/>
        </w:rPr>
        <w:t xml:space="preserve">In Note 4 of both 2015 and 2016’s GA </w:t>
      </w:r>
      <w:proofErr w:type="spellStart"/>
      <w:r w:rsidRPr="00AB6356">
        <w:rPr>
          <w:rFonts w:ascii="Arial" w:hAnsi="Arial" w:cs="Arial"/>
          <w:sz w:val="24"/>
          <w:szCs w:val="24"/>
        </w:rPr>
        <w:t>workforms</w:t>
      </w:r>
      <w:proofErr w:type="spellEnd"/>
      <w:r w:rsidRPr="00AB6356">
        <w:rPr>
          <w:rFonts w:ascii="Arial" w:hAnsi="Arial" w:cs="Arial"/>
          <w:sz w:val="24"/>
          <w:szCs w:val="24"/>
        </w:rPr>
        <w:t>, West Coast Huron Energy (WCHE) did not enter any previous/current month unbilled consumption amounts (column G &amp; H).</w:t>
      </w:r>
    </w:p>
    <w:p w:rsidR="00B63E93" w:rsidRDefault="00B63E93" w:rsidP="00B63E93">
      <w:pPr>
        <w:pStyle w:val="ListParagraph"/>
        <w:numPr>
          <w:ilvl w:val="0"/>
          <w:numId w:val="6"/>
        </w:numPr>
        <w:spacing w:after="160" w:line="259" w:lineRule="auto"/>
        <w:rPr>
          <w:rFonts w:ascii="Arial" w:hAnsi="Arial" w:cs="Arial"/>
          <w:sz w:val="24"/>
          <w:szCs w:val="24"/>
        </w:rPr>
      </w:pPr>
      <w:r w:rsidRPr="00AF5953">
        <w:rPr>
          <w:rFonts w:ascii="Arial" w:hAnsi="Arial" w:cs="Arial"/>
          <w:sz w:val="24"/>
          <w:szCs w:val="24"/>
        </w:rPr>
        <w:t>Ple</w:t>
      </w:r>
      <w:r>
        <w:rPr>
          <w:rFonts w:ascii="Arial" w:hAnsi="Arial" w:cs="Arial"/>
          <w:sz w:val="24"/>
          <w:szCs w:val="24"/>
        </w:rPr>
        <w:t xml:space="preserve">ase confirm whether or not each </w:t>
      </w:r>
      <w:r w:rsidRPr="00AF5953">
        <w:rPr>
          <w:rFonts w:ascii="Arial" w:hAnsi="Arial" w:cs="Arial"/>
          <w:sz w:val="24"/>
          <w:szCs w:val="24"/>
        </w:rPr>
        <w:t>amount entered in column F was the actual consumption for the given calendar month.</w:t>
      </w:r>
      <w:r>
        <w:rPr>
          <w:rFonts w:ascii="Arial" w:hAnsi="Arial" w:cs="Arial"/>
          <w:sz w:val="24"/>
          <w:szCs w:val="24"/>
        </w:rPr>
        <w:t xml:space="preserve"> (</w:t>
      </w:r>
      <w:proofErr w:type="gramStart"/>
      <w:r>
        <w:rPr>
          <w:rFonts w:ascii="Arial" w:hAnsi="Arial" w:cs="Arial"/>
          <w:sz w:val="24"/>
          <w:szCs w:val="24"/>
        </w:rPr>
        <w:t>e.g</w:t>
      </w:r>
      <w:proofErr w:type="gramEnd"/>
      <w:r>
        <w:rPr>
          <w:rFonts w:ascii="Arial" w:hAnsi="Arial" w:cs="Arial"/>
          <w:sz w:val="24"/>
          <w:szCs w:val="24"/>
        </w:rPr>
        <w:t xml:space="preserve">. In the 2015 </w:t>
      </w:r>
      <w:proofErr w:type="spellStart"/>
      <w:r>
        <w:rPr>
          <w:rFonts w:ascii="Arial" w:hAnsi="Arial" w:cs="Arial"/>
          <w:sz w:val="24"/>
          <w:szCs w:val="24"/>
        </w:rPr>
        <w:t>workform</w:t>
      </w:r>
      <w:proofErr w:type="spellEnd"/>
      <w:r>
        <w:rPr>
          <w:rFonts w:ascii="Arial" w:hAnsi="Arial" w:cs="Arial"/>
          <w:sz w:val="24"/>
          <w:szCs w:val="24"/>
        </w:rPr>
        <w:t xml:space="preserve">, was any of the January consumption (3,506,373 kwh) billed to customers in February?) </w:t>
      </w:r>
    </w:p>
    <w:p w:rsidR="00B63E93" w:rsidRPr="003D4464" w:rsidRDefault="00B63E93" w:rsidP="00B63E93">
      <w:pPr>
        <w:pStyle w:val="ListParagraph"/>
        <w:numPr>
          <w:ilvl w:val="0"/>
          <w:numId w:val="6"/>
        </w:numPr>
        <w:spacing w:after="160" w:line="259" w:lineRule="auto"/>
        <w:rPr>
          <w:rFonts w:ascii="Arial" w:hAnsi="Arial" w:cs="Arial"/>
          <w:sz w:val="24"/>
          <w:szCs w:val="24"/>
        </w:rPr>
      </w:pPr>
      <w:r>
        <w:rPr>
          <w:rFonts w:ascii="Arial" w:hAnsi="Arial" w:cs="Arial"/>
          <w:sz w:val="24"/>
          <w:szCs w:val="24"/>
        </w:rPr>
        <w:t>Please confirm that WCHE does not have any customers whose billing cycles span more than one calendar month. If not, please explain how the consumption data is prorated into months and what GA rates is utilized for billing purposes.</w:t>
      </w:r>
    </w:p>
    <w:p w:rsidR="00F73B15" w:rsidRDefault="00F73B15" w:rsidP="00F73B15">
      <w:pPr>
        <w:pStyle w:val="ListParagraph"/>
        <w:spacing w:after="160" w:line="252" w:lineRule="auto"/>
        <w:ind w:left="360"/>
        <w:rPr>
          <w:rFonts w:ascii="Arial" w:hAnsi="Arial" w:cs="Arial"/>
          <w:sz w:val="24"/>
          <w:szCs w:val="24"/>
        </w:rPr>
      </w:pPr>
    </w:p>
    <w:p w:rsidR="00F73B15" w:rsidRDefault="00F73B15" w:rsidP="00F73B15">
      <w:pPr>
        <w:pStyle w:val="ListParagraph"/>
        <w:numPr>
          <w:ilvl w:val="0"/>
          <w:numId w:val="2"/>
        </w:numPr>
        <w:spacing w:after="160" w:line="252" w:lineRule="auto"/>
        <w:rPr>
          <w:rFonts w:ascii="Arial" w:hAnsi="Arial" w:cs="Arial"/>
          <w:sz w:val="24"/>
          <w:szCs w:val="24"/>
        </w:rPr>
      </w:pPr>
      <w:r w:rsidRPr="00672E00">
        <w:rPr>
          <w:rFonts w:ascii="Arial" w:hAnsi="Arial" w:cs="Arial"/>
          <w:sz w:val="24"/>
          <w:szCs w:val="24"/>
        </w:rPr>
        <w:t>Please provide the total GA amounts billed to non-RPP customers in</w:t>
      </w:r>
      <w:r w:rsidR="0048693B">
        <w:rPr>
          <w:rFonts w:ascii="Arial" w:hAnsi="Arial" w:cs="Arial"/>
          <w:sz w:val="24"/>
          <w:szCs w:val="24"/>
        </w:rPr>
        <w:t xml:space="preserve"> 2015 and </w:t>
      </w:r>
      <w:r w:rsidRPr="00672E00">
        <w:rPr>
          <w:rFonts w:ascii="Arial" w:hAnsi="Arial" w:cs="Arial"/>
          <w:sz w:val="24"/>
          <w:szCs w:val="24"/>
        </w:rPr>
        <w:t xml:space="preserve">2016 </w:t>
      </w:r>
      <w:r w:rsidR="0048693B">
        <w:rPr>
          <w:rFonts w:ascii="Arial" w:hAnsi="Arial" w:cs="Arial"/>
          <w:sz w:val="24"/>
          <w:szCs w:val="24"/>
        </w:rPr>
        <w:t xml:space="preserve">respectively, </w:t>
      </w:r>
      <w:r w:rsidRPr="00672E00">
        <w:rPr>
          <w:rFonts w:ascii="Arial" w:hAnsi="Arial" w:cs="Arial"/>
          <w:sz w:val="24"/>
          <w:szCs w:val="24"/>
        </w:rPr>
        <w:t xml:space="preserve">as recorded in the applicant’s revenue G/L accounts </w:t>
      </w:r>
      <w:r>
        <w:rPr>
          <w:rFonts w:ascii="Arial" w:hAnsi="Arial" w:cs="Arial"/>
          <w:sz w:val="24"/>
          <w:szCs w:val="24"/>
        </w:rPr>
        <w:t>excluding any transfers to RSVA GA if applicable</w:t>
      </w:r>
      <w:r w:rsidR="00CE2E0F">
        <w:rPr>
          <w:rFonts w:ascii="Arial" w:hAnsi="Arial" w:cs="Arial"/>
          <w:sz w:val="24"/>
          <w:szCs w:val="24"/>
        </w:rPr>
        <w:t>.</w:t>
      </w:r>
      <w:r w:rsidRPr="00672E00">
        <w:rPr>
          <w:rFonts w:ascii="Arial" w:hAnsi="Arial" w:cs="Arial"/>
          <w:sz w:val="24"/>
          <w:szCs w:val="24"/>
        </w:rPr>
        <w:t xml:space="preserve"> </w:t>
      </w:r>
    </w:p>
    <w:p w:rsidR="00F73B15" w:rsidRPr="00F73B15" w:rsidRDefault="00F73B15" w:rsidP="00F73B15">
      <w:pPr>
        <w:pStyle w:val="ListParagraph"/>
        <w:rPr>
          <w:rFonts w:ascii="Arial" w:hAnsi="Arial" w:cs="Arial"/>
          <w:sz w:val="24"/>
          <w:szCs w:val="24"/>
        </w:rPr>
      </w:pPr>
    </w:p>
    <w:p w:rsidR="004F0B35" w:rsidRPr="00B63E93" w:rsidRDefault="004F0B35" w:rsidP="00B63E93">
      <w:pPr>
        <w:pStyle w:val="ListParagraph"/>
        <w:numPr>
          <w:ilvl w:val="0"/>
          <w:numId w:val="2"/>
        </w:numPr>
        <w:spacing w:after="160" w:line="252" w:lineRule="auto"/>
        <w:rPr>
          <w:rFonts w:ascii="Arial" w:hAnsi="Arial" w:cs="Arial"/>
          <w:sz w:val="24"/>
          <w:szCs w:val="24"/>
        </w:rPr>
      </w:pPr>
      <w:r>
        <w:rPr>
          <w:rFonts w:ascii="Arial" w:hAnsi="Arial" w:cs="Arial"/>
          <w:sz w:val="24"/>
          <w:szCs w:val="24"/>
        </w:rPr>
        <w:t>1b of</w:t>
      </w:r>
      <w:r w:rsidR="0048693B">
        <w:rPr>
          <w:rFonts w:ascii="Arial" w:hAnsi="Arial" w:cs="Arial"/>
          <w:sz w:val="24"/>
          <w:szCs w:val="24"/>
        </w:rPr>
        <w:t xml:space="preserve"> Note 5 </w:t>
      </w:r>
      <w:r>
        <w:rPr>
          <w:rFonts w:ascii="Arial" w:hAnsi="Arial" w:cs="Arial"/>
          <w:sz w:val="24"/>
          <w:szCs w:val="24"/>
        </w:rPr>
        <w:t>in</w:t>
      </w:r>
      <w:r w:rsidR="0048693B">
        <w:rPr>
          <w:rFonts w:ascii="Arial" w:hAnsi="Arial" w:cs="Arial"/>
          <w:sz w:val="24"/>
          <w:szCs w:val="24"/>
        </w:rPr>
        <w:t xml:space="preserve"> the 2015</w:t>
      </w:r>
      <w:r w:rsidR="00F440E3">
        <w:rPr>
          <w:rFonts w:ascii="Arial" w:hAnsi="Arial" w:cs="Arial"/>
          <w:sz w:val="24"/>
          <w:szCs w:val="24"/>
        </w:rPr>
        <w:t xml:space="preserve"> and 2016</w:t>
      </w:r>
      <w:r w:rsidR="0048693B">
        <w:rPr>
          <w:rFonts w:ascii="Arial" w:hAnsi="Arial" w:cs="Arial"/>
          <w:sz w:val="24"/>
          <w:szCs w:val="24"/>
        </w:rPr>
        <w:t xml:space="preserve"> GA Analysis </w:t>
      </w:r>
      <w:proofErr w:type="spellStart"/>
      <w:r w:rsidR="00F440E3">
        <w:rPr>
          <w:rFonts w:ascii="Arial" w:hAnsi="Arial" w:cs="Arial"/>
          <w:sz w:val="24"/>
          <w:szCs w:val="24"/>
        </w:rPr>
        <w:t>W</w:t>
      </w:r>
      <w:r w:rsidR="0048693B">
        <w:rPr>
          <w:rFonts w:ascii="Arial" w:hAnsi="Arial" w:cs="Arial"/>
          <w:sz w:val="24"/>
          <w:szCs w:val="24"/>
        </w:rPr>
        <w:t>orkform</w:t>
      </w:r>
      <w:r w:rsidR="00F440E3">
        <w:rPr>
          <w:rFonts w:ascii="Arial" w:hAnsi="Arial" w:cs="Arial"/>
          <w:sz w:val="24"/>
          <w:szCs w:val="24"/>
        </w:rPr>
        <w:t>s</w:t>
      </w:r>
      <w:proofErr w:type="spellEnd"/>
      <w:r>
        <w:rPr>
          <w:rFonts w:ascii="Arial" w:hAnsi="Arial" w:cs="Arial"/>
          <w:sz w:val="24"/>
          <w:szCs w:val="24"/>
        </w:rPr>
        <w:t xml:space="preserve"> present</w:t>
      </w:r>
      <w:r w:rsidR="0048693B">
        <w:rPr>
          <w:rFonts w:ascii="Arial" w:hAnsi="Arial" w:cs="Arial"/>
          <w:sz w:val="24"/>
          <w:szCs w:val="24"/>
        </w:rPr>
        <w:t xml:space="preserve"> a true-up adjustment that was not recorded</w:t>
      </w:r>
      <w:r>
        <w:rPr>
          <w:rFonts w:ascii="Arial" w:hAnsi="Arial" w:cs="Arial"/>
          <w:sz w:val="24"/>
          <w:szCs w:val="24"/>
        </w:rPr>
        <w:t xml:space="preserve"> as part of the year-end settlement process.</w:t>
      </w:r>
    </w:p>
    <w:p w:rsidR="004F0B35" w:rsidRDefault="004F0B35" w:rsidP="004F0B35">
      <w:pPr>
        <w:pStyle w:val="ListParagraph"/>
        <w:numPr>
          <w:ilvl w:val="1"/>
          <w:numId w:val="2"/>
        </w:numPr>
        <w:spacing w:after="160" w:line="252" w:lineRule="auto"/>
        <w:rPr>
          <w:rFonts w:ascii="Arial" w:hAnsi="Arial" w:cs="Arial"/>
          <w:sz w:val="24"/>
          <w:szCs w:val="24"/>
        </w:rPr>
      </w:pPr>
      <w:r>
        <w:rPr>
          <w:rFonts w:ascii="Arial" w:hAnsi="Arial" w:cs="Arial"/>
          <w:sz w:val="24"/>
          <w:szCs w:val="24"/>
        </w:rPr>
        <w:t>Please provide a detailed description of the applicant’s GA settlement process with the IESO.</w:t>
      </w:r>
    </w:p>
    <w:p w:rsidR="004F0B35" w:rsidRDefault="004F0B35" w:rsidP="004F0B35">
      <w:pPr>
        <w:pStyle w:val="ListParagraph"/>
        <w:numPr>
          <w:ilvl w:val="1"/>
          <w:numId w:val="2"/>
        </w:numPr>
        <w:spacing w:after="160" w:line="252" w:lineRule="auto"/>
        <w:rPr>
          <w:rFonts w:ascii="Arial" w:hAnsi="Arial" w:cs="Arial"/>
          <w:sz w:val="24"/>
          <w:szCs w:val="24"/>
        </w:rPr>
      </w:pPr>
      <w:r>
        <w:rPr>
          <w:rFonts w:ascii="Arial" w:hAnsi="Arial" w:cs="Arial"/>
          <w:sz w:val="24"/>
          <w:szCs w:val="24"/>
        </w:rPr>
        <w:t>Pleas</w:t>
      </w:r>
      <w:r w:rsidR="00F440E3">
        <w:rPr>
          <w:rFonts w:ascii="Arial" w:hAnsi="Arial" w:cs="Arial"/>
          <w:sz w:val="24"/>
          <w:szCs w:val="24"/>
        </w:rPr>
        <w:t>e explain why the applicant did</w:t>
      </w:r>
      <w:r>
        <w:rPr>
          <w:rFonts w:ascii="Arial" w:hAnsi="Arial" w:cs="Arial"/>
          <w:sz w:val="24"/>
          <w:szCs w:val="24"/>
        </w:rPr>
        <w:t xml:space="preserve"> not record this true-up adjustment?</w:t>
      </w:r>
    </w:p>
    <w:p w:rsidR="0048693B" w:rsidRPr="004F0B35" w:rsidRDefault="0048693B" w:rsidP="004F0B35">
      <w:pPr>
        <w:pStyle w:val="ListParagraph"/>
        <w:numPr>
          <w:ilvl w:val="1"/>
          <w:numId w:val="2"/>
        </w:numPr>
        <w:spacing w:after="160" w:line="252" w:lineRule="auto"/>
        <w:rPr>
          <w:rFonts w:ascii="Arial" w:hAnsi="Arial" w:cs="Arial"/>
          <w:sz w:val="24"/>
          <w:szCs w:val="24"/>
        </w:rPr>
      </w:pPr>
      <w:r w:rsidRPr="004F0B35">
        <w:rPr>
          <w:rFonts w:ascii="Arial" w:hAnsi="Arial" w:cs="Arial"/>
          <w:sz w:val="24"/>
          <w:szCs w:val="24"/>
        </w:rPr>
        <w:t>Please explain why the reverse of th</w:t>
      </w:r>
      <w:r w:rsidR="00F440E3">
        <w:rPr>
          <w:rFonts w:ascii="Arial" w:hAnsi="Arial" w:cs="Arial"/>
          <w:sz w:val="24"/>
          <w:szCs w:val="24"/>
        </w:rPr>
        <w:t>e</w:t>
      </w:r>
      <w:r w:rsidRPr="004F0B35">
        <w:rPr>
          <w:rFonts w:ascii="Arial" w:hAnsi="Arial" w:cs="Arial"/>
          <w:sz w:val="24"/>
          <w:szCs w:val="24"/>
        </w:rPr>
        <w:t xml:space="preserve"> balance</w:t>
      </w:r>
      <w:r w:rsidR="00F440E3">
        <w:rPr>
          <w:rFonts w:ascii="Arial" w:hAnsi="Arial" w:cs="Arial"/>
          <w:sz w:val="24"/>
          <w:szCs w:val="24"/>
        </w:rPr>
        <w:t xml:space="preserve"> shown in 1b of Note 5 in the 2015 GA Analysis </w:t>
      </w:r>
      <w:proofErr w:type="spellStart"/>
      <w:r w:rsidR="00F440E3">
        <w:rPr>
          <w:rFonts w:ascii="Arial" w:hAnsi="Arial" w:cs="Arial"/>
          <w:sz w:val="24"/>
          <w:szCs w:val="24"/>
        </w:rPr>
        <w:t>Workform</w:t>
      </w:r>
      <w:proofErr w:type="spellEnd"/>
      <w:r w:rsidRPr="004F0B35">
        <w:rPr>
          <w:rFonts w:ascii="Arial" w:hAnsi="Arial" w:cs="Arial"/>
          <w:sz w:val="24"/>
          <w:szCs w:val="24"/>
        </w:rPr>
        <w:t xml:space="preserve"> is not being presented as a reconciling adjustment in 1a of Note 5 in the 2016 GA Analysis </w:t>
      </w:r>
      <w:proofErr w:type="spellStart"/>
      <w:r w:rsidR="00F440E3">
        <w:rPr>
          <w:rFonts w:ascii="Arial" w:hAnsi="Arial" w:cs="Arial"/>
          <w:sz w:val="24"/>
          <w:szCs w:val="24"/>
        </w:rPr>
        <w:t>Workform</w:t>
      </w:r>
      <w:proofErr w:type="spellEnd"/>
      <w:r w:rsidR="00F440E3">
        <w:rPr>
          <w:rFonts w:ascii="Arial" w:hAnsi="Arial" w:cs="Arial"/>
          <w:sz w:val="24"/>
          <w:szCs w:val="24"/>
        </w:rPr>
        <w:t>?</w:t>
      </w:r>
      <w:r w:rsidR="006134E6" w:rsidRPr="004F0B35">
        <w:rPr>
          <w:rFonts w:ascii="Arial" w:hAnsi="Arial" w:cs="Arial"/>
          <w:sz w:val="24"/>
          <w:szCs w:val="24"/>
        </w:rPr>
        <w:t xml:space="preserve">  If required, please update the 2016 GA Analysis </w:t>
      </w:r>
      <w:proofErr w:type="spellStart"/>
      <w:r w:rsidR="006134E6" w:rsidRPr="004F0B35">
        <w:rPr>
          <w:rFonts w:ascii="Arial" w:hAnsi="Arial" w:cs="Arial"/>
          <w:sz w:val="24"/>
          <w:szCs w:val="24"/>
        </w:rPr>
        <w:t>Workform</w:t>
      </w:r>
      <w:proofErr w:type="spellEnd"/>
      <w:r w:rsidR="006134E6" w:rsidRPr="004F0B35">
        <w:rPr>
          <w:rFonts w:ascii="Arial" w:hAnsi="Arial" w:cs="Arial"/>
          <w:sz w:val="24"/>
          <w:szCs w:val="24"/>
        </w:rPr>
        <w:t xml:space="preserve"> to reflect this adjustment.</w:t>
      </w:r>
    </w:p>
    <w:p w:rsidR="006134E6" w:rsidRPr="006134E6" w:rsidRDefault="006134E6" w:rsidP="006134E6">
      <w:pPr>
        <w:pStyle w:val="ListParagraph"/>
        <w:rPr>
          <w:rFonts w:ascii="Arial" w:hAnsi="Arial" w:cs="Arial"/>
          <w:sz w:val="24"/>
          <w:szCs w:val="24"/>
        </w:rPr>
      </w:pPr>
    </w:p>
    <w:p w:rsidR="006134E6" w:rsidRDefault="006134E6" w:rsidP="00F73B15">
      <w:pPr>
        <w:pStyle w:val="ListParagraph"/>
        <w:numPr>
          <w:ilvl w:val="0"/>
          <w:numId w:val="2"/>
        </w:numPr>
        <w:spacing w:after="160" w:line="252" w:lineRule="auto"/>
        <w:rPr>
          <w:rFonts w:ascii="Arial" w:hAnsi="Arial" w:cs="Arial"/>
          <w:sz w:val="24"/>
          <w:szCs w:val="24"/>
        </w:rPr>
      </w:pPr>
      <w:r>
        <w:rPr>
          <w:rFonts w:ascii="Arial" w:hAnsi="Arial" w:cs="Arial"/>
          <w:sz w:val="24"/>
          <w:szCs w:val="24"/>
        </w:rPr>
        <w:t>Does the ap</w:t>
      </w:r>
      <w:r w:rsidR="00F440E3">
        <w:rPr>
          <w:rFonts w:ascii="Arial" w:hAnsi="Arial" w:cs="Arial"/>
          <w:sz w:val="24"/>
          <w:szCs w:val="24"/>
        </w:rPr>
        <w:t>plicant accrue for</w:t>
      </w:r>
      <w:r>
        <w:rPr>
          <w:rFonts w:ascii="Arial" w:hAnsi="Arial" w:cs="Arial"/>
          <w:sz w:val="24"/>
          <w:szCs w:val="24"/>
        </w:rPr>
        <w:t xml:space="preserve"> unbilled revenue at the end of the year?  If so, would there be a difference between what was accrued and what ended up being actually billed?</w:t>
      </w:r>
      <w:r w:rsidR="00F440E3">
        <w:rPr>
          <w:rFonts w:ascii="Arial" w:hAnsi="Arial" w:cs="Arial"/>
          <w:sz w:val="24"/>
          <w:szCs w:val="24"/>
        </w:rPr>
        <w:t xml:space="preserve">  Please explain.</w:t>
      </w:r>
    </w:p>
    <w:p w:rsidR="0048693B" w:rsidRPr="0048693B" w:rsidRDefault="0048693B" w:rsidP="0048693B">
      <w:pPr>
        <w:pStyle w:val="ListParagraph"/>
        <w:rPr>
          <w:rFonts w:ascii="Arial" w:hAnsi="Arial" w:cs="Arial"/>
          <w:sz w:val="24"/>
          <w:szCs w:val="24"/>
        </w:rPr>
      </w:pPr>
    </w:p>
    <w:p w:rsidR="00300B34" w:rsidRDefault="00300B34" w:rsidP="00F73B15">
      <w:pPr>
        <w:pStyle w:val="ListParagraph"/>
        <w:numPr>
          <w:ilvl w:val="0"/>
          <w:numId w:val="2"/>
        </w:numPr>
        <w:spacing w:after="160" w:line="252" w:lineRule="auto"/>
        <w:rPr>
          <w:rFonts w:ascii="Arial" w:hAnsi="Arial" w:cs="Arial"/>
          <w:sz w:val="24"/>
          <w:szCs w:val="24"/>
        </w:rPr>
      </w:pPr>
      <w:r>
        <w:rPr>
          <w:rFonts w:ascii="Arial" w:hAnsi="Arial" w:cs="Arial"/>
          <w:sz w:val="24"/>
          <w:szCs w:val="24"/>
        </w:rPr>
        <w:t xml:space="preserve">The applicant has identified an adjustment </w:t>
      </w:r>
      <w:r w:rsidR="00F440E3">
        <w:rPr>
          <w:rFonts w:ascii="Arial" w:hAnsi="Arial" w:cs="Arial"/>
          <w:sz w:val="24"/>
          <w:szCs w:val="24"/>
        </w:rPr>
        <w:t xml:space="preserve">in </w:t>
      </w:r>
      <w:r w:rsidR="002D7125">
        <w:rPr>
          <w:rFonts w:ascii="Arial" w:hAnsi="Arial" w:cs="Arial"/>
          <w:sz w:val="24"/>
          <w:szCs w:val="24"/>
        </w:rPr>
        <w:t>Not</w:t>
      </w:r>
      <w:r w:rsidR="00004C23">
        <w:rPr>
          <w:rFonts w:ascii="Arial" w:hAnsi="Arial" w:cs="Arial"/>
          <w:sz w:val="24"/>
          <w:szCs w:val="24"/>
        </w:rPr>
        <w:t xml:space="preserve">e 5 </w:t>
      </w:r>
      <w:r w:rsidR="00F440E3">
        <w:rPr>
          <w:rFonts w:ascii="Arial" w:hAnsi="Arial" w:cs="Arial"/>
          <w:sz w:val="24"/>
          <w:szCs w:val="24"/>
        </w:rPr>
        <w:t>of</w:t>
      </w:r>
      <w:r w:rsidR="0051709E">
        <w:rPr>
          <w:rFonts w:ascii="Arial" w:hAnsi="Arial" w:cs="Arial"/>
          <w:sz w:val="24"/>
          <w:szCs w:val="24"/>
        </w:rPr>
        <w:t xml:space="preserve"> both</w:t>
      </w:r>
      <w:r w:rsidR="00004C23">
        <w:rPr>
          <w:rFonts w:ascii="Arial" w:hAnsi="Arial" w:cs="Arial"/>
          <w:sz w:val="24"/>
          <w:szCs w:val="24"/>
        </w:rPr>
        <w:t xml:space="preserve"> the</w:t>
      </w:r>
      <w:r w:rsidR="0051709E">
        <w:rPr>
          <w:rFonts w:ascii="Arial" w:hAnsi="Arial" w:cs="Arial"/>
          <w:sz w:val="24"/>
          <w:szCs w:val="24"/>
        </w:rPr>
        <w:t xml:space="preserve"> 2015 and 2016</w:t>
      </w:r>
      <w:r w:rsidR="00004C23">
        <w:rPr>
          <w:rFonts w:ascii="Arial" w:hAnsi="Arial" w:cs="Arial"/>
          <w:sz w:val="24"/>
          <w:szCs w:val="24"/>
        </w:rPr>
        <w:t xml:space="preserve"> GA Analysis </w:t>
      </w:r>
      <w:proofErr w:type="spellStart"/>
      <w:r w:rsidR="00004C23">
        <w:rPr>
          <w:rFonts w:ascii="Arial" w:hAnsi="Arial" w:cs="Arial"/>
          <w:sz w:val="24"/>
          <w:szCs w:val="24"/>
        </w:rPr>
        <w:t>Workform</w:t>
      </w:r>
      <w:r w:rsidR="0051709E">
        <w:rPr>
          <w:rFonts w:ascii="Arial" w:hAnsi="Arial" w:cs="Arial"/>
          <w:sz w:val="24"/>
          <w:szCs w:val="24"/>
        </w:rPr>
        <w:t>s</w:t>
      </w:r>
      <w:proofErr w:type="spellEnd"/>
      <w:r>
        <w:rPr>
          <w:rFonts w:ascii="Arial" w:hAnsi="Arial" w:cs="Arial"/>
          <w:sz w:val="24"/>
          <w:szCs w:val="24"/>
        </w:rPr>
        <w:t xml:space="preserve"> </w:t>
      </w:r>
      <w:r w:rsidR="00F440E3">
        <w:rPr>
          <w:rFonts w:ascii="Arial" w:hAnsi="Arial" w:cs="Arial"/>
          <w:sz w:val="24"/>
          <w:szCs w:val="24"/>
        </w:rPr>
        <w:t>that has been characterized as</w:t>
      </w:r>
      <w:r>
        <w:rPr>
          <w:rFonts w:ascii="Arial" w:hAnsi="Arial" w:cs="Arial"/>
          <w:sz w:val="24"/>
          <w:szCs w:val="24"/>
        </w:rPr>
        <w:t xml:space="preserve"> an “Error in GA expense allocated to RPP due to consumption error”</w:t>
      </w:r>
      <w:r w:rsidR="000F57EC">
        <w:rPr>
          <w:rFonts w:ascii="Arial" w:hAnsi="Arial" w:cs="Arial"/>
          <w:sz w:val="24"/>
          <w:szCs w:val="24"/>
        </w:rPr>
        <w:t>(item 7 in Note 5 for 2015 and item 8 in Note 5 for 2016)</w:t>
      </w:r>
    </w:p>
    <w:p w:rsidR="00300B34" w:rsidRPr="00300B34" w:rsidRDefault="00300B34" w:rsidP="00300B34">
      <w:pPr>
        <w:pStyle w:val="ListParagraph"/>
        <w:rPr>
          <w:rFonts w:ascii="Arial" w:hAnsi="Arial" w:cs="Arial"/>
          <w:sz w:val="24"/>
          <w:szCs w:val="24"/>
        </w:rPr>
      </w:pPr>
    </w:p>
    <w:p w:rsidR="00300B34" w:rsidRDefault="00300B34" w:rsidP="00300B34">
      <w:pPr>
        <w:pStyle w:val="ListParagraph"/>
        <w:numPr>
          <w:ilvl w:val="1"/>
          <w:numId w:val="2"/>
        </w:numPr>
        <w:spacing w:after="160" w:line="252" w:lineRule="auto"/>
        <w:rPr>
          <w:rFonts w:ascii="Arial" w:hAnsi="Arial" w:cs="Arial"/>
          <w:sz w:val="24"/>
          <w:szCs w:val="24"/>
        </w:rPr>
      </w:pPr>
      <w:r>
        <w:rPr>
          <w:rFonts w:ascii="Arial" w:hAnsi="Arial" w:cs="Arial"/>
          <w:sz w:val="24"/>
          <w:szCs w:val="24"/>
        </w:rPr>
        <w:t>Please explain the nature of the</w:t>
      </w:r>
      <w:r w:rsidR="007F3027">
        <w:rPr>
          <w:rFonts w:ascii="Arial" w:hAnsi="Arial" w:cs="Arial"/>
          <w:sz w:val="24"/>
          <w:szCs w:val="24"/>
        </w:rPr>
        <w:t xml:space="preserve"> issue that has resulted in these</w:t>
      </w:r>
      <w:r w:rsidR="00004C23">
        <w:rPr>
          <w:rFonts w:ascii="Arial" w:hAnsi="Arial" w:cs="Arial"/>
          <w:sz w:val="24"/>
          <w:szCs w:val="24"/>
        </w:rPr>
        <w:t xml:space="preserve"> </w:t>
      </w:r>
      <w:r>
        <w:rPr>
          <w:rFonts w:ascii="Arial" w:hAnsi="Arial" w:cs="Arial"/>
          <w:sz w:val="24"/>
          <w:szCs w:val="24"/>
        </w:rPr>
        <w:t>error</w:t>
      </w:r>
      <w:r w:rsidR="007F3027">
        <w:rPr>
          <w:rFonts w:ascii="Arial" w:hAnsi="Arial" w:cs="Arial"/>
          <w:sz w:val="24"/>
          <w:szCs w:val="24"/>
        </w:rPr>
        <w:t>s</w:t>
      </w:r>
      <w:r>
        <w:rPr>
          <w:rFonts w:ascii="Arial" w:hAnsi="Arial" w:cs="Arial"/>
          <w:sz w:val="24"/>
          <w:szCs w:val="24"/>
        </w:rPr>
        <w:t xml:space="preserve"> and</w:t>
      </w:r>
      <w:r w:rsidR="007F3027">
        <w:rPr>
          <w:rFonts w:ascii="Arial" w:hAnsi="Arial" w:cs="Arial"/>
          <w:sz w:val="24"/>
          <w:szCs w:val="24"/>
        </w:rPr>
        <w:t xml:space="preserve"> how the applicant has identified the underlying problem</w:t>
      </w:r>
      <w:r>
        <w:rPr>
          <w:rFonts w:ascii="Arial" w:hAnsi="Arial" w:cs="Arial"/>
          <w:sz w:val="24"/>
          <w:szCs w:val="24"/>
        </w:rPr>
        <w:t>.</w:t>
      </w:r>
    </w:p>
    <w:p w:rsidR="00300B34" w:rsidRDefault="00300B34" w:rsidP="00300B34">
      <w:pPr>
        <w:pStyle w:val="ListParagraph"/>
        <w:numPr>
          <w:ilvl w:val="1"/>
          <w:numId w:val="2"/>
        </w:numPr>
        <w:spacing w:after="160" w:line="252" w:lineRule="auto"/>
        <w:rPr>
          <w:rFonts w:ascii="Arial" w:hAnsi="Arial" w:cs="Arial"/>
          <w:sz w:val="24"/>
          <w:szCs w:val="24"/>
        </w:rPr>
      </w:pPr>
      <w:r>
        <w:rPr>
          <w:rFonts w:ascii="Arial" w:hAnsi="Arial" w:cs="Arial"/>
          <w:sz w:val="24"/>
          <w:szCs w:val="24"/>
        </w:rPr>
        <w:t xml:space="preserve">Please confirm that this error is </w:t>
      </w:r>
      <w:r w:rsidR="007F3027">
        <w:rPr>
          <w:rFonts w:ascii="Arial" w:hAnsi="Arial" w:cs="Arial"/>
          <w:sz w:val="24"/>
          <w:szCs w:val="24"/>
        </w:rPr>
        <w:t>independent</w:t>
      </w:r>
      <w:r>
        <w:rPr>
          <w:rFonts w:ascii="Arial" w:hAnsi="Arial" w:cs="Arial"/>
          <w:sz w:val="24"/>
          <w:szCs w:val="24"/>
        </w:rPr>
        <w:t xml:space="preserve"> from the one identified in item 9 of Note 5 in both the 2015 and 2016 GA Analysis </w:t>
      </w:r>
      <w:proofErr w:type="spellStart"/>
      <w:r>
        <w:rPr>
          <w:rFonts w:ascii="Arial" w:hAnsi="Arial" w:cs="Arial"/>
          <w:sz w:val="24"/>
          <w:szCs w:val="24"/>
        </w:rPr>
        <w:t>Workforms</w:t>
      </w:r>
      <w:proofErr w:type="spellEnd"/>
      <w:r w:rsidR="007F3027">
        <w:rPr>
          <w:rFonts w:ascii="Arial" w:hAnsi="Arial" w:cs="Arial"/>
          <w:sz w:val="24"/>
          <w:szCs w:val="24"/>
        </w:rPr>
        <w:t>.</w:t>
      </w:r>
    </w:p>
    <w:p w:rsidR="002D7125" w:rsidRDefault="0051709E" w:rsidP="00300B34">
      <w:pPr>
        <w:pStyle w:val="ListParagraph"/>
        <w:numPr>
          <w:ilvl w:val="1"/>
          <w:numId w:val="2"/>
        </w:numPr>
        <w:spacing w:after="160" w:line="252" w:lineRule="auto"/>
        <w:rPr>
          <w:rFonts w:ascii="Arial" w:hAnsi="Arial" w:cs="Arial"/>
          <w:sz w:val="24"/>
          <w:szCs w:val="24"/>
        </w:rPr>
      </w:pPr>
      <w:r>
        <w:rPr>
          <w:rFonts w:ascii="Arial" w:hAnsi="Arial" w:cs="Arial"/>
          <w:sz w:val="24"/>
          <w:szCs w:val="24"/>
        </w:rPr>
        <w:t>Please explain how the applicant has quantified</w:t>
      </w:r>
      <w:r w:rsidR="00300B34">
        <w:rPr>
          <w:rFonts w:ascii="Arial" w:hAnsi="Arial" w:cs="Arial"/>
          <w:sz w:val="24"/>
          <w:szCs w:val="24"/>
        </w:rPr>
        <w:t xml:space="preserve"> the impact of </w:t>
      </w:r>
      <w:r w:rsidR="007F3027">
        <w:rPr>
          <w:rFonts w:ascii="Arial" w:hAnsi="Arial" w:cs="Arial"/>
          <w:sz w:val="24"/>
          <w:szCs w:val="24"/>
        </w:rPr>
        <w:t xml:space="preserve">the </w:t>
      </w:r>
      <w:r w:rsidR="00300B34">
        <w:rPr>
          <w:rFonts w:ascii="Arial" w:hAnsi="Arial" w:cs="Arial"/>
          <w:sz w:val="24"/>
          <w:szCs w:val="24"/>
        </w:rPr>
        <w:t>error for both 2015 and 2016 and provide the calculation for</w:t>
      </w:r>
      <w:r>
        <w:rPr>
          <w:rFonts w:ascii="Arial" w:hAnsi="Arial" w:cs="Arial"/>
          <w:sz w:val="24"/>
          <w:szCs w:val="24"/>
        </w:rPr>
        <w:t xml:space="preserve"> each</w:t>
      </w:r>
      <w:r w:rsidR="00300B34">
        <w:rPr>
          <w:rFonts w:ascii="Arial" w:hAnsi="Arial" w:cs="Arial"/>
          <w:sz w:val="24"/>
          <w:szCs w:val="24"/>
        </w:rPr>
        <w:t>.</w:t>
      </w:r>
    </w:p>
    <w:p w:rsidR="00300B34" w:rsidRDefault="00300B34" w:rsidP="00300B34">
      <w:pPr>
        <w:pStyle w:val="ListParagraph"/>
        <w:numPr>
          <w:ilvl w:val="1"/>
          <w:numId w:val="2"/>
        </w:numPr>
        <w:spacing w:after="160" w:line="252" w:lineRule="auto"/>
        <w:rPr>
          <w:rFonts w:ascii="Arial" w:hAnsi="Arial" w:cs="Arial"/>
          <w:sz w:val="24"/>
          <w:szCs w:val="24"/>
        </w:rPr>
      </w:pPr>
      <w:r>
        <w:rPr>
          <w:rFonts w:ascii="Arial" w:hAnsi="Arial" w:cs="Arial"/>
          <w:sz w:val="24"/>
          <w:szCs w:val="24"/>
        </w:rPr>
        <w:t>Please confirm that the amount quantified represents the impact on each of specific years only</w:t>
      </w:r>
      <w:r w:rsidR="007F3027">
        <w:rPr>
          <w:rFonts w:ascii="Arial" w:hAnsi="Arial" w:cs="Arial"/>
          <w:sz w:val="24"/>
          <w:szCs w:val="24"/>
        </w:rPr>
        <w:t xml:space="preserve"> and does not include </w:t>
      </w:r>
      <w:proofErr w:type="spellStart"/>
      <w:r w:rsidR="007F3027">
        <w:rPr>
          <w:rFonts w:ascii="Arial" w:hAnsi="Arial" w:cs="Arial"/>
          <w:sz w:val="24"/>
          <w:szCs w:val="24"/>
        </w:rPr>
        <w:t>carryforward</w:t>
      </w:r>
      <w:proofErr w:type="spellEnd"/>
      <w:r>
        <w:rPr>
          <w:rFonts w:ascii="Arial" w:hAnsi="Arial" w:cs="Arial"/>
          <w:sz w:val="24"/>
          <w:szCs w:val="24"/>
        </w:rPr>
        <w:t xml:space="preserve"> impact</w:t>
      </w:r>
      <w:r w:rsidR="007F3027">
        <w:rPr>
          <w:rFonts w:ascii="Arial" w:hAnsi="Arial" w:cs="Arial"/>
          <w:sz w:val="24"/>
          <w:szCs w:val="24"/>
        </w:rPr>
        <w:t>s</w:t>
      </w:r>
      <w:r>
        <w:rPr>
          <w:rFonts w:ascii="Arial" w:hAnsi="Arial" w:cs="Arial"/>
          <w:sz w:val="24"/>
          <w:szCs w:val="24"/>
        </w:rPr>
        <w:t xml:space="preserve"> </w:t>
      </w:r>
      <w:r w:rsidR="007F3027">
        <w:rPr>
          <w:rFonts w:ascii="Arial" w:hAnsi="Arial" w:cs="Arial"/>
          <w:sz w:val="24"/>
          <w:szCs w:val="24"/>
        </w:rPr>
        <w:t>from</w:t>
      </w:r>
      <w:r>
        <w:rPr>
          <w:rFonts w:ascii="Arial" w:hAnsi="Arial" w:cs="Arial"/>
          <w:sz w:val="24"/>
          <w:szCs w:val="24"/>
        </w:rPr>
        <w:t xml:space="preserve"> any other years</w:t>
      </w:r>
      <w:r w:rsidR="007F3027">
        <w:rPr>
          <w:rFonts w:ascii="Arial" w:hAnsi="Arial" w:cs="Arial"/>
          <w:sz w:val="24"/>
          <w:szCs w:val="24"/>
        </w:rPr>
        <w:t>.</w:t>
      </w:r>
    </w:p>
    <w:p w:rsidR="007F3027" w:rsidRDefault="007F3027" w:rsidP="007F3027">
      <w:pPr>
        <w:pStyle w:val="ListParagraph"/>
        <w:numPr>
          <w:ilvl w:val="1"/>
          <w:numId w:val="2"/>
        </w:numPr>
        <w:spacing w:after="160" w:line="252" w:lineRule="auto"/>
        <w:rPr>
          <w:rFonts w:ascii="Arial" w:hAnsi="Arial" w:cs="Arial"/>
          <w:sz w:val="24"/>
          <w:szCs w:val="24"/>
        </w:rPr>
      </w:pPr>
      <w:r>
        <w:rPr>
          <w:rFonts w:ascii="Arial" w:hAnsi="Arial" w:cs="Arial"/>
          <w:sz w:val="24"/>
          <w:szCs w:val="24"/>
        </w:rPr>
        <w:lastRenderedPageBreak/>
        <w:t>Given that the same allocation error has occurred in both 2015 and 2016, please explain what the applicant has changed in its underlying allocation process to ensure that a similar error will not occur in the future.</w:t>
      </w:r>
    </w:p>
    <w:p w:rsidR="002D7125" w:rsidRPr="00AB6356" w:rsidRDefault="002D7125" w:rsidP="00AB6356">
      <w:pPr>
        <w:rPr>
          <w:rFonts w:ascii="Arial" w:hAnsi="Arial" w:cs="Arial"/>
          <w:sz w:val="24"/>
          <w:szCs w:val="24"/>
        </w:rPr>
      </w:pPr>
    </w:p>
    <w:p w:rsidR="0051709E" w:rsidRPr="00B63E93" w:rsidRDefault="000F57EC" w:rsidP="00B63E93">
      <w:pPr>
        <w:pStyle w:val="ListParagraph"/>
        <w:numPr>
          <w:ilvl w:val="0"/>
          <w:numId w:val="2"/>
        </w:numPr>
        <w:spacing w:after="160" w:line="252" w:lineRule="auto"/>
        <w:rPr>
          <w:rFonts w:ascii="Arial" w:hAnsi="Arial" w:cs="Arial"/>
          <w:sz w:val="24"/>
          <w:szCs w:val="24"/>
        </w:rPr>
      </w:pPr>
      <w:r>
        <w:rPr>
          <w:rFonts w:ascii="Arial" w:hAnsi="Arial" w:cs="Arial"/>
          <w:sz w:val="24"/>
          <w:szCs w:val="24"/>
        </w:rPr>
        <w:t xml:space="preserve">The applicant has identified an adjustment in Note 5 of both the 2015 and 2016 GA Analysis </w:t>
      </w:r>
      <w:proofErr w:type="spellStart"/>
      <w:r>
        <w:rPr>
          <w:rFonts w:ascii="Arial" w:hAnsi="Arial" w:cs="Arial"/>
          <w:sz w:val="24"/>
          <w:szCs w:val="24"/>
        </w:rPr>
        <w:t>Workforms</w:t>
      </w:r>
      <w:proofErr w:type="spellEnd"/>
      <w:r>
        <w:rPr>
          <w:rFonts w:ascii="Arial" w:hAnsi="Arial" w:cs="Arial"/>
          <w:sz w:val="24"/>
          <w:szCs w:val="24"/>
        </w:rPr>
        <w:t xml:space="preserve"> that has been characterized as a general ledger error associated with </w:t>
      </w:r>
      <w:r w:rsidR="0051709E">
        <w:rPr>
          <w:rFonts w:ascii="Arial" w:hAnsi="Arial" w:cs="Arial"/>
          <w:sz w:val="24"/>
          <w:szCs w:val="24"/>
        </w:rPr>
        <w:t>how the applicant</w:t>
      </w:r>
      <w:r>
        <w:rPr>
          <w:rFonts w:ascii="Arial" w:hAnsi="Arial" w:cs="Arial"/>
          <w:sz w:val="24"/>
          <w:szCs w:val="24"/>
        </w:rPr>
        <w:t xml:space="preserve"> has</w:t>
      </w:r>
      <w:r w:rsidR="0051709E">
        <w:rPr>
          <w:rFonts w:ascii="Arial" w:hAnsi="Arial" w:cs="Arial"/>
          <w:sz w:val="24"/>
          <w:szCs w:val="24"/>
        </w:rPr>
        <w:t xml:space="preserve"> prorate</w:t>
      </w:r>
      <w:r>
        <w:rPr>
          <w:rFonts w:ascii="Arial" w:hAnsi="Arial" w:cs="Arial"/>
          <w:sz w:val="24"/>
          <w:szCs w:val="24"/>
        </w:rPr>
        <w:t>d the</w:t>
      </w:r>
      <w:r w:rsidR="0051709E">
        <w:rPr>
          <w:rFonts w:ascii="Arial" w:hAnsi="Arial" w:cs="Arial"/>
          <w:sz w:val="24"/>
          <w:szCs w:val="24"/>
        </w:rPr>
        <w:t xml:space="preserve"> IESO charge type 148 between RPP and non-RPP</w:t>
      </w:r>
      <w:r>
        <w:rPr>
          <w:rFonts w:ascii="Arial" w:hAnsi="Arial" w:cs="Arial"/>
          <w:sz w:val="24"/>
          <w:szCs w:val="24"/>
        </w:rPr>
        <w:t xml:space="preserve"> for each of the years (item 8 in Note 5 for 2015 and item 9 in Note 5 for 2016)</w:t>
      </w:r>
      <w:r w:rsidR="0051709E" w:rsidRPr="000F57EC">
        <w:rPr>
          <w:rFonts w:ascii="Arial" w:hAnsi="Arial" w:cs="Arial"/>
          <w:sz w:val="24"/>
          <w:szCs w:val="24"/>
        </w:rPr>
        <w:t>.</w:t>
      </w:r>
    </w:p>
    <w:p w:rsidR="0051709E" w:rsidRDefault="0051709E" w:rsidP="0051709E">
      <w:pPr>
        <w:pStyle w:val="ListParagraph"/>
        <w:numPr>
          <w:ilvl w:val="1"/>
          <w:numId w:val="2"/>
        </w:numPr>
        <w:spacing w:after="160" w:line="252" w:lineRule="auto"/>
        <w:rPr>
          <w:rFonts w:ascii="Arial" w:hAnsi="Arial" w:cs="Arial"/>
          <w:sz w:val="24"/>
          <w:szCs w:val="24"/>
        </w:rPr>
      </w:pPr>
      <w:r>
        <w:rPr>
          <w:rFonts w:ascii="Arial" w:hAnsi="Arial" w:cs="Arial"/>
          <w:sz w:val="24"/>
          <w:szCs w:val="24"/>
        </w:rPr>
        <w:t>Please provide a description that explains how the applicant prorates charge type 148 from the IESO?</w:t>
      </w:r>
    </w:p>
    <w:p w:rsidR="0051709E" w:rsidRDefault="0051709E" w:rsidP="0051709E">
      <w:pPr>
        <w:pStyle w:val="ListParagraph"/>
        <w:numPr>
          <w:ilvl w:val="1"/>
          <w:numId w:val="2"/>
        </w:numPr>
        <w:spacing w:after="160" w:line="252" w:lineRule="auto"/>
        <w:rPr>
          <w:rFonts w:ascii="Arial" w:hAnsi="Arial" w:cs="Arial"/>
          <w:sz w:val="24"/>
          <w:szCs w:val="24"/>
        </w:rPr>
      </w:pPr>
      <w:r>
        <w:rPr>
          <w:rFonts w:ascii="Arial" w:hAnsi="Arial" w:cs="Arial"/>
          <w:sz w:val="24"/>
          <w:szCs w:val="24"/>
        </w:rPr>
        <w:t>Please explain the nature of the issue that has occurred that resulted in the inaccurate allocation between RPP and non-RPP?</w:t>
      </w:r>
    </w:p>
    <w:p w:rsidR="0051709E" w:rsidRDefault="0051709E" w:rsidP="0051709E">
      <w:pPr>
        <w:pStyle w:val="ListParagraph"/>
        <w:numPr>
          <w:ilvl w:val="1"/>
          <w:numId w:val="2"/>
        </w:numPr>
        <w:spacing w:after="160" w:line="252" w:lineRule="auto"/>
        <w:rPr>
          <w:rFonts w:ascii="Arial" w:hAnsi="Arial" w:cs="Arial"/>
          <w:sz w:val="24"/>
          <w:szCs w:val="24"/>
        </w:rPr>
      </w:pPr>
      <w:r>
        <w:rPr>
          <w:rFonts w:ascii="Arial" w:hAnsi="Arial" w:cs="Arial"/>
          <w:sz w:val="24"/>
          <w:szCs w:val="24"/>
        </w:rPr>
        <w:t>Please explain how the impact of the error was quantified for both 2015 and 2016 and provide the calculation of each.</w:t>
      </w:r>
    </w:p>
    <w:p w:rsidR="007F3027" w:rsidRPr="007F3027" w:rsidRDefault="007F3027" w:rsidP="007F3027">
      <w:pPr>
        <w:pStyle w:val="ListParagraph"/>
        <w:numPr>
          <w:ilvl w:val="1"/>
          <w:numId w:val="2"/>
        </w:numPr>
        <w:spacing w:after="160" w:line="252" w:lineRule="auto"/>
        <w:rPr>
          <w:rFonts w:ascii="Arial" w:hAnsi="Arial" w:cs="Arial"/>
          <w:sz w:val="24"/>
          <w:szCs w:val="24"/>
        </w:rPr>
      </w:pPr>
      <w:r>
        <w:rPr>
          <w:rFonts w:ascii="Arial" w:hAnsi="Arial" w:cs="Arial"/>
          <w:sz w:val="24"/>
          <w:szCs w:val="24"/>
        </w:rPr>
        <w:t xml:space="preserve">Please confirm that the amount quantified represents the impact on each of specific years only and does not include </w:t>
      </w:r>
      <w:proofErr w:type="spellStart"/>
      <w:r>
        <w:rPr>
          <w:rFonts w:ascii="Arial" w:hAnsi="Arial" w:cs="Arial"/>
          <w:sz w:val="24"/>
          <w:szCs w:val="24"/>
        </w:rPr>
        <w:t>carryforward</w:t>
      </w:r>
      <w:proofErr w:type="spellEnd"/>
      <w:r>
        <w:rPr>
          <w:rFonts w:ascii="Arial" w:hAnsi="Arial" w:cs="Arial"/>
          <w:sz w:val="24"/>
          <w:szCs w:val="24"/>
        </w:rPr>
        <w:t xml:space="preserve"> impacts from any other years.</w:t>
      </w:r>
    </w:p>
    <w:p w:rsidR="007F3027" w:rsidRDefault="0051709E" w:rsidP="007F3027">
      <w:pPr>
        <w:pStyle w:val="ListParagraph"/>
        <w:numPr>
          <w:ilvl w:val="1"/>
          <w:numId w:val="2"/>
        </w:numPr>
        <w:spacing w:after="160" w:line="252" w:lineRule="auto"/>
        <w:rPr>
          <w:rFonts w:ascii="Arial" w:hAnsi="Arial" w:cs="Arial"/>
          <w:sz w:val="24"/>
          <w:szCs w:val="24"/>
        </w:rPr>
      </w:pPr>
      <w:r>
        <w:rPr>
          <w:rFonts w:ascii="Arial" w:hAnsi="Arial" w:cs="Arial"/>
          <w:sz w:val="24"/>
          <w:szCs w:val="24"/>
        </w:rPr>
        <w:t>Given</w:t>
      </w:r>
      <w:r w:rsidR="007F3027">
        <w:rPr>
          <w:rFonts w:ascii="Arial" w:hAnsi="Arial" w:cs="Arial"/>
          <w:sz w:val="24"/>
          <w:szCs w:val="24"/>
        </w:rPr>
        <w:t xml:space="preserve"> that the same</w:t>
      </w:r>
      <w:r>
        <w:rPr>
          <w:rFonts w:ascii="Arial" w:hAnsi="Arial" w:cs="Arial"/>
          <w:sz w:val="24"/>
          <w:szCs w:val="24"/>
        </w:rPr>
        <w:t xml:space="preserve"> error has occurred in both 2015 and 2016, please explain what the applicant has changed in its </w:t>
      </w:r>
      <w:r w:rsidR="00300B34">
        <w:rPr>
          <w:rFonts w:ascii="Arial" w:hAnsi="Arial" w:cs="Arial"/>
          <w:sz w:val="24"/>
          <w:szCs w:val="24"/>
        </w:rPr>
        <w:t>RPP vs non-RPP allocation process to ensure that a similar error will not occur in the future.</w:t>
      </w:r>
    </w:p>
    <w:p w:rsidR="004F0B35" w:rsidRDefault="004F0B35" w:rsidP="004F0B35">
      <w:pPr>
        <w:pStyle w:val="ListParagraph"/>
        <w:spacing w:after="160" w:line="252" w:lineRule="auto"/>
        <w:ind w:left="1080"/>
        <w:rPr>
          <w:rFonts w:ascii="Arial" w:hAnsi="Arial" w:cs="Arial"/>
          <w:sz w:val="24"/>
          <w:szCs w:val="24"/>
        </w:rPr>
      </w:pPr>
    </w:p>
    <w:p w:rsidR="004F0B35" w:rsidRDefault="00F440E3" w:rsidP="007F3027">
      <w:pPr>
        <w:pStyle w:val="ListParagraph"/>
        <w:numPr>
          <w:ilvl w:val="0"/>
          <w:numId w:val="2"/>
        </w:numPr>
        <w:spacing w:after="160" w:line="252" w:lineRule="auto"/>
        <w:rPr>
          <w:rFonts w:ascii="Arial" w:hAnsi="Arial" w:cs="Arial"/>
          <w:sz w:val="24"/>
          <w:szCs w:val="24"/>
        </w:rPr>
      </w:pPr>
      <w:r>
        <w:rPr>
          <w:rFonts w:ascii="Arial" w:hAnsi="Arial" w:cs="Arial"/>
          <w:sz w:val="24"/>
          <w:szCs w:val="24"/>
        </w:rPr>
        <w:t>I</w:t>
      </w:r>
      <w:r w:rsidR="004F0B35">
        <w:rPr>
          <w:rFonts w:ascii="Arial" w:hAnsi="Arial" w:cs="Arial"/>
          <w:sz w:val="24"/>
          <w:szCs w:val="24"/>
        </w:rPr>
        <w:t>n Note 5 of</w:t>
      </w:r>
      <w:r>
        <w:rPr>
          <w:rFonts w:ascii="Arial" w:hAnsi="Arial" w:cs="Arial"/>
          <w:sz w:val="24"/>
          <w:szCs w:val="24"/>
        </w:rPr>
        <w:t xml:space="preserve"> both</w:t>
      </w:r>
      <w:r w:rsidR="004F0B35">
        <w:rPr>
          <w:rFonts w:ascii="Arial" w:hAnsi="Arial" w:cs="Arial"/>
          <w:sz w:val="24"/>
          <w:szCs w:val="24"/>
        </w:rPr>
        <w:t xml:space="preserve"> the</w:t>
      </w:r>
      <w:r>
        <w:rPr>
          <w:rFonts w:ascii="Arial" w:hAnsi="Arial" w:cs="Arial"/>
          <w:sz w:val="24"/>
          <w:szCs w:val="24"/>
        </w:rPr>
        <w:t xml:space="preserve"> 2015 and</w:t>
      </w:r>
      <w:r w:rsidR="004F0B35">
        <w:rPr>
          <w:rFonts w:ascii="Arial" w:hAnsi="Arial" w:cs="Arial"/>
          <w:sz w:val="24"/>
          <w:szCs w:val="24"/>
        </w:rPr>
        <w:t xml:space="preserve"> 2016 GA Analysis </w:t>
      </w:r>
      <w:proofErr w:type="spellStart"/>
      <w:r w:rsidR="004F0B35">
        <w:rPr>
          <w:rFonts w:ascii="Arial" w:hAnsi="Arial" w:cs="Arial"/>
          <w:sz w:val="24"/>
          <w:szCs w:val="24"/>
        </w:rPr>
        <w:t>Workform</w:t>
      </w:r>
      <w:proofErr w:type="spellEnd"/>
      <w:r w:rsidR="004F0B35">
        <w:rPr>
          <w:rFonts w:ascii="Arial" w:hAnsi="Arial" w:cs="Arial"/>
          <w:sz w:val="24"/>
          <w:szCs w:val="24"/>
        </w:rPr>
        <w:t>, the applicant has identified a reconciling item associated with the actual approved loss factors for the year.</w:t>
      </w:r>
    </w:p>
    <w:p w:rsidR="004F0B35" w:rsidRDefault="0051709E" w:rsidP="004F0B35">
      <w:pPr>
        <w:pStyle w:val="ListParagraph"/>
        <w:numPr>
          <w:ilvl w:val="1"/>
          <w:numId w:val="2"/>
        </w:numPr>
        <w:spacing w:after="160" w:line="252" w:lineRule="auto"/>
        <w:rPr>
          <w:rFonts w:ascii="Arial" w:hAnsi="Arial" w:cs="Arial"/>
          <w:sz w:val="24"/>
          <w:szCs w:val="24"/>
        </w:rPr>
      </w:pPr>
      <w:r w:rsidRPr="004F0B35">
        <w:rPr>
          <w:rFonts w:ascii="Arial" w:hAnsi="Arial" w:cs="Arial"/>
          <w:sz w:val="24"/>
          <w:szCs w:val="24"/>
        </w:rPr>
        <w:t xml:space="preserve">Please provide the actual system loss factor for both 2015 and 2016 and compare it to the OEB approved loss factor?  </w:t>
      </w:r>
    </w:p>
    <w:p w:rsidR="004F0B35" w:rsidRDefault="004F0B35" w:rsidP="004F0B35">
      <w:pPr>
        <w:pStyle w:val="ListParagraph"/>
        <w:numPr>
          <w:ilvl w:val="1"/>
          <w:numId w:val="2"/>
        </w:numPr>
        <w:spacing w:after="160" w:line="252" w:lineRule="auto"/>
        <w:rPr>
          <w:rFonts w:ascii="Arial" w:hAnsi="Arial" w:cs="Arial"/>
          <w:sz w:val="24"/>
          <w:szCs w:val="24"/>
        </w:rPr>
      </w:pPr>
      <w:r>
        <w:rPr>
          <w:rFonts w:ascii="Arial" w:hAnsi="Arial" w:cs="Arial"/>
          <w:sz w:val="24"/>
          <w:szCs w:val="24"/>
        </w:rPr>
        <w:t>Please provide a calculation that quantifies the impact of the loss factor difference for both 2015 and 2016.</w:t>
      </w:r>
    </w:p>
    <w:p w:rsidR="0051709E" w:rsidRDefault="00F440E3" w:rsidP="004F0B35">
      <w:pPr>
        <w:pStyle w:val="ListParagraph"/>
        <w:numPr>
          <w:ilvl w:val="1"/>
          <w:numId w:val="2"/>
        </w:numPr>
        <w:spacing w:after="160" w:line="252" w:lineRule="auto"/>
        <w:rPr>
          <w:rFonts w:ascii="Arial" w:hAnsi="Arial" w:cs="Arial"/>
          <w:sz w:val="24"/>
          <w:szCs w:val="24"/>
        </w:rPr>
      </w:pPr>
      <w:r>
        <w:rPr>
          <w:rFonts w:ascii="Arial" w:hAnsi="Arial" w:cs="Arial"/>
          <w:sz w:val="24"/>
          <w:szCs w:val="24"/>
        </w:rPr>
        <w:t>Please explain the narrative provided for the 2015 adjustment related to the fact that the RPP portion requires adjustment.  Would this also require adjustment to the balances presented in the DVA continuity schedule?</w:t>
      </w:r>
    </w:p>
    <w:p w:rsidR="002A6B17" w:rsidRDefault="002A6B17" w:rsidP="002A6B17">
      <w:pPr>
        <w:pStyle w:val="ListParagraph"/>
        <w:spacing w:after="160" w:line="252" w:lineRule="auto"/>
        <w:ind w:left="1080"/>
        <w:rPr>
          <w:rFonts w:ascii="Arial" w:hAnsi="Arial" w:cs="Arial"/>
          <w:sz w:val="24"/>
          <w:szCs w:val="24"/>
        </w:rPr>
      </w:pPr>
    </w:p>
    <w:p w:rsidR="000F57EC" w:rsidRDefault="000F57EC" w:rsidP="000F57EC">
      <w:pPr>
        <w:pStyle w:val="ListParagraph"/>
        <w:numPr>
          <w:ilvl w:val="0"/>
          <w:numId w:val="2"/>
        </w:numPr>
        <w:spacing w:after="160" w:line="252" w:lineRule="auto"/>
        <w:rPr>
          <w:rFonts w:ascii="Arial" w:hAnsi="Arial" w:cs="Arial"/>
          <w:sz w:val="24"/>
          <w:szCs w:val="24"/>
        </w:rPr>
      </w:pPr>
      <w:r>
        <w:rPr>
          <w:rFonts w:ascii="Arial" w:hAnsi="Arial" w:cs="Arial"/>
          <w:sz w:val="24"/>
          <w:szCs w:val="24"/>
        </w:rPr>
        <w:t>Please reconcile the “Principle Adjustments” that the applicant has recorded for Account 1589 in the DVA continuity schedule for both 2015 and 2016</w:t>
      </w:r>
      <w:r w:rsidR="002A6B17">
        <w:rPr>
          <w:rFonts w:ascii="Arial" w:hAnsi="Arial" w:cs="Arial"/>
          <w:sz w:val="24"/>
          <w:szCs w:val="24"/>
        </w:rPr>
        <w:t xml:space="preserve"> to the adjustments presented in Note 5 of the respective GA Analysis </w:t>
      </w:r>
      <w:proofErr w:type="spellStart"/>
      <w:r w:rsidR="002A6B17">
        <w:rPr>
          <w:rFonts w:ascii="Arial" w:hAnsi="Arial" w:cs="Arial"/>
          <w:sz w:val="24"/>
          <w:szCs w:val="24"/>
        </w:rPr>
        <w:t>Workforms</w:t>
      </w:r>
      <w:proofErr w:type="spellEnd"/>
      <w:r w:rsidR="002A6B17">
        <w:rPr>
          <w:rFonts w:ascii="Arial" w:hAnsi="Arial" w:cs="Arial"/>
          <w:sz w:val="24"/>
          <w:szCs w:val="24"/>
        </w:rPr>
        <w:t>.</w:t>
      </w:r>
    </w:p>
    <w:p w:rsidR="00AB6356" w:rsidRDefault="00AB6356" w:rsidP="00AB6356">
      <w:pPr>
        <w:pStyle w:val="ListParagraph"/>
        <w:spacing w:after="160" w:line="252" w:lineRule="auto"/>
        <w:ind w:left="360"/>
        <w:rPr>
          <w:rFonts w:ascii="Arial" w:hAnsi="Arial" w:cs="Arial"/>
          <w:sz w:val="24"/>
          <w:szCs w:val="24"/>
        </w:rPr>
      </w:pPr>
    </w:p>
    <w:p w:rsidR="00AB6356" w:rsidRPr="004F0B35" w:rsidRDefault="00AB6356" w:rsidP="00AB6356">
      <w:pPr>
        <w:pStyle w:val="ListParagraph"/>
        <w:spacing w:after="160" w:line="252" w:lineRule="auto"/>
        <w:ind w:left="360"/>
        <w:rPr>
          <w:rFonts w:ascii="Arial" w:hAnsi="Arial" w:cs="Arial"/>
          <w:sz w:val="24"/>
          <w:szCs w:val="24"/>
        </w:rPr>
      </w:pPr>
    </w:p>
    <w:p w:rsidR="0051709E" w:rsidRDefault="0051709E" w:rsidP="0051709E">
      <w:pPr>
        <w:pStyle w:val="ListParagraph"/>
        <w:spacing w:after="160" w:line="252" w:lineRule="auto"/>
        <w:ind w:left="360"/>
        <w:rPr>
          <w:rFonts w:ascii="Arial" w:hAnsi="Arial" w:cs="Arial"/>
          <w:sz w:val="24"/>
          <w:szCs w:val="24"/>
        </w:rPr>
      </w:pPr>
    </w:p>
    <w:p w:rsidR="00004C23" w:rsidRPr="00004C23" w:rsidRDefault="00004C23" w:rsidP="00004C23">
      <w:pPr>
        <w:pStyle w:val="ListParagraph"/>
        <w:rPr>
          <w:rFonts w:ascii="Arial" w:hAnsi="Arial" w:cs="Arial"/>
          <w:sz w:val="24"/>
          <w:szCs w:val="24"/>
        </w:rPr>
      </w:pPr>
    </w:p>
    <w:p w:rsidR="00004C23" w:rsidRPr="00004C23" w:rsidRDefault="00004C23" w:rsidP="00004C23">
      <w:pPr>
        <w:pStyle w:val="ListParagraph"/>
        <w:spacing w:after="160" w:line="252" w:lineRule="auto"/>
        <w:ind w:left="360"/>
        <w:rPr>
          <w:rFonts w:ascii="Arial" w:hAnsi="Arial" w:cs="Arial"/>
          <w:sz w:val="24"/>
          <w:szCs w:val="24"/>
        </w:rPr>
      </w:pPr>
    </w:p>
    <w:sectPr w:rsidR="00004C23" w:rsidRPr="00004C2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E93" w:rsidRDefault="00B63E93" w:rsidP="00B63E93">
      <w:r>
        <w:separator/>
      </w:r>
    </w:p>
  </w:endnote>
  <w:endnote w:type="continuationSeparator" w:id="0">
    <w:p w:rsidR="00B63E93" w:rsidRDefault="00B63E93" w:rsidP="00B6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079218"/>
      <w:docPartObj>
        <w:docPartGallery w:val="Page Numbers (Bottom of Page)"/>
        <w:docPartUnique/>
      </w:docPartObj>
    </w:sdtPr>
    <w:sdtEndPr>
      <w:rPr>
        <w:noProof/>
      </w:rPr>
    </w:sdtEndPr>
    <w:sdtContent>
      <w:p w:rsidR="00B63E93" w:rsidRDefault="00B63E9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B63E93" w:rsidRDefault="00B63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E93" w:rsidRDefault="00B63E93" w:rsidP="00B63E93">
      <w:r>
        <w:separator/>
      </w:r>
    </w:p>
  </w:footnote>
  <w:footnote w:type="continuationSeparator" w:id="0">
    <w:p w:rsidR="00B63E93" w:rsidRDefault="00B63E93" w:rsidP="00B63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21AF2"/>
    <w:multiLevelType w:val="hybridMultilevel"/>
    <w:tmpl w:val="EECA7FC8"/>
    <w:lvl w:ilvl="0" w:tplc="BA84DF9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967283"/>
    <w:multiLevelType w:val="hybridMultilevel"/>
    <w:tmpl w:val="AC6667C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7902ABE"/>
    <w:multiLevelType w:val="hybridMultilevel"/>
    <w:tmpl w:val="DC901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47161"/>
    <w:multiLevelType w:val="hybridMultilevel"/>
    <w:tmpl w:val="DF266660"/>
    <w:lvl w:ilvl="0" w:tplc="EDFA0D6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9754F9"/>
    <w:multiLevelType w:val="hybridMultilevel"/>
    <w:tmpl w:val="0638C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AF7E3E"/>
    <w:multiLevelType w:val="hybridMultilevel"/>
    <w:tmpl w:val="18F27D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EDE0327"/>
    <w:multiLevelType w:val="hybridMultilevel"/>
    <w:tmpl w:val="1B20254C"/>
    <w:lvl w:ilvl="0" w:tplc="04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6"/>
  </w:num>
  <w:num w:numId="2">
    <w:abstractNumId w:val="3"/>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15"/>
    <w:rsid w:val="00002AC9"/>
    <w:rsid w:val="00004C23"/>
    <w:rsid w:val="000F57EC"/>
    <w:rsid w:val="002A6B17"/>
    <w:rsid w:val="002B6BB5"/>
    <w:rsid w:val="002D7125"/>
    <w:rsid w:val="00300B34"/>
    <w:rsid w:val="0048693B"/>
    <w:rsid w:val="004F0B35"/>
    <w:rsid w:val="0051709E"/>
    <w:rsid w:val="005866B2"/>
    <w:rsid w:val="006134E6"/>
    <w:rsid w:val="006833C4"/>
    <w:rsid w:val="007F3027"/>
    <w:rsid w:val="00AB6356"/>
    <w:rsid w:val="00B63E93"/>
    <w:rsid w:val="00CE2E0F"/>
    <w:rsid w:val="00F440E3"/>
    <w:rsid w:val="00F73B15"/>
    <w:rsid w:val="00F80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2790"/>
  <w15:chartTrackingRefBased/>
  <w15:docId w15:val="{DC78A5F8-A5D3-4F8B-9E8C-82A83425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B1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B15"/>
    <w:pPr>
      <w:spacing w:after="200" w:line="276" w:lineRule="auto"/>
      <w:ind w:left="720"/>
      <w:contextualSpacing/>
    </w:pPr>
    <w:rPr>
      <w:rFonts w:asciiTheme="minorHAnsi" w:hAnsiTheme="minorHAnsi" w:cstheme="minorBidi"/>
      <w:lang w:val="en-CA"/>
    </w:rPr>
  </w:style>
  <w:style w:type="table" w:styleId="TableGrid">
    <w:name w:val="Table Grid"/>
    <w:basedOn w:val="TableNormal"/>
    <w:uiPriority w:val="59"/>
    <w:rsid w:val="00F73B15"/>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3E93"/>
    <w:pPr>
      <w:tabs>
        <w:tab w:val="center" w:pos="4680"/>
        <w:tab w:val="right" w:pos="9360"/>
      </w:tabs>
    </w:pPr>
  </w:style>
  <w:style w:type="character" w:customStyle="1" w:styleId="HeaderChar">
    <w:name w:val="Header Char"/>
    <w:basedOn w:val="DefaultParagraphFont"/>
    <w:link w:val="Header"/>
    <w:uiPriority w:val="99"/>
    <w:rsid w:val="00B63E93"/>
    <w:rPr>
      <w:rFonts w:ascii="Calibri" w:hAnsi="Calibri" w:cs="Calibri"/>
    </w:rPr>
  </w:style>
  <w:style w:type="paragraph" w:styleId="Footer">
    <w:name w:val="footer"/>
    <w:basedOn w:val="Normal"/>
    <w:link w:val="FooterChar"/>
    <w:uiPriority w:val="99"/>
    <w:unhideWhenUsed/>
    <w:rsid w:val="00B63E93"/>
    <w:pPr>
      <w:tabs>
        <w:tab w:val="center" w:pos="4680"/>
        <w:tab w:val="right" w:pos="9360"/>
      </w:tabs>
    </w:pPr>
  </w:style>
  <w:style w:type="character" w:customStyle="1" w:styleId="FooterChar">
    <w:name w:val="Footer Char"/>
    <w:basedOn w:val="DefaultParagraphFont"/>
    <w:link w:val="Footer"/>
    <w:uiPriority w:val="99"/>
    <w:rsid w:val="00B63E9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Rozic</dc:creator>
  <cp:keywords/>
  <dc:description/>
  <cp:lastModifiedBy>Shuo Zhang</cp:lastModifiedBy>
  <cp:revision>4</cp:revision>
  <dcterms:created xsi:type="dcterms:W3CDTF">2017-11-28T14:03:00Z</dcterms:created>
  <dcterms:modified xsi:type="dcterms:W3CDTF">2017-11-28T14:10:00Z</dcterms:modified>
</cp:coreProperties>
</file>