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10C" w:rsidRDefault="0087710C">
      <w:pPr>
        <w:rPr>
          <w:rFonts w:ascii="Arial" w:hAnsi="Arial" w:cs="Arial"/>
          <w:sz w:val="24"/>
          <w:szCs w:val="24"/>
        </w:rPr>
      </w:pPr>
    </w:p>
    <w:p w:rsidR="0087710C" w:rsidRPr="003832E7" w:rsidRDefault="00FB1A3E" w:rsidP="0087710C">
      <w:pPr>
        <w:pStyle w:val="Default"/>
        <w:jc w:val="right"/>
        <w:rPr>
          <w:rFonts w:ascii="Arial" w:hAnsi="Arial" w:cs="Arial"/>
          <w:sz w:val="22"/>
          <w:szCs w:val="22"/>
        </w:rPr>
      </w:pPr>
      <w:r>
        <w:rPr>
          <w:rFonts w:ascii="Arial" w:hAnsi="Arial" w:cs="Arial"/>
          <w:bCs/>
          <w:sz w:val="22"/>
          <w:szCs w:val="22"/>
        </w:rPr>
        <w:t>Northern Ontario Wires Inc.</w:t>
      </w:r>
    </w:p>
    <w:p w:rsidR="0087710C" w:rsidRDefault="0087710C" w:rsidP="0087710C">
      <w:pPr>
        <w:pStyle w:val="Default"/>
        <w:jc w:val="right"/>
        <w:rPr>
          <w:rFonts w:ascii="Arial" w:hAnsi="Arial" w:cs="Arial"/>
          <w:sz w:val="22"/>
          <w:szCs w:val="22"/>
        </w:rPr>
      </w:pPr>
      <w:r>
        <w:rPr>
          <w:rFonts w:ascii="Arial" w:hAnsi="Arial" w:cs="Arial"/>
          <w:sz w:val="22"/>
          <w:szCs w:val="22"/>
        </w:rPr>
        <w:t>OEB Staff Questions</w:t>
      </w:r>
    </w:p>
    <w:p w:rsidR="0087710C" w:rsidRDefault="0087103D" w:rsidP="0087710C">
      <w:pPr>
        <w:pStyle w:val="Default"/>
        <w:jc w:val="right"/>
        <w:rPr>
          <w:rFonts w:ascii="Arial" w:hAnsi="Arial" w:cs="Arial"/>
          <w:sz w:val="22"/>
          <w:szCs w:val="22"/>
        </w:rPr>
      </w:pPr>
      <w:r>
        <w:rPr>
          <w:rFonts w:ascii="Arial" w:hAnsi="Arial" w:cs="Arial"/>
          <w:sz w:val="22"/>
          <w:szCs w:val="22"/>
        </w:rPr>
        <w:t>EB-2017-00</w:t>
      </w:r>
      <w:r w:rsidR="00FB1A3E">
        <w:rPr>
          <w:rFonts w:ascii="Arial" w:hAnsi="Arial" w:cs="Arial"/>
          <w:sz w:val="22"/>
          <w:szCs w:val="22"/>
        </w:rPr>
        <w:t>66</w:t>
      </w:r>
    </w:p>
    <w:p w:rsidR="0087710C" w:rsidRDefault="0087710C" w:rsidP="0087710C">
      <w:pPr>
        <w:pStyle w:val="Default"/>
        <w:rPr>
          <w:rFonts w:ascii="Arial" w:hAnsi="Arial" w:cs="Arial"/>
          <w:sz w:val="22"/>
          <w:szCs w:val="22"/>
        </w:rPr>
      </w:pPr>
    </w:p>
    <w:p w:rsidR="0087710C" w:rsidRPr="00A07077" w:rsidRDefault="00FB1A3E" w:rsidP="0087710C">
      <w:pPr>
        <w:pStyle w:val="Default"/>
        <w:jc w:val="center"/>
        <w:rPr>
          <w:rFonts w:ascii="Arial" w:hAnsi="Arial" w:cs="Arial"/>
          <w:sz w:val="28"/>
          <w:szCs w:val="28"/>
        </w:rPr>
      </w:pPr>
      <w:r>
        <w:rPr>
          <w:rFonts w:ascii="Arial" w:hAnsi="Arial" w:cs="Arial"/>
          <w:sz w:val="28"/>
          <w:szCs w:val="28"/>
        </w:rPr>
        <w:t>Northern Ontario Wires Inc.</w:t>
      </w:r>
    </w:p>
    <w:p w:rsidR="00803EF5" w:rsidRDefault="0087103D" w:rsidP="0087710C">
      <w:pPr>
        <w:pStyle w:val="Default"/>
        <w:jc w:val="center"/>
        <w:rPr>
          <w:rFonts w:ascii="Arial" w:hAnsi="Arial" w:cs="Arial"/>
          <w:b/>
          <w:bCs/>
          <w:sz w:val="28"/>
          <w:szCs w:val="28"/>
        </w:rPr>
      </w:pPr>
      <w:r>
        <w:rPr>
          <w:rFonts w:ascii="Arial" w:hAnsi="Arial" w:cs="Arial"/>
          <w:b/>
          <w:bCs/>
          <w:sz w:val="28"/>
          <w:szCs w:val="28"/>
        </w:rPr>
        <w:t>EB-2017-00</w:t>
      </w:r>
      <w:r w:rsidR="00FB1A3E">
        <w:rPr>
          <w:rFonts w:ascii="Arial" w:hAnsi="Arial" w:cs="Arial"/>
          <w:b/>
          <w:bCs/>
          <w:sz w:val="28"/>
          <w:szCs w:val="28"/>
        </w:rPr>
        <w:t>66</w:t>
      </w:r>
    </w:p>
    <w:p w:rsidR="0087710C" w:rsidRDefault="0087710C" w:rsidP="0087710C">
      <w:pPr>
        <w:rPr>
          <w:rFonts w:ascii="Arial" w:hAnsi="Arial" w:cs="Arial"/>
          <w:b/>
          <w:bCs/>
          <w:sz w:val="28"/>
          <w:szCs w:val="28"/>
        </w:rPr>
      </w:pPr>
    </w:p>
    <w:p w:rsidR="0087710C" w:rsidRDefault="0087710C" w:rsidP="0087710C">
      <w:pPr>
        <w:autoSpaceDE w:val="0"/>
        <w:autoSpaceDN w:val="0"/>
        <w:adjustRightInd w:val="0"/>
        <w:spacing w:after="0" w:line="240" w:lineRule="auto"/>
        <w:rPr>
          <w:rFonts w:ascii="Arial" w:hAnsi="Arial" w:cs="Arial"/>
          <w:b/>
          <w:bCs/>
          <w:color w:val="000000"/>
          <w:sz w:val="24"/>
          <w:szCs w:val="24"/>
        </w:rPr>
      </w:pPr>
    </w:p>
    <w:p w:rsidR="0087710C" w:rsidRPr="002D056D" w:rsidRDefault="0087710C" w:rsidP="0087710C">
      <w:pPr>
        <w:rPr>
          <w:rFonts w:ascii="Arial" w:hAnsi="Arial" w:cs="Arial"/>
          <w:b/>
          <w:sz w:val="24"/>
          <w:szCs w:val="24"/>
        </w:rPr>
      </w:pPr>
      <w:r>
        <w:rPr>
          <w:rFonts w:ascii="Arial" w:hAnsi="Arial" w:cs="Arial"/>
          <w:b/>
          <w:sz w:val="24"/>
          <w:szCs w:val="24"/>
        </w:rPr>
        <w:t>Staff Question</w:t>
      </w:r>
      <w:r w:rsidRPr="002D056D">
        <w:rPr>
          <w:rFonts w:ascii="Arial" w:hAnsi="Arial" w:cs="Arial"/>
          <w:b/>
          <w:sz w:val="24"/>
          <w:szCs w:val="24"/>
        </w:rPr>
        <w:t>-1</w:t>
      </w:r>
    </w:p>
    <w:p w:rsidR="00795C22" w:rsidRDefault="00795C22" w:rsidP="00795C22">
      <w:pPr>
        <w:pStyle w:val="ListParagraph"/>
        <w:numPr>
          <w:ilvl w:val="0"/>
          <w:numId w:val="9"/>
        </w:numPr>
        <w:rPr>
          <w:rFonts w:ascii="Arial" w:hAnsi="Arial" w:cs="Arial"/>
          <w:sz w:val="24"/>
          <w:szCs w:val="24"/>
        </w:rPr>
      </w:pPr>
      <w:r w:rsidRPr="001B35AC">
        <w:rPr>
          <w:rFonts w:ascii="Arial" w:hAnsi="Arial" w:cs="Arial"/>
          <w:sz w:val="24"/>
          <w:szCs w:val="24"/>
        </w:rPr>
        <w:t>With regards to the D</w:t>
      </w:r>
      <w:r>
        <w:rPr>
          <w:rFonts w:ascii="Arial" w:hAnsi="Arial" w:cs="Arial"/>
          <w:sz w:val="24"/>
          <w:szCs w:val="24"/>
        </w:rPr>
        <w:t>ec. 31, 2016 balance in Account 1588, all components that flow into Account 1588 (</w:t>
      </w:r>
      <w:proofErr w:type="spellStart"/>
      <w:r>
        <w:rPr>
          <w:rFonts w:ascii="Arial" w:hAnsi="Arial" w:cs="Arial"/>
          <w:sz w:val="24"/>
          <w:szCs w:val="24"/>
        </w:rPr>
        <w:t>i</w:t>
      </w:r>
      <w:proofErr w:type="spellEnd"/>
      <w:r>
        <w:rPr>
          <w:rFonts w:ascii="Arial" w:hAnsi="Arial" w:cs="Arial"/>
          <w:sz w:val="24"/>
          <w:szCs w:val="24"/>
        </w:rPr>
        <w:t xml:space="preserve"> to </w:t>
      </w:r>
      <w:proofErr w:type="gramStart"/>
      <w:r>
        <w:rPr>
          <w:rFonts w:ascii="Arial" w:hAnsi="Arial" w:cs="Arial"/>
          <w:sz w:val="24"/>
          <w:szCs w:val="24"/>
        </w:rPr>
        <w:t>iv</w:t>
      </w:r>
      <w:proofErr w:type="gramEnd"/>
      <w:r>
        <w:rPr>
          <w:rFonts w:ascii="Arial" w:hAnsi="Arial" w:cs="Arial"/>
          <w:sz w:val="24"/>
          <w:szCs w:val="24"/>
        </w:rPr>
        <w:t xml:space="preserve"> in table below) should be all based on actuals at year end. Please complete the following table to a) indicate whether the component is based on estimates or actuals at year end and b) quantify the adjustment pertaining to each component that is trued up from estimate to actual</w:t>
      </w:r>
    </w:p>
    <w:tbl>
      <w:tblPr>
        <w:tblStyle w:val="TableGrid"/>
        <w:tblW w:w="9605" w:type="dxa"/>
        <w:tblLook w:val="04A0" w:firstRow="1" w:lastRow="0" w:firstColumn="1" w:lastColumn="0" w:noHBand="0" w:noVBand="1"/>
      </w:tblPr>
      <w:tblGrid>
        <w:gridCol w:w="390"/>
        <w:gridCol w:w="1870"/>
        <w:gridCol w:w="1870"/>
        <w:gridCol w:w="3605"/>
        <w:gridCol w:w="1870"/>
      </w:tblGrid>
      <w:tr w:rsidR="00795C22" w:rsidTr="008F139C">
        <w:tc>
          <w:tcPr>
            <w:tcW w:w="390" w:type="dxa"/>
          </w:tcPr>
          <w:p w:rsidR="00795C22" w:rsidRPr="00FE126C" w:rsidRDefault="00795C22" w:rsidP="008F139C">
            <w:pPr>
              <w:rPr>
                <w:rFonts w:ascii="Arial" w:hAnsi="Arial" w:cs="Arial"/>
                <w:sz w:val="20"/>
                <w:szCs w:val="20"/>
              </w:rPr>
            </w:pPr>
          </w:p>
        </w:tc>
        <w:tc>
          <w:tcPr>
            <w:tcW w:w="1870" w:type="dxa"/>
          </w:tcPr>
          <w:p w:rsidR="00795C22" w:rsidRPr="00FE126C" w:rsidRDefault="00795C22" w:rsidP="008F139C">
            <w:pPr>
              <w:rPr>
                <w:rFonts w:ascii="Arial" w:hAnsi="Arial" w:cs="Arial"/>
                <w:b/>
                <w:sz w:val="20"/>
                <w:szCs w:val="20"/>
              </w:rPr>
            </w:pPr>
            <w:r w:rsidRPr="00FE126C">
              <w:rPr>
                <w:rFonts w:ascii="Arial" w:hAnsi="Arial" w:cs="Arial"/>
                <w:b/>
                <w:sz w:val="20"/>
                <w:szCs w:val="20"/>
              </w:rPr>
              <w:t>Component</w:t>
            </w:r>
          </w:p>
        </w:tc>
        <w:tc>
          <w:tcPr>
            <w:tcW w:w="1870" w:type="dxa"/>
          </w:tcPr>
          <w:p w:rsidR="00795C22" w:rsidRPr="00FE126C" w:rsidRDefault="00795C22" w:rsidP="008F139C">
            <w:pPr>
              <w:rPr>
                <w:rFonts w:ascii="Arial" w:hAnsi="Arial" w:cs="Arial"/>
                <w:b/>
                <w:sz w:val="20"/>
                <w:szCs w:val="20"/>
              </w:rPr>
            </w:pPr>
            <w:r w:rsidRPr="00FE126C">
              <w:rPr>
                <w:rFonts w:ascii="Arial" w:hAnsi="Arial" w:cs="Arial"/>
                <w:b/>
                <w:sz w:val="20"/>
                <w:szCs w:val="20"/>
              </w:rPr>
              <w:t>a) Estimate or Actual</w:t>
            </w:r>
          </w:p>
        </w:tc>
        <w:tc>
          <w:tcPr>
            <w:tcW w:w="3605" w:type="dxa"/>
          </w:tcPr>
          <w:p w:rsidR="00795C22" w:rsidRPr="00FE126C" w:rsidRDefault="00795C22" w:rsidP="008F139C">
            <w:pPr>
              <w:rPr>
                <w:rFonts w:ascii="Arial" w:hAnsi="Arial" w:cs="Arial"/>
                <w:b/>
                <w:sz w:val="20"/>
                <w:szCs w:val="20"/>
              </w:rPr>
            </w:pPr>
            <w:r w:rsidRPr="00FE126C">
              <w:rPr>
                <w:rFonts w:ascii="Arial" w:hAnsi="Arial" w:cs="Arial"/>
                <w:b/>
                <w:sz w:val="20"/>
                <w:szCs w:val="20"/>
              </w:rPr>
              <w:t>Notes/Comments</w:t>
            </w:r>
          </w:p>
        </w:tc>
        <w:tc>
          <w:tcPr>
            <w:tcW w:w="1870" w:type="dxa"/>
          </w:tcPr>
          <w:p w:rsidR="00795C22" w:rsidRPr="00FE126C" w:rsidRDefault="00795C22" w:rsidP="008F139C">
            <w:pPr>
              <w:rPr>
                <w:rFonts w:ascii="Arial" w:hAnsi="Arial" w:cs="Arial"/>
                <w:b/>
                <w:sz w:val="20"/>
                <w:szCs w:val="20"/>
              </w:rPr>
            </w:pPr>
            <w:r w:rsidRPr="00FE126C">
              <w:rPr>
                <w:rFonts w:ascii="Arial" w:hAnsi="Arial" w:cs="Arial"/>
                <w:b/>
                <w:sz w:val="20"/>
                <w:szCs w:val="20"/>
              </w:rPr>
              <w:t>b) Quantify True Up  Adjustment</w:t>
            </w:r>
          </w:p>
        </w:tc>
      </w:tr>
      <w:tr w:rsidR="00795C22" w:rsidTr="008F139C">
        <w:tc>
          <w:tcPr>
            <w:tcW w:w="390" w:type="dxa"/>
          </w:tcPr>
          <w:p w:rsidR="00795C22" w:rsidRPr="00FE126C" w:rsidRDefault="00795C22" w:rsidP="008F139C">
            <w:pPr>
              <w:rPr>
                <w:rFonts w:ascii="Arial" w:hAnsi="Arial" w:cs="Arial"/>
                <w:sz w:val="20"/>
                <w:szCs w:val="20"/>
              </w:rPr>
            </w:pPr>
            <w:proofErr w:type="spellStart"/>
            <w:r w:rsidRPr="00FE126C">
              <w:rPr>
                <w:rFonts w:ascii="Arial" w:hAnsi="Arial" w:cs="Arial"/>
                <w:sz w:val="20"/>
                <w:szCs w:val="20"/>
              </w:rPr>
              <w:t>i</w:t>
            </w:r>
            <w:proofErr w:type="spellEnd"/>
          </w:p>
        </w:tc>
        <w:tc>
          <w:tcPr>
            <w:tcW w:w="1870" w:type="dxa"/>
          </w:tcPr>
          <w:p w:rsidR="00795C22" w:rsidRPr="00FE126C" w:rsidRDefault="00795C22" w:rsidP="008F139C">
            <w:pPr>
              <w:rPr>
                <w:rFonts w:ascii="Arial" w:hAnsi="Arial" w:cs="Arial"/>
                <w:sz w:val="20"/>
                <w:szCs w:val="20"/>
              </w:rPr>
            </w:pPr>
            <w:r w:rsidRPr="00FE126C">
              <w:rPr>
                <w:rFonts w:ascii="Arial" w:hAnsi="Arial" w:cs="Arial"/>
                <w:sz w:val="20"/>
                <w:szCs w:val="20"/>
              </w:rPr>
              <w:t>Revenues (i.e. is unbilled revenues trued up</w:t>
            </w:r>
            <w:r>
              <w:rPr>
                <w:rFonts w:ascii="Arial" w:hAnsi="Arial" w:cs="Arial"/>
                <w:sz w:val="20"/>
                <w:szCs w:val="20"/>
              </w:rPr>
              <w:t xml:space="preserve"> by year end</w:t>
            </w:r>
            <w:r w:rsidRPr="00FE126C">
              <w:rPr>
                <w:rFonts w:ascii="Arial" w:hAnsi="Arial" w:cs="Arial"/>
                <w:sz w:val="20"/>
                <w:szCs w:val="20"/>
              </w:rPr>
              <w:t xml:space="preserve">) </w:t>
            </w:r>
          </w:p>
          <w:p w:rsidR="00795C22" w:rsidRPr="00FE126C" w:rsidRDefault="00795C22" w:rsidP="008F139C">
            <w:pPr>
              <w:rPr>
                <w:rFonts w:ascii="Arial" w:hAnsi="Arial" w:cs="Arial"/>
                <w:sz w:val="20"/>
                <w:szCs w:val="20"/>
              </w:rPr>
            </w:pPr>
          </w:p>
        </w:tc>
        <w:tc>
          <w:tcPr>
            <w:tcW w:w="1870" w:type="dxa"/>
          </w:tcPr>
          <w:p w:rsidR="00795C22" w:rsidRPr="00FE126C" w:rsidRDefault="00416208" w:rsidP="008F139C">
            <w:pPr>
              <w:rPr>
                <w:rFonts w:ascii="Arial" w:hAnsi="Arial" w:cs="Arial"/>
                <w:sz w:val="20"/>
                <w:szCs w:val="20"/>
              </w:rPr>
            </w:pPr>
            <w:r>
              <w:rPr>
                <w:rFonts w:ascii="Arial" w:hAnsi="Arial" w:cs="Arial"/>
                <w:sz w:val="20"/>
                <w:szCs w:val="20"/>
              </w:rPr>
              <w:t>Actual</w:t>
            </w:r>
          </w:p>
        </w:tc>
        <w:tc>
          <w:tcPr>
            <w:tcW w:w="3605" w:type="dxa"/>
          </w:tcPr>
          <w:p w:rsidR="00795C22" w:rsidRPr="00FE126C" w:rsidRDefault="00416208" w:rsidP="008F139C">
            <w:pPr>
              <w:rPr>
                <w:rFonts w:ascii="Arial" w:hAnsi="Arial" w:cs="Arial"/>
                <w:sz w:val="20"/>
                <w:szCs w:val="20"/>
              </w:rPr>
            </w:pPr>
            <w:r>
              <w:rPr>
                <w:rFonts w:ascii="Arial" w:hAnsi="Arial" w:cs="Arial"/>
                <w:sz w:val="20"/>
                <w:szCs w:val="20"/>
              </w:rPr>
              <w:t>Actual revenues are used for unbilled revenue. Procedure uses the following month billing at allocates to proper period.</w:t>
            </w:r>
          </w:p>
        </w:tc>
        <w:tc>
          <w:tcPr>
            <w:tcW w:w="1870" w:type="dxa"/>
          </w:tcPr>
          <w:p w:rsidR="00795C22" w:rsidRPr="00FE126C" w:rsidRDefault="00416208" w:rsidP="008F139C">
            <w:pPr>
              <w:rPr>
                <w:rFonts w:ascii="Arial" w:hAnsi="Arial" w:cs="Arial"/>
                <w:sz w:val="20"/>
                <w:szCs w:val="20"/>
              </w:rPr>
            </w:pPr>
            <w:r>
              <w:rPr>
                <w:rFonts w:ascii="Arial" w:hAnsi="Arial" w:cs="Arial"/>
                <w:sz w:val="20"/>
                <w:szCs w:val="20"/>
              </w:rPr>
              <w:t>N/A</w:t>
            </w:r>
          </w:p>
        </w:tc>
      </w:tr>
      <w:tr w:rsidR="00795C22" w:rsidTr="008F139C">
        <w:tc>
          <w:tcPr>
            <w:tcW w:w="390" w:type="dxa"/>
          </w:tcPr>
          <w:p w:rsidR="00795C22" w:rsidRPr="00FE126C" w:rsidRDefault="00795C22" w:rsidP="008F139C">
            <w:pPr>
              <w:rPr>
                <w:rFonts w:ascii="Arial" w:hAnsi="Arial" w:cs="Arial"/>
                <w:sz w:val="20"/>
                <w:szCs w:val="20"/>
              </w:rPr>
            </w:pPr>
            <w:r>
              <w:rPr>
                <w:rFonts w:ascii="Arial" w:hAnsi="Arial" w:cs="Arial"/>
                <w:sz w:val="20"/>
                <w:szCs w:val="20"/>
              </w:rPr>
              <w:t>Ii</w:t>
            </w:r>
          </w:p>
        </w:tc>
        <w:tc>
          <w:tcPr>
            <w:tcW w:w="1870" w:type="dxa"/>
          </w:tcPr>
          <w:p w:rsidR="00795C22" w:rsidRDefault="00795C22" w:rsidP="008F139C">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870" w:type="dxa"/>
          </w:tcPr>
          <w:p w:rsidR="00795C22" w:rsidRPr="00FE126C" w:rsidRDefault="00416208" w:rsidP="008F139C">
            <w:pPr>
              <w:rPr>
                <w:rFonts w:ascii="Arial" w:hAnsi="Arial" w:cs="Arial"/>
                <w:sz w:val="20"/>
                <w:szCs w:val="20"/>
              </w:rPr>
            </w:pPr>
            <w:r>
              <w:rPr>
                <w:rFonts w:ascii="Arial" w:hAnsi="Arial" w:cs="Arial"/>
                <w:sz w:val="20"/>
                <w:szCs w:val="20"/>
              </w:rPr>
              <w:t>Actual</w:t>
            </w:r>
          </w:p>
        </w:tc>
        <w:tc>
          <w:tcPr>
            <w:tcW w:w="3605" w:type="dxa"/>
          </w:tcPr>
          <w:p w:rsidR="00795C22" w:rsidRPr="00FE126C" w:rsidRDefault="00416208" w:rsidP="008F139C">
            <w:pPr>
              <w:rPr>
                <w:rFonts w:ascii="Arial" w:hAnsi="Arial" w:cs="Arial"/>
                <w:sz w:val="20"/>
                <w:szCs w:val="20"/>
              </w:rPr>
            </w:pPr>
            <w:r>
              <w:rPr>
                <w:rFonts w:ascii="Arial" w:hAnsi="Arial" w:cs="Arial"/>
                <w:sz w:val="20"/>
                <w:szCs w:val="20"/>
              </w:rPr>
              <w:t>Expenses is based off IESO Invoice at year end.</w:t>
            </w:r>
          </w:p>
        </w:tc>
        <w:tc>
          <w:tcPr>
            <w:tcW w:w="1870" w:type="dxa"/>
          </w:tcPr>
          <w:p w:rsidR="00795C22" w:rsidRPr="00FE126C" w:rsidRDefault="00416208" w:rsidP="008F139C">
            <w:pPr>
              <w:rPr>
                <w:rFonts w:ascii="Arial" w:hAnsi="Arial" w:cs="Arial"/>
                <w:sz w:val="20"/>
                <w:szCs w:val="20"/>
              </w:rPr>
            </w:pPr>
            <w:r>
              <w:rPr>
                <w:rFonts w:ascii="Arial" w:hAnsi="Arial" w:cs="Arial"/>
                <w:sz w:val="20"/>
                <w:szCs w:val="20"/>
              </w:rPr>
              <w:t>N/A</w:t>
            </w:r>
          </w:p>
        </w:tc>
      </w:tr>
      <w:tr w:rsidR="00795C22" w:rsidTr="008F139C">
        <w:tc>
          <w:tcPr>
            <w:tcW w:w="390" w:type="dxa"/>
          </w:tcPr>
          <w:p w:rsidR="00795C22" w:rsidRPr="00FE126C" w:rsidRDefault="00795C22" w:rsidP="008F139C">
            <w:pPr>
              <w:rPr>
                <w:rFonts w:ascii="Arial" w:hAnsi="Arial" w:cs="Arial"/>
                <w:sz w:val="20"/>
                <w:szCs w:val="20"/>
              </w:rPr>
            </w:pPr>
            <w:proofErr w:type="spellStart"/>
            <w:r>
              <w:rPr>
                <w:rFonts w:ascii="Arial" w:hAnsi="Arial" w:cs="Arial"/>
                <w:sz w:val="20"/>
                <w:szCs w:val="20"/>
              </w:rPr>
              <w:t>ijj</w:t>
            </w:r>
            <w:proofErr w:type="spellEnd"/>
          </w:p>
        </w:tc>
        <w:tc>
          <w:tcPr>
            <w:tcW w:w="1870" w:type="dxa"/>
          </w:tcPr>
          <w:p w:rsidR="00795C22" w:rsidRPr="00FE126C" w:rsidRDefault="00795C22" w:rsidP="008F139C">
            <w:pPr>
              <w:rPr>
                <w:rFonts w:ascii="Arial" w:hAnsi="Arial" w:cs="Arial"/>
                <w:sz w:val="20"/>
                <w:szCs w:val="20"/>
              </w:rPr>
            </w:pPr>
            <w:r>
              <w:rPr>
                <w:rFonts w:ascii="Arial" w:hAnsi="Arial" w:cs="Arial"/>
                <w:sz w:val="20"/>
                <w:szCs w:val="20"/>
              </w:rPr>
              <w:t xml:space="preserve">Expenses - GA </w:t>
            </w:r>
            <w:r w:rsidRPr="00FE126C">
              <w:rPr>
                <w:rFonts w:ascii="Arial" w:hAnsi="Arial" w:cs="Arial"/>
                <w:sz w:val="20"/>
                <w:szCs w:val="20"/>
              </w:rPr>
              <w:t>RPP</w:t>
            </w:r>
            <w:r>
              <w:rPr>
                <w:rFonts w:ascii="Arial" w:hAnsi="Arial" w:cs="Arial"/>
                <w:sz w:val="20"/>
                <w:szCs w:val="20"/>
              </w:rPr>
              <w:t>:</w:t>
            </w:r>
            <w:r w:rsidRPr="00FE126C">
              <w:rPr>
                <w:rFonts w:ascii="Arial" w:hAnsi="Arial" w:cs="Arial"/>
                <w:sz w:val="20"/>
                <w:szCs w:val="20"/>
              </w:rPr>
              <w:t xml:space="preserve"> Charge Type 148 with respect to the quantum dollar amount </w:t>
            </w:r>
            <w:r>
              <w:rPr>
                <w:rFonts w:ascii="Arial" w:hAnsi="Arial" w:cs="Arial"/>
                <w:sz w:val="20"/>
                <w:szCs w:val="20"/>
              </w:rPr>
              <w:t>(i.e. is expense based on IESO invoice at year end)</w:t>
            </w:r>
          </w:p>
          <w:p w:rsidR="00795C22" w:rsidRPr="00FE126C" w:rsidRDefault="00795C22" w:rsidP="008F139C">
            <w:pPr>
              <w:rPr>
                <w:rFonts w:ascii="Arial" w:hAnsi="Arial" w:cs="Arial"/>
                <w:sz w:val="20"/>
                <w:szCs w:val="20"/>
              </w:rPr>
            </w:pPr>
          </w:p>
        </w:tc>
        <w:tc>
          <w:tcPr>
            <w:tcW w:w="1870" w:type="dxa"/>
          </w:tcPr>
          <w:p w:rsidR="00795C22" w:rsidRPr="00FE126C" w:rsidRDefault="00017359" w:rsidP="008F139C">
            <w:pPr>
              <w:rPr>
                <w:rFonts w:ascii="Arial" w:hAnsi="Arial" w:cs="Arial"/>
                <w:sz w:val="20"/>
                <w:szCs w:val="20"/>
              </w:rPr>
            </w:pPr>
            <w:r>
              <w:rPr>
                <w:rFonts w:ascii="Arial" w:hAnsi="Arial" w:cs="Arial"/>
                <w:sz w:val="20"/>
                <w:szCs w:val="20"/>
              </w:rPr>
              <w:t>Actual</w:t>
            </w:r>
          </w:p>
        </w:tc>
        <w:tc>
          <w:tcPr>
            <w:tcW w:w="3605" w:type="dxa"/>
          </w:tcPr>
          <w:p w:rsidR="00017359" w:rsidRPr="00FE126C" w:rsidRDefault="00017359" w:rsidP="008F139C">
            <w:pPr>
              <w:rPr>
                <w:rFonts w:ascii="Arial" w:hAnsi="Arial" w:cs="Arial"/>
                <w:sz w:val="20"/>
                <w:szCs w:val="20"/>
              </w:rPr>
            </w:pPr>
            <w:r>
              <w:rPr>
                <w:rFonts w:ascii="Arial" w:hAnsi="Arial" w:cs="Arial"/>
                <w:sz w:val="20"/>
                <w:szCs w:val="20"/>
              </w:rPr>
              <w:t>Expenses is based off IESO Invoice at year end.</w:t>
            </w:r>
          </w:p>
        </w:tc>
        <w:tc>
          <w:tcPr>
            <w:tcW w:w="1870" w:type="dxa"/>
          </w:tcPr>
          <w:p w:rsidR="00795C22" w:rsidRPr="00FE126C" w:rsidRDefault="00017359" w:rsidP="008F139C">
            <w:pPr>
              <w:rPr>
                <w:rFonts w:ascii="Arial" w:hAnsi="Arial" w:cs="Arial"/>
                <w:sz w:val="20"/>
                <w:szCs w:val="20"/>
              </w:rPr>
            </w:pPr>
            <w:r>
              <w:rPr>
                <w:rFonts w:ascii="Arial" w:hAnsi="Arial" w:cs="Arial"/>
                <w:sz w:val="20"/>
                <w:szCs w:val="20"/>
              </w:rPr>
              <w:t>N/A</w:t>
            </w:r>
          </w:p>
        </w:tc>
      </w:tr>
      <w:tr w:rsidR="00795C22" w:rsidTr="008F139C">
        <w:tc>
          <w:tcPr>
            <w:tcW w:w="390" w:type="dxa"/>
          </w:tcPr>
          <w:p w:rsidR="00795C22" w:rsidRPr="00FE126C" w:rsidRDefault="00795C22" w:rsidP="008F139C">
            <w:pPr>
              <w:rPr>
                <w:rFonts w:ascii="Arial" w:hAnsi="Arial" w:cs="Arial"/>
                <w:sz w:val="20"/>
                <w:szCs w:val="20"/>
              </w:rPr>
            </w:pPr>
            <w:r>
              <w:rPr>
                <w:rFonts w:ascii="Arial" w:hAnsi="Arial" w:cs="Arial"/>
                <w:sz w:val="20"/>
                <w:szCs w:val="20"/>
              </w:rPr>
              <w:t>iv</w:t>
            </w:r>
          </w:p>
        </w:tc>
        <w:tc>
          <w:tcPr>
            <w:tcW w:w="1870" w:type="dxa"/>
          </w:tcPr>
          <w:p w:rsidR="00795C22" w:rsidRPr="00FE126C" w:rsidRDefault="00795C22" w:rsidP="008F139C">
            <w:pPr>
              <w:rPr>
                <w:rFonts w:ascii="Arial" w:hAnsi="Arial" w:cs="Arial"/>
                <w:sz w:val="20"/>
                <w:szCs w:val="20"/>
              </w:rPr>
            </w:pPr>
            <w:r>
              <w:rPr>
                <w:rFonts w:ascii="Arial" w:hAnsi="Arial" w:cs="Arial"/>
                <w:sz w:val="20"/>
                <w:szCs w:val="20"/>
              </w:rPr>
              <w:t>Expenses - GA RPP: Charge Type 148</w:t>
            </w:r>
            <w:r w:rsidRPr="00FE126C">
              <w:rPr>
                <w:rFonts w:ascii="Arial" w:hAnsi="Arial" w:cs="Arial"/>
                <w:sz w:val="20"/>
                <w:szCs w:val="20"/>
              </w:rPr>
              <w:t xml:space="preserve"> with respect and RPP/non-RPP pro-ration percentages</w:t>
            </w:r>
          </w:p>
          <w:p w:rsidR="00795C22" w:rsidRPr="00FE126C" w:rsidRDefault="00795C22" w:rsidP="008F139C">
            <w:pPr>
              <w:rPr>
                <w:rFonts w:ascii="Arial" w:hAnsi="Arial" w:cs="Arial"/>
                <w:sz w:val="20"/>
                <w:szCs w:val="20"/>
              </w:rPr>
            </w:pPr>
          </w:p>
        </w:tc>
        <w:tc>
          <w:tcPr>
            <w:tcW w:w="1870" w:type="dxa"/>
          </w:tcPr>
          <w:p w:rsidR="00795C22" w:rsidRPr="00FE126C" w:rsidRDefault="00017359" w:rsidP="008F139C">
            <w:pPr>
              <w:rPr>
                <w:rFonts w:ascii="Arial" w:hAnsi="Arial" w:cs="Arial"/>
                <w:sz w:val="20"/>
                <w:szCs w:val="20"/>
              </w:rPr>
            </w:pPr>
            <w:r>
              <w:rPr>
                <w:rFonts w:ascii="Arial" w:hAnsi="Arial" w:cs="Arial"/>
                <w:sz w:val="20"/>
                <w:szCs w:val="20"/>
              </w:rPr>
              <w:t>Actual</w:t>
            </w:r>
          </w:p>
        </w:tc>
        <w:tc>
          <w:tcPr>
            <w:tcW w:w="3605" w:type="dxa"/>
          </w:tcPr>
          <w:p w:rsidR="00017359" w:rsidRDefault="00017359" w:rsidP="00017359">
            <w:pPr>
              <w:rPr>
                <w:rFonts w:ascii="Arial" w:hAnsi="Arial" w:cs="Arial"/>
                <w:sz w:val="20"/>
                <w:szCs w:val="20"/>
              </w:rPr>
            </w:pPr>
            <w:r>
              <w:rPr>
                <w:rFonts w:ascii="Arial" w:hAnsi="Arial" w:cs="Arial"/>
                <w:sz w:val="20"/>
                <w:szCs w:val="20"/>
              </w:rPr>
              <w:t xml:space="preserve">Actual GA Split using actual consumption for the month. </w:t>
            </w:r>
            <w:proofErr w:type="spellStart"/>
            <w:r>
              <w:rPr>
                <w:rFonts w:ascii="Arial" w:hAnsi="Arial" w:cs="Arial"/>
                <w:sz w:val="20"/>
                <w:szCs w:val="20"/>
              </w:rPr>
              <w:t>Ie</w:t>
            </w:r>
            <w:proofErr w:type="spellEnd"/>
            <w:r>
              <w:rPr>
                <w:rFonts w:ascii="Arial" w:hAnsi="Arial" w:cs="Arial"/>
                <w:sz w:val="20"/>
                <w:szCs w:val="20"/>
              </w:rPr>
              <w:t>. January billing stats (December consumption) used to record December pro-ration.</w:t>
            </w:r>
          </w:p>
          <w:p w:rsidR="00795C22" w:rsidRPr="00FE126C" w:rsidRDefault="00795C22" w:rsidP="008F139C">
            <w:pPr>
              <w:rPr>
                <w:rFonts w:ascii="Arial" w:hAnsi="Arial" w:cs="Arial"/>
                <w:sz w:val="20"/>
                <w:szCs w:val="20"/>
              </w:rPr>
            </w:pPr>
          </w:p>
        </w:tc>
        <w:tc>
          <w:tcPr>
            <w:tcW w:w="1870" w:type="dxa"/>
          </w:tcPr>
          <w:p w:rsidR="00795C22" w:rsidRPr="00FE126C" w:rsidRDefault="00017359" w:rsidP="008F139C">
            <w:pPr>
              <w:rPr>
                <w:rFonts w:ascii="Arial" w:hAnsi="Arial" w:cs="Arial"/>
                <w:sz w:val="20"/>
                <w:szCs w:val="20"/>
              </w:rPr>
            </w:pPr>
            <w:r>
              <w:rPr>
                <w:rFonts w:ascii="Arial" w:hAnsi="Arial" w:cs="Arial"/>
                <w:sz w:val="20"/>
                <w:szCs w:val="20"/>
              </w:rPr>
              <w:t>N/A</w:t>
            </w:r>
          </w:p>
        </w:tc>
      </w:tr>
      <w:tr w:rsidR="00795C22" w:rsidTr="008F139C">
        <w:tc>
          <w:tcPr>
            <w:tcW w:w="390" w:type="dxa"/>
          </w:tcPr>
          <w:p w:rsidR="00795C22" w:rsidRPr="00FE126C" w:rsidRDefault="00795C22" w:rsidP="008F139C">
            <w:pPr>
              <w:rPr>
                <w:rFonts w:ascii="Arial" w:hAnsi="Arial" w:cs="Arial"/>
                <w:sz w:val="20"/>
                <w:szCs w:val="20"/>
              </w:rPr>
            </w:pPr>
            <w:r>
              <w:rPr>
                <w:rFonts w:ascii="Arial" w:hAnsi="Arial" w:cs="Arial"/>
                <w:sz w:val="20"/>
                <w:szCs w:val="20"/>
              </w:rPr>
              <w:lastRenderedPageBreak/>
              <w:t>v</w:t>
            </w:r>
          </w:p>
        </w:tc>
        <w:tc>
          <w:tcPr>
            <w:tcW w:w="1870" w:type="dxa"/>
          </w:tcPr>
          <w:p w:rsidR="00795C22" w:rsidRPr="00FE126C" w:rsidRDefault="00795C22" w:rsidP="008F139C">
            <w:pPr>
              <w:rPr>
                <w:rFonts w:ascii="Arial" w:hAnsi="Arial" w:cs="Arial"/>
                <w:sz w:val="20"/>
                <w:szCs w:val="20"/>
              </w:rPr>
            </w:pPr>
            <w:r>
              <w:rPr>
                <w:rFonts w:ascii="Arial" w:hAnsi="Arial" w:cs="Arial"/>
                <w:sz w:val="20"/>
                <w:szCs w:val="20"/>
              </w:rPr>
              <w:t>RPP Settlement: Charge Type 142</w:t>
            </w:r>
            <w:r w:rsidRPr="00FE126C">
              <w:rPr>
                <w:rFonts w:ascii="Arial" w:hAnsi="Arial" w:cs="Arial"/>
                <w:sz w:val="20"/>
                <w:szCs w:val="20"/>
              </w:rPr>
              <w:t xml:space="preserve"> </w:t>
            </w:r>
            <w:r w:rsidRPr="007B4E89">
              <w:rPr>
                <w:rFonts w:ascii="Arial" w:hAnsi="Arial" w:cs="Arial"/>
                <w:sz w:val="20"/>
                <w:szCs w:val="20"/>
              </w:rPr>
              <w:t>including any data used for determining the RPP/HOEP/RPP GA components of  the charge type</w:t>
            </w:r>
          </w:p>
          <w:p w:rsidR="00795C22" w:rsidRPr="00FE126C" w:rsidRDefault="00795C22" w:rsidP="008F139C">
            <w:pPr>
              <w:rPr>
                <w:rFonts w:ascii="Arial" w:hAnsi="Arial" w:cs="Arial"/>
                <w:sz w:val="20"/>
                <w:szCs w:val="20"/>
              </w:rPr>
            </w:pPr>
          </w:p>
        </w:tc>
        <w:tc>
          <w:tcPr>
            <w:tcW w:w="1870" w:type="dxa"/>
          </w:tcPr>
          <w:p w:rsidR="00795C22" w:rsidRPr="00FE126C" w:rsidRDefault="00017359" w:rsidP="008F139C">
            <w:pPr>
              <w:rPr>
                <w:rFonts w:ascii="Arial" w:hAnsi="Arial" w:cs="Arial"/>
                <w:sz w:val="20"/>
                <w:szCs w:val="20"/>
              </w:rPr>
            </w:pPr>
            <w:r>
              <w:rPr>
                <w:rFonts w:ascii="Arial" w:hAnsi="Arial" w:cs="Arial"/>
                <w:sz w:val="20"/>
                <w:szCs w:val="20"/>
              </w:rPr>
              <w:t>Actual</w:t>
            </w:r>
          </w:p>
        </w:tc>
        <w:tc>
          <w:tcPr>
            <w:tcW w:w="3605" w:type="dxa"/>
          </w:tcPr>
          <w:p w:rsidR="00795C22" w:rsidRDefault="00017359" w:rsidP="008F139C">
            <w:pPr>
              <w:rPr>
                <w:rFonts w:ascii="Arial" w:hAnsi="Arial" w:cs="Arial"/>
                <w:sz w:val="20"/>
                <w:szCs w:val="20"/>
              </w:rPr>
            </w:pPr>
            <w:r>
              <w:rPr>
                <w:rFonts w:ascii="Arial" w:hAnsi="Arial" w:cs="Arial"/>
                <w:sz w:val="20"/>
                <w:szCs w:val="20"/>
              </w:rPr>
              <w:t>RPP Settlement uses correct consumption, and GA and HOEP rates to calculate the settlement true up.</w:t>
            </w:r>
            <w:r w:rsidR="0021603D">
              <w:rPr>
                <w:rFonts w:ascii="Arial" w:hAnsi="Arial" w:cs="Arial"/>
                <w:sz w:val="20"/>
                <w:szCs w:val="20"/>
              </w:rPr>
              <w:t xml:space="preserve"> This adjust for GA first estimate used with consumption billed in the month.</w:t>
            </w:r>
          </w:p>
          <w:p w:rsidR="00017359" w:rsidRPr="00FE126C" w:rsidRDefault="00017359" w:rsidP="008F139C">
            <w:pPr>
              <w:rPr>
                <w:rFonts w:ascii="Arial" w:hAnsi="Arial" w:cs="Arial"/>
                <w:sz w:val="20"/>
                <w:szCs w:val="20"/>
              </w:rPr>
            </w:pPr>
            <w:r>
              <w:rPr>
                <w:rFonts w:ascii="Arial" w:hAnsi="Arial" w:cs="Arial"/>
                <w:sz w:val="20"/>
                <w:szCs w:val="20"/>
              </w:rPr>
              <w:t>These true ups are included in the subsequent months filing. As per board guidance, the 2016 balance per the DVA continuity includes the RPP settlement true up accrual.</w:t>
            </w:r>
          </w:p>
        </w:tc>
        <w:tc>
          <w:tcPr>
            <w:tcW w:w="1870" w:type="dxa"/>
          </w:tcPr>
          <w:p w:rsidR="00795C22" w:rsidRPr="00FE126C" w:rsidRDefault="0021603D" w:rsidP="008F139C">
            <w:pPr>
              <w:rPr>
                <w:rFonts w:ascii="Arial" w:hAnsi="Arial" w:cs="Arial"/>
                <w:sz w:val="20"/>
                <w:szCs w:val="20"/>
              </w:rPr>
            </w:pPr>
            <w:r>
              <w:rPr>
                <w:rFonts w:ascii="Arial" w:hAnsi="Arial" w:cs="Arial"/>
                <w:sz w:val="20"/>
                <w:szCs w:val="20"/>
              </w:rPr>
              <w:t>$53,556</w:t>
            </w:r>
          </w:p>
        </w:tc>
      </w:tr>
    </w:tbl>
    <w:p w:rsidR="00795C22" w:rsidRDefault="00795C22" w:rsidP="00795C22">
      <w:pPr>
        <w:rPr>
          <w:rFonts w:ascii="Arial" w:hAnsi="Arial" w:cs="Arial"/>
          <w:b/>
          <w:bCs/>
          <w:i/>
          <w:sz w:val="24"/>
          <w:szCs w:val="24"/>
        </w:rPr>
      </w:pPr>
    </w:p>
    <w:p w:rsidR="00795C22" w:rsidRPr="00F1030E" w:rsidRDefault="00FB1A3E" w:rsidP="00795C22">
      <w:pPr>
        <w:rPr>
          <w:rFonts w:ascii="Arial" w:hAnsi="Arial" w:cs="Arial"/>
          <w:sz w:val="24"/>
          <w:szCs w:val="24"/>
        </w:rPr>
      </w:pPr>
      <w:r>
        <w:rPr>
          <w:rFonts w:ascii="Arial" w:hAnsi="Arial" w:cs="Arial"/>
          <w:b/>
          <w:sz w:val="24"/>
          <w:szCs w:val="24"/>
        </w:rPr>
        <w:t>Staff Question-2</w:t>
      </w:r>
    </w:p>
    <w:p w:rsidR="00795C22" w:rsidRDefault="0003180E" w:rsidP="00795C22">
      <w:pPr>
        <w:rPr>
          <w:rFonts w:ascii="Arial" w:hAnsi="Arial" w:cs="Arial"/>
          <w:sz w:val="24"/>
          <w:szCs w:val="24"/>
        </w:rPr>
      </w:pPr>
      <w:r>
        <w:rPr>
          <w:rFonts w:ascii="Arial" w:hAnsi="Arial" w:cs="Arial"/>
          <w:sz w:val="24"/>
          <w:szCs w:val="24"/>
        </w:rPr>
        <w:t>Please confirm the model is updated</w:t>
      </w:r>
      <w:r w:rsidR="00D61A3B">
        <w:rPr>
          <w:rFonts w:ascii="Arial" w:hAnsi="Arial" w:cs="Arial"/>
          <w:sz w:val="24"/>
          <w:szCs w:val="24"/>
        </w:rPr>
        <w:t xml:space="preserve"> correctly</w:t>
      </w:r>
      <w:r>
        <w:rPr>
          <w:rFonts w:ascii="Arial" w:hAnsi="Arial" w:cs="Arial"/>
          <w:sz w:val="24"/>
          <w:szCs w:val="24"/>
        </w:rPr>
        <w:t xml:space="preserve">.  </w:t>
      </w:r>
    </w:p>
    <w:p w:rsidR="007A7908" w:rsidRDefault="007A7908" w:rsidP="00795C22">
      <w:pPr>
        <w:rPr>
          <w:rFonts w:ascii="Arial" w:hAnsi="Arial" w:cs="Arial"/>
          <w:b/>
          <w:sz w:val="24"/>
          <w:szCs w:val="24"/>
        </w:rPr>
      </w:pPr>
      <w:r>
        <w:rPr>
          <w:rFonts w:ascii="Arial" w:hAnsi="Arial" w:cs="Arial"/>
          <w:b/>
          <w:sz w:val="24"/>
          <w:szCs w:val="24"/>
        </w:rPr>
        <w:t>NOW Inc. confirms that the model appears to be updated correctly assuming the following:</w:t>
      </w:r>
    </w:p>
    <w:p w:rsidR="007A7908" w:rsidRDefault="007A7908" w:rsidP="007A7908">
      <w:pPr>
        <w:pStyle w:val="ListParagraph"/>
        <w:numPr>
          <w:ilvl w:val="0"/>
          <w:numId w:val="10"/>
        </w:numPr>
        <w:rPr>
          <w:rFonts w:ascii="Arial" w:hAnsi="Arial" w:cs="Arial"/>
          <w:b/>
          <w:sz w:val="24"/>
          <w:szCs w:val="24"/>
        </w:rPr>
      </w:pPr>
      <w:r>
        <w:rPr>
          <w:rFonts w:ascii="Arial" w:hAnsi="Arial" w:cs="Arial"/>
          <w:b/>
          <w:sz w:val="24"/>
          <w:szCs w:val="24"/>
        </w:rPr>
        <w:t>UTR rates for 2018 are to be $3.52 for Network, $0.88 for Connection, and $2.13 for Transformation.</w:t>
      </w:r>
    </w:p>
    <w:p w:rsidR="007A7908" w:rsidRDefault="007A7908" w:rsidP="007A7908">
      <w:pPr>
        <w:pStyle w:val="ListParagraph"/>
        <w:numPr>
          <w:ilvl w:val="0"/>
          <w:numId w:val="10"/>
        </w:numPr>
        <w:rPr>
          <w:rFonts w:ascii="Arial" w:hAnsi="Arial" w:cs="Arial"/>
          <w:b/>
          <w:sz w:val="24"/>
          <w:szCs w:val="24"/>
        </w:rPr>
      </w:pPr>
      <w:r>
        <w:rPr>
          <w:rFonts w:ascii="Arial" w:hAnsi="Arial" w:cs="Arial"/>
          <w:b/>
          <w:sz w:val="24"/>
          <w:szCs w:val="24"/>
        </w:rPr>
        <w:t>Price escalator is 1.2%.</w:t>
      </w:r>
    </w:p>
    <w:p w:rsidR="00971E9D" w:rsidRPr="00971E9D" w:rsidRDefault="00971E9D" w:rsidP="00971E9D">
      <w:pPr>
        <w:rPr>
          <w:rFonts w:ascii="Arial" w:hAnsi="Arial" w:cs="Arial"/>
          <w:b/>
          <w:sz w:val="24"/>
          <w:szCs w:val="24"/>
        </w:rPr>
      </w:pPr>
      <w:r>
        <w:rPr>
          <w:rFonts w:ascii="Arial" w:hAnsi="Arial" w:cs="Arial"/>
          <w:b/>
          <w:sz w:val="24"/>
          <w:szCs w:val="24"/>
        </w:rPr>
        <w:t>NOW Inc. notes that EB-2016-0160, EB 2017-0359 for 2018 Ontario UTR Schedules effective January 1, 2018 that the Network rate is $3.59, Connection is $0.94 and Transformation is $2.33. If this is the correct information, than it is the only thing other than Hydro One sub-transmission rates (not yet available) that need to be updated.</w:t>
      </w:r>
      <w:r w:rsidR="007E79E9">
        <w:rPr>
          <w:rFonts w:ascii="Arial" w:hAnsi="Arial" w:cs="Arial"/>
          <w:b/>
          <w:sz w:val="24"/>
          <w:szCs w:val="24"/>
        </w:rPr>
        <w:t xml:space="preserve"> (See attached pdf).</w:t>
      </w:r>
      <w:bookmarkStart w:id="0" w:name="_GoBack"/>
      <w:bookmarkEnd w:id="0"/>
    </w:p>
    <w:p w:rsidR="00F1030E" w:rsidRPr="00F1030E" w:rsidRDefault="00F1030E" w:rsidP="00F1030E">
      <w:pPr>
        <w:rPr>
          <w:rFonts w:ascii="Arial" w:hAnsi="Arial" w:cs="Arial"/>
          <w:sz w:val="24"/>
          <w:szCs w:val="24"/>
        </w:rPr>
      </w:pPr>
    </w:p>
    <w:p w:rsidR="00F46F68" w:rsidRDefault="00F46F68" w:rsidP="00F46F68">
      <w:pPr>
        <w:pStyle w:val="ListParagraph"/>
        <w:rPr>
          <w:rFonts w:ascii="Arial" w:hAnsi="Arial" w:cs="Arial"/>
          <w:sz w:val="24"/>
          <w:szCs w:val="24"/>
        </w:rPr>
      </w:pPr>
    </w:p>
    <w:p w:rsidR="0086149C" w:rsidRDefault="0086149C" w:rsidP="00F46F68">
      <w:pPr>
        <w:rPr>
          <w:rFonts w:ascii="Arial" w:hAnsi="Arial" w:cs="Arial"/>
          <w:b/>
          <w:sz w:val="24"/>
          <w:szCs w:val="24"/>
        </w:rPr>
      </w:pPr>
    </w:p>
    <w:p w:rsidR="0086149C" w:rsidRDefault="0086149C" w:rsidP="00F46F68">
      <w:pPr>
        <w:rPr>
          <w:rFonts w:ascii="Arial" w:hAnsi="Arial" w:cs="Arial"/>
          <w:b/>
          <w:sz w:val="24"/>
          <w:szCs w:val="24"/>
        </w:rPr>
      </w:pPr>
    </w:p>
    <w:p w:rsidR="0086149C" w:rsidRDefault="0086149C" w:rsidP="00F46F68">
      <w:pPr>
        <w:rPr>
          <w:rFonts w:ascii="Arial" w:hAnsi="Arial" w:cs="Arial"/>
          <w:b/>
          <w:sz w:val="24"/>
          <w:szCs w:val="24"/>
        </w:rPr>
      </w:pPr>
    </w:p>
    <w:p w:rsidR="00050D4A" w:rsidRDefault="00050D4A" w:rsidP="00F46F68">
      <w:pPr>
        <w:rPr>
          <w:rFonts w:ascii="Arial" w:hAnsi="Arial" w:cs="Arial"/>
          <w:b/>
          <w:sz w:val="24"/>
          <w:szCs w:val="24"/>
        </w:rPr>
      </w:pPr>
    </w:p>
    <w:sectPr w:rsidR="00050D4A"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185B"/>
    <w:multiLevelType w:val="hybridMultilevel"/>
    <w:tmpl w:val="F886B390"/>
    <w:lvl w:ilvl="0" w:tplc="153A983E">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A207542"/>
    <w:multiLevelType w:val="hybridMultilevel"/>
    <w:tmpl w:val="49E2ED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36578E"/>
    <w:multiLevelType w:val="hybridMultilevel"/>
    <w:tmpl w:val="3762FD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172B3E"/>
    <w:multiLevelType w:val="hybridMultilevel"/>
    <w:tmpl w:val="35CE7FC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14D7B40"/>
    <w:multiLevelType w:val="hybridMultilevel"/>
    <w:tmpl w:val="11BA69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54A18"/>
    <w:multiLevelType w:val="hybridMultilevel"/>
    <w:tmpl w:val="A52065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9A726D"/>
    <w:multiLevelType w:val="hybridMultilevel"/>
    <w:tmpl w:val="034E384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27D778E"/>
    <w:multiLevelType w:val="hybridMultilevel"/>
    <w:tmpl w:val="AE186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AD0ABD"/>
    <w:multiLevelType w:val="hybridMultilevel"/>
    <w:tmpl w:val="032E5D7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8"/>
  </w:num>
  <w:num w:numId="5">
    <w:abstractNumId w:val="5"/>
  </w:num>
  <w:num w:numId="6">
    <w:abstractNumId w:val="4"/>
  </w:num>
  <w:num w:numId="7">
    <w:abstractNumId w:val="7"/>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A1"/>
    <w:rsid w:val="00017359"/>
    <w:rsid w:val="0003180E"/>
    <w:rsid w:val="00050D4A"/>
    <w:rsid w:val="00082AD7"/>
    <w:rsid w:val="001A01C3"/>
    <w:rsid w:val="0021603D"/>
    <w:rsid w:val="00266368"/>
    <w:rsid w:val="00292AD2"/>
    <w:rsid w:val="002F4C94"/>
    <w:rsid w:val="00367490"/>
    <w:rsid w:val="003742D2"/>
    <w:rsid w:val="003963A0"/>
    <w:rsid w:val="003D4A1A"/>
    <w:rsid w:val="003E0D7E"/>
    <w:rsid w:val="00412DC6"/>
    <w:rsid w:val="00416208"/>
    <w:rsid w:val="004A4BF9"/>
    <w:rsid w:val="004C014D"/>
    <w:rsid w:val="004E2CA1"/>
    <w:rsid w:val="005216C4"/>
    <w:rsid w:val="00530CB7"/>
    <w:rsid w:val="00667608"/>
    <w:rsid w:val="006F43AD"/>
    <w:rsid w:val="007365AC"/>
    <w:rsid w:val="00746080"/>
    <w:rsid w:val="0079571E"/>
    <w:rsid w:val="00795C22"/>
    <w:rsid w:val="007A7908"/>
    <w:rsid w:val="007E79E9"/>
    <w:rsid w:val="007E7FE2"/>
    <w:rsid w:val="00803EF5"/>
    <w:rsid w:val="00842974"/>
    <w:rsid w:val="008440E2"/>
    <w:rsid w:val="0086149C"/>
    <w:rsid w:val="00862176"/>
    <w:rsid w:val="0087103D"/>
    <w:rsid w:val="00875BAD"/>
    <w:rsid w:val="0087710C"/>
    <w:rsid w:val="00907297"/>
    <w:rsid w:val="00952496"/>
    <w:rsid w:val="00971E9D"/>
    <w:rsid w:val="009A2D3D"/>
    <w:rsid w:val="009B029E"/>
    <w:rsid w:val="009D28D0"/>
    <w:rsid w:val="009D2D4A"/>
    <w:rsid w:val="00A345F8"/>
    <w:rsid w:val="00AA06D9"/>
    <w:rsid w:val="00AB0889"/>
    <w:rsid w:val="00B25576"/>
    <w:rsid w:val="00B57ECA"/>
    <w:rsid w:val="00BC628A"/>
    <w:rsid w:val="00CF3054"/>
    <w:rsid w:val="00D31CA2"/>
    <w:rsid w:val="00D61A3B"/>
    <w:rsid w:val="00DE08F5"/>
    <w:rsid w:val="00E40F50"/>
    <w:rsid w:val="00EA0919"/>
    <w:rsid w:val="00F1030E"/>
    <w:rsid w:val="00F46F68"/>
    <w:rsid w:val="00F76DB7"/>
    <w:rsid w:val="00FB1A3E"/>
    <w:rsid w:val="00FE10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9364C-73DC-4A84-8324-F78055F0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A1"/>
    <w:rPr>
      <w:rFonts w:ascii="Tahoma" w:hAnsi="Tahoma" w:cs="Tahoma"/>
      <w:sz w:val="16"/>
      <w:szCs w:val="16"/>
    </w:rPr>
  </w:style>
  <w:style w:type="paragraph" w:customStyle="1" w:styleId="Default">
    <w:name w:val="Default"/>
    <w:rsid w:val="0087710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67490"/>
    <w:pPr>
      <w:ind w:left="720"/>
      <w:contextualSpacing/>
    </w:pPr>
  </w:style>
  <w:style w:type="character" w:styleId="CommentReference">
    <w:name w:val="annotation reference"/>
    <w:basedOn w:val="DefaultParagraphFont"/>
    <w:uiPriority w:val="99"/>
    <w:semiHidden/>
    <w:unhideWhenUsed/>
    <w:rsid w:val="009B029E"/>
    <w:rPr>
      <w:sz w:val="16"/>
      <w:szCs w:val="16"/>
    </w:rPr>
  </w:style>
  <w:style w:type="paragraph" w:styleId="CommentText">
    <w:name w:val="annotation text"/>
    <w:basedOn w:val="Normal"/>
    <w:link w:val="CommentTextChar"/>
    <w:uiPriority w:val="99"/>
    <w:semiHidden/>
    <w:unhideWhenUsed/>
    <w:rsid w:val="009B029E"/>
    <w:pPr>
      <w:spacing w:line="240" w:lineRule="auto"/>
    </w:pPr>
    <w:rPr>
      <w:sz w:val="20"/>
      <w:szCs w:val="20"/>
    </w:rPr>
  </w:style>
  <w:style w:type="character" w:customStyle="1" w:styleId="CommentTextChar">
    <w:name w:val="Comment Text Char"/>
    <w:basedOn w:val="DefaultParagraphFont"/>
    <w:link w:val="CommentText"/>
    <w:uiPriority w:val="99"/>
    <w:semiHidden/>
    <w:rsid w:val="009B029E"/>
    <w:rPr>
      <w:sz w:val="20"/>
      <w:szCs w:val="20"/>
    </w:rPr>
  </w:style>
  <w:style w:type="paragraph" w:styleId="CommentSubject">
    <w:name w:val="annotation subject"/>
    <w:basedOn w:val="CommentText"/>
    <w:next w:val="CommentText"/>
    <w:link w:val="CommentSubjectChar"/>
    <w:uiPriority w:val="99"/>
    <w:semiHidden/>
    <w:unhideWhenUsed/>
    <w:rsid w:val="009B029E"/>
    <w:rPr>
      <w:b/>
      <w:bCs/>
    </w:rPr>
  </w:style>
  <w:style w:type="character" w:customStyle="1" w:styleId="CommentSubjectChar">
    <w:name w:val="Comment Subject Char"/>
    <w:basedOn w:val="CommentTextChar"/>
    <w:link w:val="CommentSubject"/>
    <w:uiPriority w:val="99"/>
    <w:semiHidden/>
    <w:rsid w:val="009B029E"/>
    <w:rPr>
      <w:b/>
      <w:bCs/>
      <w:sz w:val="20"/>
      <w:szCs w:val="20"/>
    </w:rPr>
  </w:style>
  <w:style w:type="table" w:styleId="TableGrid">
    <w:name w:val="Table Grid"/>
    <w:basedOn w:val="TableNormal"/>
    <w:uiPriority w:val="59"/>
    <w:rsid w:val="0079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Benincasa</dc:creator>
  <cp:lastModifiedBy>Geoffrey Sutton</cp:lastModifiedBy>
  <cp:revision>9</cp:revision>
  <dcterms:created xsi:type="dcterms:W3CDTF">2018-01-03T20:22:00Z</dcterms:created>
  <dcterms:modified xsi:type="dcterms:W3CDTF">2018-01-04T21:15:00Z</dcterms:modified>
</cp:coreProperties>
</file>