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0" w:rsidRPr="00394351" w:rsidRDefault="0029152A" w:rsidP="00D0773D">
      <w:pPr>
        <w:jc w:val="center"/>
        <w:rPr>
          <w:rFonts w:ascii="Arial" w:hAnsi="Arial" w:cs="Arial"/>
          <w:b/>
          <w:sz w:val="28"/>
          <w:szCs w:val="28"/>
        </w:rPr>
      </w:pPr>
      <w:r>
        <w:rPr>
          <w:rFonts w:ascii="Arial" w:hAnsi="Arial" w:cs="Arial"/>
          <w:b/>
          <w:sz w:val="28"/>
          <w:szCs w:val="28"/>
        </w:rPr>
        <w:t>Orangeville Hydro Limited</w:t>
      </w:r>
    </w:p>
    <w:p w:rsidR="00394351" w:rsidRDefault="00394351" w:rsidP="00394351">
      <w:pPr>
        <w:jc w:val="center"/>
        <w:rPr>
          <w:rFonts w:ascii="Arial" w:hAnsi="Arial" w:cs="Arial"/>
          <w:b/>
          <w:sz w:val="28"/>
          <w:szCs w:val="28"/>
        </w:rPr>
      </w:pPr>
      <w:r>
        <w:rPr>
          <w:rFonts w:ascii="Arial" w:hAnsi="Arial" w:cs="Arial"/>
          <w:b/>
          <w:sz w:val="28"/>
          <w:szCs w:val="28"/>
        </w:rPr>
        <w:t xml:space="preserve"> </w:t>
      </w:r>
      <w:r w:rsidR="00D0773D">
        <w:rPr>
          <w:rFonts w:ascii="Arial" w:hAnsi="Arial" w:cs="Arial"/>
          <w:b/>
          <w:sz w:val="28"/>
          <w:szCs w:val="28"/>
        </w:rPr>
        <w:t>EB-201</w:t>
      </w:r>
      <w:r w:rsidR="0029152A">
        <w:rPr>
          <w:rFonts w:ascii="Arial" w:hAnsi="Arial" w:cs="Arial"/>
          <w:b/>
          <w:sz w:val="28"/>
          <w:szCs w:val="28"/>
        </w:rPr>
        <w:t>7-0068</w:t>
      </w:r>
      <w:r w:rsidR="00B20109">
        <w:rPr>
          <w:rFonts w:ascii="Arial" w:hAnsi="Arial" w:cs="Arial"/>
          <w:b/>
          <w:sz w:val="28"/>
          <w:szCs w:val="28"/>
        </w:rPr>
        <w:t xml:space="preserve">                                                                                                                                                                                                                                                                                                                                                    </w:t>
      </w:r>
      <w:r w:rsidR="006125B7">
        <w:rPr>
          <w:rFonts w:ascii="Arial" w:hAnsi="Arial" w:cs="Arial"/>
          <w:b/>
          <w:sz w:val="28"/>
          <w:szCs w:val="28"/>
        </w:rPr>
        <w:t xml:space="preserve">                             </w:t>
      </w:r>
    </w:p>
    <w:p w:rsidR="00304228" w:rsidRPr="00EF4142" w:rsidRDefault="00304228" w:rsidP="00CC447E">
      <w:pPr>
        <w:jc w:val="center"/>
        <w:rPr>
          <w:rFonts w:ascii="Arial" w:hAnsi="Arial" w:cs="Arial"/>
          <w:b/>
          <w:sz w:val="28"/>
          <w:szCs w:val="28"/>
        </w:rPr>
      </w:pPr>
      <w:r w:rsidRPr="00EF4142">
        <w:rPr>
          <w:rFonts w:ascii="Arial" w:hAnsi="Arial" w:cs="Arial"/>
          <w:b/>
          <w:sz w:val="28"/>
          <w:szCs w:val="28"/>
        </w:rPr>
        <w:t>Staff Questions</w:t>
      </w:r>
    </w:p>
    <w:p w:rsidR="00E6651E" w:rsidRPr="00304228" w:rsidRDefault="00EF4142" w:rsidP="00304228">
      <w:pPr>
        <w:jc w:val="center"/>
        <w:rPr>
          <w:rFonts w:ascii="Arial" w:hAnsi="Arial" w:cs="Arial"/>
          <w:b/>
          <w:sz w:val="24"/>
          <w:szCs w:val="28"/>
        </w:rPr>
      </w:pPr>
      <w:r w:rsidRPr="00EF4142">
        <w:rPr>
          <w:rFonts w:ascii="Arial" w:hAnsi="Arial" w:cs="Arial"/>
          <w:b/>
          <w:sz w:val="24"/>
          <w:szCs w:val="28"/>
        </w:rPr>
        <w:t>January 10</w:t>
      </w:r>
      <w:r w:rsidR="0029152A" w:rsidRPr="00EF4142">
        <w:rPr>
          <w:rFonts w:ascii="Arial" w:hAnsi="Arial" w:cs="Arial"/>
          <w:b/>
          <w:sz w:val="24"/>
          <w:szCs w:val="28"/>
        </w:rPr>
        <w:t>, 2018</w:t>
      </w:r>
    </w:p>
    <w:p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rsidR="00F72F89" w:rsidRDefault="006125B7" w:rsidP="006B6E93">
      <w:pPr>
        <w:rPr>
          <w:rFonts w:ascii="Arial" w:hAnsi="Arial" w:cs="Arial"/>
          <w:b/>
          <w:sz w:val="24"/>
          <w:szCs w:val="24"/>
        </w:rPr>
      </w:pPr>
      <w:r>
        <w:rPr>
          <w:rFonts w:ascii="Arial" w:hAnsi="Arial" w:cs="Arial"/>
          <w:b/>
          <w:sz w:val="24"/>
          <w:szCs w:val="24"/>
        </w:rPr>
        <w:t xml:space="preserve">Ref: </w:t>
      </w:r>
      <w:r w:rsidR="009D5143">
        <w:rPr>
          <w:rFonts w:ascii="Arial" w:hAnsi="Arial" w:cs="Arial"/>
          <w:b/>
          <w:sz w:val="24"/>
          <w:szCs w:val="24"/>
        </w:rPr>
        <w:t xml:space="preserve">IRM Model </w:t>
      </w:r>
      <w:r w:rsidR="00DD09DC">
        <w:rPr>
          <w:rFonts w:ascii="Arial" w:hAnsi="Arial" w:cs="Arial"/>
          <w:b/>
          <w:sz w:val="24"/>
          <w:szCs w:val="24"/>
        </w:rPr>
        <w:t>Ta</w:t>
      </w:r>
      <w:r w:rsidR="00EC26AE">
        <w:rPr>
          <w:rFonts w:ascii="Arial" w:hAnsi="Arial" w:cs="Arial"/>
          <w:b/>
          <w:sz w:val="24"/>
          <w:szCs w:val="24"/>
        </w:rPr>
        <w:t xml:space="preserve">b </w:t>
      </w:r>
      <w:r w:rsidR="00B20109">
        <w:rPr>
          <w:rFonts w:ascii="Arial" w:hAnsi="Arial" w:cs="Arial"/>
          <w:b/>
          <w:sz w:val="24"/>
          <w:szCs w:val="24"/>
        </w:rPr>
        <w:t>3</w:t>
      </w:r>
      <w:r w:rsidR="00EC26AE">
        <w:rPr>
          <w:rFonts w:ascii="Arial" w:hAnsi="Arial" w:cs="Arial"/>
          <w:b/>
          <w:sz w:val="24"/>
          <w:szCs w:val="24"/>
        </w:rPr>
        <w:t xml:space="preserve">: </w:t>
      </w:r>
      <w:r w:rsidR="009D5143">
        <w:rPr>
          <w:rFonts w:ascii="Arial" w:hAnsi="Arial" w:cs="Arial"/>
          <w:b/>
          <w:sz w:val="24"/>
          <w:szCs w:val="24"/>
        </w:rPr>
        <w:t>Account 158</w:t>
      </w:r>
      <w:r w:rsidR="006B6E93">
        <w:rPr>
          <w:rFonts w:ascii="Arial" w:hAnsi="Arial" w:cs="Arial"/>
          <w:b/>
          <w:sz w:val="24"/>
          <w:szCs w:val="24"/>
        </w:rPr>
        <w:t>9</w:t>
      </w:r>
      <w:r>
        <w:rPr>
          <w:rFonts w:ascii="Arial" w:hAnsi="Arial" w:cs="Arial"/>
          <w:b/>
          <w:sz w:val="24"/>
          <w:szCs w:val="24"/>
        </w:rPr>
        <w:t xml:space="preserve"> </w:t>
      </w:r>
      <w:r w:rsidR="006B6E93">
        <w:rPr>
          <w:rFonts w:ascii="Arial" w:hAnsi="Arial" w:cs="Arial"/>
          <w:b/>
          <w:sz w:val="24"/>
          <w:szCs w:val="24"/>
        </w:rPr>
        <w:t>RSVA GA</w:t>
      </w:r>
      <w:r w:rsidR="009D5143">
        <w:rPr>
          <w:rFonts w:ascii="Arial" w:hAnsi="Arial" w:cs="Arial"/>
          <w:b/>
          <w:sz w:val="24"/>
          <w:szCs w:val="24"/>
        </w:rPr>
        <w:t xml:space="preserve"> </w:t>
      </w:r>
      <w:r w:rsidR="006B6E93">
        <w:rPr>
          <w:rFonts w:ascii="Arial" w:hAnsi="Arial" w:cs="Arial"/>
          <w:b/>
          <w:sz w:val="24"/>
          <w:szCs w:val="24"/>
        </w:rPr>
        <w:t>-</w:t>
      </w:r>
      <w:r w:rsidR="006B6E93" w:rsidRPr="006B6E93">
        <w:rPr>
          <w:rFonts w:ascii="Arial" w:hAnsi="Arial" w:cs="Arial"/>
          <w:b/>
          <w:sz w:val="24"/>
          <w:szCs w:val="24"/>
        </w:rPr>
        <w:t xml:space="preserve"> </w:t>
      </w:r>
      <w:r w:rsidR="006B6E93">
        <w:rPr>
          <w:rFonts w:ascii="Arial" w:hAnsi="Arial" w:cs="Arial"/>
          <w:b/>
          <w:sz w:val="24"/>
          <w:szCs w:val="24"/>
        </w:rPr>
        <w:t xml:space="preserve">RPP settlement </w:t>
      </w:r>
      <w:proofErr w:type="gramStart"/>
      <w:r w:rsidR="006B6E93">
        <w:rPr>
          <w:rFonts w:ascii="Arial" w:hAnsi="Arial" w:cs="Arial"/>
          <w:b/>
          <w:sz w:val="24"/>
          <w:szCs w:val="24"/>
        </w:rPr>
        <w:t>true-up</w:t>
      </w:r>
      <w:proofErr w:type="gramEnd"/>
      <w:r w:rsidR="003B43E7">
        <w:rPr>
          <w:rFonts w:ascii="Arial" w:hAnsi="Arial" w:cs="Arial"/>
          <w:b/>
          <w:sz w:val="24"/>
          <w:szCs w:val="24"/>
        </w:rPr>
        <w:t>;</w:t>
      </w:r>
    </w:p>
    <w:p w:rsidR="00DA14AA" w:rsidRDefault="00DA14AA" w:rsidP="0001354E">
      <w:pPr>
        <w:rPr>
          <w:rFonts w:ascii="Arial" w:hAnsi="Arial" w:cs="Arial"/>
          <w:b/>
          <w:sz w:val="24"/>
          <w:szCs w:val="24"/>
        </w:rPr>
      </w:pPr>
      <w:r>
        <w:rPr>
          <w:rFonts w:ascii="Arial" w:hAnsi="Arial" w:cs="Arial"/>
          <w:b/>
          <w:sz w:val="24"/>
          <w:szCs w:val="24"/>
        </w:rPr>
        <w:t xml:space="preserve">GA Analysis </w:t>
      </w:r>
      <w:proofErr w:type="spellStart"/>
      <w:r>
        <w:rPr>
          <w:rFonts w:ascii="Arial" w:hAnsi="Arial" w:cs="Arial"/>
          <w:b/>
          <w:sz w:val="24"/>
          <w:szCs w:val="24"/>
        </w:rPr>
        <w:t>Workform</w:t>
      </w:r>
      <w:proofErr w:type="spellEnd"/>
      <w:r>
        <w:rPr>
          <w:rFonts w:ascii="Arial" w:hAnsi="Arial" w:cs="Arial"/>
          <w:b/>
          <w:sz w:val="24"/>
          <w:szCs w:val="24"/>
        </w:rPr>
        <w:t xml:space="preserve"> – Note 5 - Reconciling Item 1b</w:t>
      </w:r>
    </w:p>
    <w:p w:rsidR="00DD749A" w:rsidRDefault="00DD749A" w:rsidP="00601C3B">
      <w:pPr>
        <w:rPr>
          <w:rFonts w:ascii="Arial" w:hAnsi="Arial" w:cs="Arial"/>
          <w:sz w:val="24"/>
          <w:szCs w:val="24"/>
        </w:rPr>
      </w:pPr>
      <w:r>
        <w:rPr>
          <w:rFonts w:ascii="Arial" w:hAnsi="Arial" w:cs="Arial"/>
          <w:sz w:val="24"/>
          <w:szCs w:val="24"/>
        </w:rPr>
        <w:t>As indicated in note 4 on tab 3 of the IRM model, effective May 23, 2017, per the OEB’s letter titled Guidance on Disposition of Accounts 1588 and 1589, applicants must reflect RPP settlement true-up claims pertaining to the period that is being requested for disposition in Accounts 1588</w:t>
      </w:r>
      <w:r w:rsidR="003B43E7">
        <w:rPr>
          <w:rFonts w:ascii="Arial" w:hAnsi="Arial" w:cs="Arial"/>
          <w:sz w:val="24"/>
          <w:szCs w:val="24"/>
        </w:rPr>
        <w:t xml:space="preserve"> and </w:t>
      </w:r>
      <w:r>
        <w:rPr>
          <w:rFonts w:ascii="Arial" w:hAnsi="Arial" w:cs="Arial"/>
          <w:sz w:val="24"/>
          <w:szCs w:val="24"/>
        </w:rPr>
        <w:t xml:space="preserve">1589. </w:t>
      </w:r>
      <w:r w:rsidRPr="00DD749A">
        <w:rPr>
          <w:rFonts w:ascii="Arial" w:hAnsi="Arial" w:cs="Arial"/>
          <w:sz w:val="24"/>
          <w:szCs w:val="24"/>
        </w:rPr>
        <w:t xml:space="preserve">This is to include true ups that impact the GA as well. The amount requested for disposition starts with the audited account balance. If the audited account balance does not reflect the true-up claims for that year, the impacts of the true-up claims are to </w:t>
      </w:r>
      <w:proofErr w:type="gramStart"/>
      <w:r w:rsidRPr="00DD749A">
        <w:rPr>
          <w:rFonts w:ascii="Arial" w:hAnsi="Arial" w:cs="Arial"/>
          <w:sz w:val="24"/>
          <w:szCs w:val="24"/>
        </w:rPr>
        <w:t>be shown</w:t>
      </w:r>
      <w:proofErr w:type="gramEnd"/>
      <w:r w:rsidRPr="00DD749A">
        <w:rPr>
          <w:rFonts w:ascii="Arial" w:hAnsi="Arial" w:cs="Arial"/>
          <w:sz w:val="24"/>
          <w:szCs w:val="24"/>
        </w:rPr>
        <w:t xml:space="preserve"> in the Adjustment column in that year. </w:t>
      </w:r>
    </w:p>
    <w:p w:rsidR="00DD749A" w:rsidRDefault="00DD749A" w:rsidP="00601C3B">
      <w:pPr>
        <w:rPr>
          <w:rFonts w:ascii="Arial" w:hAnsi="Arial" w:cs="Arial"/>
          <w:sz w:val="24"/>
          <w:szCs w:val="24"/>
        </w:rPr>
      </w:pPr>
      <w:r>
        <w:rPr>
          <w:rFonts w:ascii="Arial" w:hAnsi="Arial" w:cs="Arial"/>
          <w:sz w:val="24"/>
          <w:szCs w:val="24"/>
        </w:rPr>
        <w:t xml:space="preserve">In Note 5 of the GA Analysis </w:t>
      </w:r>
      <w:proofErr w:type="spellStart"/>
      <w:r>
        <w:rPr>
          <w:rFonts w:ascii="Arial" w:hAnsi="Arial" w:cs="Arial"/>
          <w:sz w:val="24"/>
          <w:szCs w:val="24"/>
        </w:rPr>
        <w:t>Workform</w:t>
      </w:r>
      <w:proofErr w:type="spellEnd"/>
      <w:r>
        <w:rPr>
          <w:rFonts w:ascii="Arial" w:hAnsi="Arial" w:cs="Arial"/>
          <w:sz w:val="24"/>
          <w:szCs w:val="24"/>
        </w:rPr>
        <w:t>, Orangeville Hydro reported a reconciling item 1b</w:t>
      </w:r>
      <w:r w:rsidR="005B1BA0">
        <w:rPr>
          <w:rFonts w:ascii="Arial" w:hAnsi="Arial" w:cs="Arial"/>
          <w:sz w:val="24"/>
          <w:szCs w:val="24"/>
        </w:rPr>
        <w:t xml:space="preserve"> in amount of -$68,409 related to 2016 RPP settlement true-up that was booked in 2017.</w:t>
      </w:r>
    </w:p>
    <w:p w:rsidR="009D5143" w:rsidRPr="005B1BA0" w:rsidRDefault="005B1BA0" w:rsidP="009D5143">
      <w:pPr>
        <w:pStyle w:val="ListParagraph"/>
        <w:numPr>
          <w:ilvl w:val="0"/>
          <w:numId w:val="32"/>
        </w:numPr>
        <w:rPr>
          <w:rFonts w:ascii="Arial" w:hAnsi="Arial" w:cs="Arial"/>
          <w:sz w:val="24"/>
          <w:szCs w:val="24"/>
        </w:rPr>
      </w:pPr>
      <w:r>
        <w:rPr>
          <w:rFonts w:ascii="Arial" w:hAnsi="Arial" w:cs="Arial"/>
          <w:sz w:val="24"/>
          <w:szCs w:val="24"/>
        </w:rPr>
        <w:t xml:space="preserve">Please confirm if this RPP settlement true-up amount </w:t>
      </w:r>
      <w:proofErr w:type="gramStart"/>
      <w:r>
        <w:rPr>
          <w:rFonts w:ascii="Arial" w:hAnsi="Arial" w:cs="Arial"/>
          <w:sz w:val="24"/>
          <w:szCs w:val="24"/>
        </w:rPr>
        <w:t>should be recorded</w:t>
      </w:r>
      <w:proofErr w:type="gramEnd"/>
      <w:r>
        <w:rPr>
          <w:rFonts w:ascii="Arial" w:hAnsi="Arial" w:cs="Arial"/>
          <w:sz w:val="24"/>
          <w:szCs w:val="24"/>
        </w:rPr>
        <w:t xml:space="preserve"> in the principal adjustment column in 2016 in the DVA continuity schedule. If so, please update the IRM model to include this adjustment</w:t>
      </w:r>
      <w:r w:rsidR="00EF4142">
        <w:rPr>
          <w:rFonts w:ascii="Arial" w:hAnsi="Arial" w:cs="Arial"/>
          <w:sz w:val="24"/>
          <w:szCs w:val="24"/>
        </w:rPr>
        <w:t xml:space="preserve"> (and include the updated model in your responses)</w:t>
      </w:r>
      <w:bookmarkStart w:id="0" w:name="_GoBack"/>
      <w:bookmarkEnd w:id="0"/>
      <w:r>
        <w:rPr>
          <w:rFonts w:ascii="Arial" w:hAnsi="Arial" w:cs="Arial"/>
          <w:sz w:val="24"/>
          <w:szCs w:val="24"/>
        </w:rPr>
        <w:t xml:space="preserve">. Otherwise, please explain why the RPP true-up amount </w:t>
      </w:r>
      <w:proofErr w:type="gramStart"/>
      <w:r>
        <w:rPr>
          <w:rFonts w:ascii="Arial" w:hAnsi="Arial" w:cs="Arial"/>
          <w:sz w:val="24"/>
          <w:szCs w:val="24"/>
        </w:rPr>
        <w:t>should not be recorded</w:t>
      </w:r>
      <w:proofErr w:type="gramEnd"/>
      <w:r>
        <w:rPr>
          <w:rFonts w:ascii="Arial" w:hAnsi="Arial" w:cs="Arial"/>
          <w:sz w:val="24"/>
          <w:szCs w:val="24"/>
        </w:rPr>
        <w:t xml:space="preserve"> in the DVA continuity schedule.</w:t>
      </w:r>
    </w:p>
    <w:p w:rsidR="00347AE0" w:rsidRDefault="00347AE0" w:rsidP="0001354E">
      <w:pPr>
        <w:rPr>
          <w:rFonts w:ascii="Arial" w:hAnsi="Arial" w:cs="Arial"/>
          <w:b/>
          <w:sz w:val="24"/>
          <w:szCs w:val="24"/>
        </w:rPr>
      </w:pPr>
    </w:p>
    <w:p w:rsidR="005B1BA0" w:rsidRDefault="005B1BA0" w:rsidP="0001354E">
      <w:pPr>
        <w:rPr>
          <w:rFonts w:ascii="Arial" w:hAnsi="Arial" w:cs="Arial"/>
          <w:b/>
          <w:sz w:val="24"/>
          <w:szCs w:val="24"/>
        </w:rPr>
      </w:pPr>
    </w:p>
    <w:p w:rsidR="00B314F3" w:rsidRDefault="00304228" w:rsidP="0001354E">
      <w:pPr>
        <w:rPr>
          <w:rFonts w:ascii="Arial" w:hAnsi="Arial" w:cs="Arial"/>
          <w:b/>
          <w:sz w:val="24"/>
          <w:szCs w:val="24"/>
        </w:rPr>
      </w:pPr>
      <w:r>
        <w:rPr>
          <w:rFonts w:ascii="Arial" w:hAnsi="Arial" w:cs="Arial"/>
          <w:b/>
          <w:sz w:val="24"/>
          <w:szCs w:val="24"/>
        </w:rPr>
        <w:t>Question</w:t>
      </w:r>
      <w:r w:rsidR="008539D9">
        <w:rPr>
          <w:rFonts w:ascii="Arial" w:hAnsi="Arial" w:cs="Arial"/>
          <w:b/>
          <w:sz w:val="24"/>
          <w:szCs w:val="24"/>
        </w:rPr>
        <w:t xml:space="preserve"> #</w:t>
      </w:r>
      <w:r w:rsidR="003F7D01">
        <w:rPr>
          <w:rFonts w:ascii="Arial" w:hAnsi="Arial" w:cs="Arial"/>
          <w:b/>
          <w:sz w:val="24"/>
          <w:szCs w:val="24"/>
        </w:rPr>
        <w:t>2</w:t>
      </w:r>
    </w:p>
    <w:p w:rsidR="00B314F3" w:rsidRDefault="002B7C64" w:rsidP="0001354E">
      <w:pPr>
        <w:rPr>
          <w:rFonts w:ascii="Arial" w:hAnsi="Arial" w:cs="Arial"/>
          <w:b/>
          <w:sz w:val="24"/>
          <w:szCs w:val="24"/>
        </w:rPr>
      </w:pPr>
      <w:r>
        <w:rPr>
          <w:rFonts w:ascii="Arial" w:hAnsi="Arial" w:cs="Arial"/>
          <w:b/>
          <w:sz w:val="24"/>
          <w:szCs w:val="24"/>
        </w:rPr>
        <w:t>Ref:</w:t>
      </w:r>
      <w:r w:rsidR="00041482">
        <w:rPr>
          <w:rFonts w:ascii="Arial" w:hAnsi="Arial" w:cs="Arial"/>
          <w:b/>
          <w:sz w:val="24"/>
          <w:szCs w:val="24"/>
        </w:rPr>
        <w:t xml:space="preserve"> Account 1588 Power</w:t>
      </w:r>
    </w:p>
    <w:p w:rsidR="00041482" w:rsidRPr="00041482" w:rsidRDefault="00041482" w:rsidP="00041482">
      <w:pPr>
        <w:rPr>
          <w:rFonts w:ascii="Arial" w:hAnsi="Arial" w:cs="Arial"/>
          <w:sz w:val="24"/>
          <w:szCs w:val="24"/>
        </w:rPr>
      </w:pPr>
      <w:proofErr w:type="gramStart"/>
      <w:r w:rsidRPr="00041482">
        <w:rPr>
          <w:rFonts w:ascii="Arial" w:hAnsi="Arial" w:cs="Arial"/>
          <w:sz w:val="24"/>
          <w:szCs w:val="24"/>
        </w:rPr>
        <w:t>With regards to</w:t>
      </w:r>
      <w:proofErr w:type="gramEnd"/>
      <w:r w:rsidRPr="00041482">
        <w:rPr>
          <w:rFonts w:ascii="Arial" w:hAnsi="Arial" w:cs="Arial"/>
          <w:sz w:val="24"/>
          <w:szCs w:val="24"/>
        </w:rPr>
        <w:t xml:space="preserve"> the Dec. 31 balance in Account 1588, all components that flow into Account 1588 (</w:t>
      </w:r>
      <w:proofErr w:type="spellStart"/>
      <w:r w:rsidRPr="00041482">
        <w:rPr>
          <w:rFonts w:ascii="Arial" w:hAnsi="Arial" w:cs="Arial"/>
          <w:sz w:val="24"/>
          <w:szCs w:val="24"/>
        </w:rPr>
        <w:t>i</w:t>
      </w:r>
      <w:proofErr w:type="spellEnd"/>
      <w:r w:rsidRPr="00041482">
        <w:rPr>
          <w:rFonts w:ascii="Arial" w:hAnsi="Arial" w:cs="Arial"/>
          <w:sz w:val="24"/>
          <w:szCs w:val="24"/>
        </w:rPr>
        <w:t xml:space="preserve"> to iv in table below) should be all based on actuals at year end. Please complete the following table to a) indicate whether the component is based on estimates or actuals at </w:t>
      </w:r>
      <w:proofErr w:type="gramStart"/>
      <w:r w:rsidRPr="00041482">
        <w:rPr>
          <w:rFonts w:ascii="Arial" w:hAnsi="Arial" w:cs="Arial"/>
          <w:sz w:val="24"/>
          <w:szCs w:val="24"/>
        </w:rPr>
        <w:t>year end</w:t>
      </w:r>
      <w:proofErr w:type="gramEnd"/>
      <w:r w:rsidRPr="00041482">
        <w:rPr>
          <w:rFonts w:ascii="Arial" w:hAnsi="Arial" w:cs="Arial"/>
          <w:sz w:val="24"/>
          <w:szCs w:val="24"/>
        </w:rPr>
        <w:t xml:space="preserve"> and b) quantify the adjustment pertaining to each component that is trued up from estimate to actual</w:t>
      </w:r>
      <w:r w:rsidR="00A0793E">
        <w:rPr>
          <w:rFonts w:ascii="Arial" w:hAnsi="Arial" w:cs="Arial"/>
          <w:sz w:val="24"/>
          <w:szCs w:val="24"/>
        </w:rPr>
        <w:t>.</w:t>
      </w:r>
    </w:p>
    <w:tbl>
      <w:tblPr>
        <w:tblStyle w:val="TableGrid"/>
        <w:tblW w:w="9605" w:type="dxa"/>
        <w:tblLook w:val="04A0" w:firstRow="1" w:lastRow="0" w:firstColumn="1" w:lastColumn="0" w:noHBand="0" w:noVBand="1"/>
      </w:tblPr>
      <w:tblGrid>
        <w:gridCol w:w="390"/>
        <w:gridCol w:w="1870"/>
        <w:gridCol w:w="1870"/>
        <w:gridCol w:w="3605"/>
        <w:gridCol w:w="1870"/>
      </w:tblGrid>
      <w:tr w:rsidR="00041482" w:rsidTr="00D87EB7">
        <w:tc>
          <w:tcPr>
            <w:tcW w:w="390"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b/>
                <w:sz w:val="20"/>
                <w:szCs w:val="20"/>
              </w:rPr>
            </w:pPr>
            <w:r w:rsidRPr="00FE126C">
              <w:rPr>
                <w:rFonts w:ascii="Arial" w:hAnsi="Arial" w:cs="Arial"/>
                <w:b/>
                <w:sz w:val="20"/>
                <w:szCs w:val="20"/>
              </w:rPr>
              <w:t>Component</w:t>
            </w:r>
          </w:p>
        </w:tc>
        <w:tc>
          <w:tcPr>
            <w:tcW w:w="1870" w:type="dxa"/>
          </w:tcPr>
          <w:p w:rsidR="00041482" w:rsidRPr="00FE126C" w:rsidRDefault="00041482" w:rsidP="00D87EB7">
            <w:pPr>
              <w:rPr>
                <w:rFonts w:ascii="Arial" w:hAnsi="Arial" w:cs="Arial"/>
                <w:b/>
                <w:sz w:val="20"/>
                <w:szCs w:val="20"/>
              </w:rPr>
            </w:pPr>
            <w:r w:rsidRPr="00FE126C">
              <w:rPr>
                <w:rFonts w:ascii="Arial" w:hAnsi="Arial" w:cs="Arial"/>
                <w:b/>
                <w:sz w:val="20"/>
                <w:szCs w:val="20"/>
              </w:rPr>
              <w:t>a) Estimate or Actual</w:t>
            </w:r>
          </w:p>
        </w:tc>
        <w:tc>
          <w:tcPr>
            <w:tcW w:w="3605" w:type="dxa"/>
          </w:tcPr>
          <w:p w:rsidR="00041482" w:rsidRPr="00FE126C" w:rsidRDefault="00041482" w:rsidP="00D87EB7">
            <w:pPr>
              <w:rPr>
                <w:rFonts w:ascii="Arial" w:hAnsi="Arial" w:cs="Arial"/>
                <w:b/>
                <w:sz w:val="20"/>
                <w:szCs w:val="20"/>
              </w:rPr>
            </w:pPr>
            <w:r w:rsidRPr="00FE126C">
              <w:rPr>
                <w:rFonts w:ascii="Arial" w:hAnsi="Arial" w:cs="Arial"/>
                <w:b/>
                <w:sz w:val="20"/>
                <w:szCs w:val="20"/>
              </w:rPr>
              <w:t>Notes/Comments</w:t>
            </w:r>
          </w:p>
        </w:tc>
        <w:tc>
          <w:tcPr>
            <w:tcW w:w="1870" w:type="dxa"/>
          </w:tcPr>
          <w:p w:rsidR="00041482" w:rsidRPr="00FE126C" w:rsidRDefault="00041482" w:rsidP="00D87EB7">
            <w:pPr>
              <w:rPr>
                <w:rFonts w:ascii="Arial" w:hAnsi="Arial" w:cs="Arial"/>
                <w:b/>
                <w:sz w:val="20"/>
                <w:szCs w:val="20"/>
              </w:rPr>
            </w:pPr>
            <w:r w:rsidRPr="00FE126C">
              <w:rPr>
                <w:rFonts w:ascii="Arial" w:hAnsi="Arial" w:cs="Arial"/>
                <w:b/>
                <w:sz w:val="20"/>
                <w:szCs w:val="20"/>
              </w:rPr>
              <w:t>b) Quantify True Up  Adjustment</w:t>
            </w:r>
          </w:p>
        </w:tc>
      </w:tr>
      <w:tr w:rsidR="00041482" w:rsidTr="00D87EB7">
        <w:tc>
          <w:tcPr>
            <w:tcW w:w="390" w:type="dxa"/>
          </w:tcPr>
          <w:p w:rsidR="00041482" w:rsidRPr="00FE126C" w:rsidRDefault="00041482" w:rsidP="00D87EB7">
            <w:pPr>
              <w:rPr>
                <w:rFonts w:ascii="Arial" w:hAnsi="Arial" w:cs="Arial"/>
                <w:sz w:val="20"/>
                <w:szCs w:val="20"/>
              </w:rPr>
            </w:pPr>
            <w:proofErr w:type="spellStart"/>
            <w:r w:rsidRPr="00FE126C">
              <w:rPr>
                <w:rFonts w:ascii="Arial" w:hAnsi="Arial" w:cs="Arial"/>
                <w:sz w:val="20"/>
                <w:szCs w:val="20"/>
              </w:rPr>
              <w:t>i</w:t>
            </w:r>
            <w:proofErr w:type="spellEnd"/>
          </w:p>
        </w:tc>
        <w:tc>
          <w:tcPr>
            <w:tcW w:w="1870" w:type="dxa"/>
          </w:tcPr>
          <w:p w:rsidR="00041482" w:rsidRPr="00FE126C" w:rsidRDefault="00041482" w:rsidP="00D87EB7">
            <w:pPr>
              <w:rPr>
                <w:rFonts w:ascii="Arial" w:hAnsi="Arial" w:cs="Arial"/>
                <w:sz w:val="20"/>
                <w:szCs w:val="20"/>
              </w:rPr>
            </w:pPr>
            <w:r w:rsidRPr="00FE126C">
              <w:rPr>
                <w:rFonts w:ascii="Arial" w:hAnsi="Arial" w:cs="Arial"/>
                <w:sz w:val="20"/>
                <w:szCs w:val="20"/>
              </w:rPr>
              <w:t>Revenues (i.e. is unbilled revenues trued up</w:t>
            </w:r>
            <w:r>
              <w:rPr>
                <w:rFonts w:ascii="Arial" w:hAnsi="Arial" w:cs="Arial"/>
                <w:sz w:val="20"/>
                <w:szCs w:val="20"/>
              </w:rPr>
              <w:t xml:space="preserve"> by year end</w:t>
            </w:r>
            <w:r w:rsidRPr="00FE126C">
              <w:rPr>
                <w:rFonts w:ascii="Arial" w:hAnsi="Arial" w:cs="Arial"/>
                <w:sz w:val="20"/>
                <w:szCs w:val="20"/>
              </w:rPr>
              <w:t xml:space="preserve">) </w:t>
            </w:r>
          </w:p>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r w:rsidR="00041482" w:rsidTr="00D87EB7">
        <w:tc>
          <w:tcPr>
            <w:tcW w:w="390" w:type="dxa"/>
          </w:tcPr>
          <w:p w:rsidR="00041482" w:rsidRPr="00FE126C" w:rsidRDefault="00EF3FB9" w:rsidP="00D87EB7">
            <w:pPr>
              <w:rPr>
                <w:rFonts w:ascii="Arial" w:hAnsi="Arial" w:cs="Arial"/>
                <w:sz w:val="20"/>
                <w:szCs w:val="20"/>
              </w:rPr>
            </w:pPr>
            <w:r>
              <w:rPr>
                <w:rFonts w:ascii="Arial" w:hAnsi="Arial" w:cs="Arial"/>
                <w:sz w:val="20"/>
                <w:szCs w:val="20"/>
              </w:rPr>
              <w:t>i</w:t>
            </w:r>
            <w:r w:rsidR="00041482">
              <w:rPr>
                <w:rFonts w:ascii="Arial" w:hAnsi="Arial" w:cs="Arial"/>
                <w:sz w:val="20"/>
                <w:szCs w:val="20"/>
              </w:rPr>
              <w:t>i</w:t>
            </w:r>
          </w:p>
        </w:tc>
        <w:tc>
          <w:tcPr>
            <w:tcW w:w="1870" w:type="dxa"/>
          </w:tcPr>
          <w:p w:rsidR="00041482" w:rsidRDefault="00041482" w:rsidP="00D87EB7">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tcPr>
          <w:p w:rsidR="00041482" w:rsidRPr="00FE126C" w:rsidRDefault="00041482" w:rsidP="00D87EB7">
            <w:pPr>
              <w:rPr>
                <w:rFonts w:ascii="Arial" w:hAnsi="Arial" w:cs="Arial"/>
                <w:sz w:val="20"/>
                <w:szCs w:val="20"/>
              </w:rPr>
            </w:pP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r w:rsidR="00041482" w:rsidTr="00D87EB7">
        <w:tc>
          <w:tcPr>
            <w:tcW w:w="390" w:type="dxa"/>
          </w:tcPr>
          <w:p w:rsidR="00041482" w:rsidRPr="00FE126C" w:rsidRDefault="00041482" w:rsidP="00D87EB7">
            <w:pPr>
              <w:rPr>
                <w:rFonts w:ascii="Arial" w:hAnsi="Arial" w:cs="Arial"/>
                <w:sz w:val="20"/>
                <w:szCs w:val="20"/>
              </w:rPr>
            </w:pPr>
            <w:r>
              <w:rPr>
                <w:rFonts w:ascii="Arial" w:hAnsi="Arial" w:cs="Arial"/>
                <w:sz w:val="20"/>
                <w:szCs w:val="20"/>
              </w:rPr>
              <w:t>iii</w:t>
            </w:r>
          </w:p>
        </w:tc>
        <w:tc>
          <w:tcPr>
            <w:tcW w:w="1870" w:type="dxa"/>
          </w:tcPr>
          <w:p w:rsidR="00041482" w:rsidRPr="00FE126C" w:rsidRDefault="00041482" w:rsidP="00D87EB7">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r w:rsidR="00041482" w:rsidTr="00D87EB7">
        <w:tc>
          <w:tcPr>
            <w:tcW w:w="390" w:type="dxa"/>
          </w:tcPr>
          <w:p w:rsidR="00041482" w:rsidRPr="00FE126C" w:rsidRDefault="00041482" w:rsidP="00D87EB7">
            <w:pPr>
              <w:rPr>
                <w:rFonts w:ascii="Arial" w:hAnsi="Arial" w:cs="Arial"/>
                <w:sz w:val="20"/>
                <w:szCs w:val="20"/>
              </w:rPr>
            </w:pPr>
            <w:r>
              <w:rPr>
                <w:rFonts w:ascii="Arial" w:hAnsi="Arial" w:cs="Arial"/>
                <w:sz w:val="20"/>
                <w:szCs w:val="20"/>
              </w:rPr>
              <w:t>iv</w:t>
            </w:r>
          </w:p>
        </w:tc>
        <w:tc>
          <w:tcPr>
            <w:tcW w:w="1870" w:type="dxa"/>
          </w:tcPr>
          <w:p w:rsidR="00041482" w:rsidRPr="00FE126C" w:rsidRDefault="00041482" w:rsidP="00D87EB7">
            <w:pPr>
              <w:rPr>
                <w:rFonts w:ascii="Arial" w:hAnsi="Arial" w:cs="Arial"/>
                <w:sz w:val="20"/>
                <w:szCs w:val="20"/>
              </w:rPr>
            </w:pPr>
            <w:r>
              <w:rPr>
                <w:rFonts w:ascii="Arial" w:hAnsi="Arial" w:cs="Arial"/>
                <w:sz w:val="20"/>
                <w:szCs w:val="20"/>
              </w:rPr>
              <w:t>Expenses - GA RPP: Charge Type 148</w:t>
            </w:r>
            <w:r w:rsidRPr="00FE126C">
              <w:rPr>
                <w:rFonts w:ascii="Arial" w:hAnsi="Arial" w:cs="Arial"/>
                <w:sz w:val="20"/>
                <w:szCs w:val="20"/>
              </w:rPr>
              <w:t xml:space="preserve"> with respect and RPP/non-RPP pro-ration percentages</w:t>
            </w:r>
          </w:p>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r w:rsidR="00041482" w:rsidTr="00D87EB7">
        <w:tc>
          <w:tcPr>
            <w:tcW w:w="390" w:type="dxa"/>
          </w:tcPr>
          <w:p w:rsidR="00041482" w:rsidRPr="00FE126C" w:rsidRDefault="00041482" w:rsidP="00D87EB7">
            <w:pPr>
              <w:rPr>
                <w:rFonts w:ascii="Arial" w:hAnsi="Arial" w:cs="Arial"/>
                <w:sz w:val="20"/>
                <w:szCs w:val="20"/>
              </w:rPr>
            </w:pPr>
            <w:r>
              <w:rPr>
                <w:rFonts w:ascii="Arial" w:hAnsi="Arial" w:cs="Arial"/>
                <w:sz w:val="20"/>
                <w:szCs w:val="20"/>
              </w:rPr>
              <w:t>v</w:t>
            </w:r>
          </w:p>
        </w:tc>
        <w:tc>
          <w:tcPr>
            <w:tcW w:w="1870" w:type="dxa"/>
          </w:tcPr>
          <w:p w:rsidR="00041482" w:rsidRPr="00FE126C" w:rsidRDefault="00041482" w:rsidP="00D87EB7">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c>
          <w:tcPr>
            <w:tcW w:w="3605" w:type="dxa"/>
          </w:tcPr>
          <w:p w:rsidR="00041482" w:rsidRPr="00FE126C" w:rsidRDefault="00041482" w:rsidP="00D87EB7">
            <w:pPr>
              <w:rPr>
                <w:rFonts w:ascii="Arial" w:hAnsi="Arial" w:cs="Arial"/>
                <w:sz w:val="20"/>
                <w:szCs w:val="20"/>
              </w:rPr>
            </w:pPr>
          </w:p>
        </w:tc>
        <w:tc>
          <w:tcPr>
            <w:tcW w:w="1870" w:type="dxa"/>
          </w:tcPr>
          <w:p w:rsidR="00041482" w:rsidRPr="00FE126C" w:rsidRDefault="00041482" w:rsidP="00D87EB7">
            <w:pPr>
              <w:rPr>
                <w:rFonts w:ascii="Arial" w:hAnsi="Arial" w:cs="Arial"/>
                <w:sz w:val="20"/>
                <w:szCs w:val="20"/>
              </w:rPr>
            </w:pPr>
          </w:p>
        </w:tc>
      </w:tr>
    </w:tbl>
    <w:p w:rsidR="00041482" w:rsidRDefault="00041482" w:rsidP="0001354E">
      <w:pPr>
        <w:rPr>
          <w:rFonts w:ascii="Arial" w:hAnsi="Arial" w:cs="Arial"/>
          <w:sz w:val="24"/>
          <w:szCs w:val="24"/>
        </w:rPr>
      </w:pPr>
    </w:p>
    <w:p w:rsidR="00347AE0" w:rsidRDefault="00347AE0" w:rsidP="00F27A5F">
      <w:pPr>
        <w:rPr>
          <w:rFonts w:ascii="Arial" w:hAnsi="Arial" w:cs="Arial"/>
          <w:b/>
          <w:sz w:val="24"/>
          <w:szCs w:val="24"/>
        </w:rPr>
      </w:pPr>
    </w:p>
    <w:p w:rsidR="0054418E" w:rsidRDefault="00513825" w:rsidP="00F27A5F">
      <w:pPr>
        <w:rPr>
          <w:rFonts w:ascii="Arial" w:hAnsi="Arial" w:cs="Arial"/>
          <w:b/>
          <w:sz w:val="24"/>
          <w:szCs w:val="24"/>
        </w:rPr>
      </w:pPr>
      <w:r>
        <w:rPr>
          <w:rFonts w:ascii="Arial" w:hAnsi="Arial" w:cs="Arial"/>
          <w:b/>
          <w:sz w:val="24"/>
          <w:szCs w:val="24"/>
        </w:rPr>
        <w:t>Question #3</w:t>
      </w:r>
    </w:p>
    <w:p w:rsidR="0054418E" w:rsidRDefault="00E93284" w:rsidP="00513825">
      <w:pPr>
        <w:rPr>
          <w:rFonts w:ascii="Arial" w:hAnsi="Arial" w:cs="Arial"/>
          <w:b/>
          <w:sz w:val="24"/>
          <w:szCs w:val="24"/>
        </w:rPr>
      </w:pPr>
      <w:r>
        <w:rPr>
          <w:rFonts w:ascii="Arial" w:hAnsi="Arial" w:cs="Arial"/>
          <w:b/>
          <w:sz w:val="24"/>
          <w:szCs w:val="24"/>
        </w:rPr>
        <w:t>Ref: IRM Model Tab 20 Bill Impacts</w:t>
      </w:r>
    </w:p>
    <w:p w:rsidR="00DF6932" w:rsidRDefault="00E93284" w:rsidP="00E93284">
      <w:pPr>
        <w:pStyle w:val="ListParagraph"/>
        <w:numPr>
          <w:ilvl w:val="0"/>
          <w:numId w:val="33"/>
        </w:numPr>
        <w:rPr>
          <w:rFonts w:ascii="Arial" w:hAnsi="Arial" w:cs="Arial"/>
          <w:sz w:val="24"/>
          <w:szCs w:val="24"/>
        </w:rPr>
      </w:pPr>
      <w:r>
        <w:rPr>
          <w:rFonts w:ascii="Arial" w:hAnsi="Arial" w:cs="Arial"/>
          <w:sz w:val="24"/>
          <w:szCs w:val="24"/>
        </w:rPr>
        <w:t xml:space="preserve">As noted in Tab 20 of the IRM model, bill impacts </w:t>
      </w:r>
      <w:proofErr w:type="gramStart"/>
      <w:r>
        <w:rPr>
          <w:rFonts w:ascii="Arial" w:hAnsi="Arial" w:cs="Arial"/>
          <w:sz w:val="24"/>
          <w:szCs w:val="24"/>
        </w:rPr>
        <w:t>are required to be provided</w:t>
      </w:r>
      <w:proofErr w:type="gramEnd"/>
      <w:r>
        <w:rPr>
          <w:rFonts w:ascii="Arial" w:hAnsi="Arial" w:cs="Arial"/>
          <w:sz w:val="24"/>
          <w:szCs w:val="24"/>
        </w:rPr>
        <w:t xml:space="preserve"> for general service customers consuming 2,000 kWh per month and having a monthly demand of less than 50 kW.</w:t>
      </w:r>
    </w:p>
    <w:p w:rsidR="00E93284" w:rsidRDefault="00E93284" w:rsidP="00546BA2">
      <w:pPr>
        <w:pStyle w:val="ListParagraph"/>
        <w:spacing w:before="240"/>
        <w:contextualSpacing w:val="0"/>
        <w:rPr>
          <w:rFonts w:ascii="Arial" w:hAnsi="Arial" w:cs="Arial"/>
          <w:sz w:val="24"/>
          <w:szCs w:val="24"/>
        </w:rPr>
      </w:pPr>
      <w:r>
        <w:rPr>
          <w:rFonts w:ascii="Arial" w:hAnsi="Arial" w:cs="Arial"/>
          <w:sz w:val="24"/>
          <w:szCs w:val="24"/>
        </w:rPr>
        <w:lastRenderedPageBreak/>
        <w:t>Please update Table 1 in Tab 20 to include the consumption level of 2,000 kWh for GS less than 50 kW rate class.</w:t>
      </w:r>
    </w:p>
    <w:p w:rsidR="00E93284" w:rsidRDefault="00E93284" w:rsidP="00E93284">
      <w:pPr>
        <w:pStyle w:val="ListParagraph"/>
        <w:numPr>
          <w:ilvl w:val="0"/>
          <w:numId w:val="33"/>
        </w:numPr>
        <w:rPr>
          <w:rFonts w:ascii="Arial" w:hAnsi="Arial" w:cs="Arial"/>
          <w:sz w:val="24"/>
          <w:szCs w:val="24"/>
        </w:rPr>
      </w:pPr>
      <w:r>
        <w:rPr>
          <w:rFonts w:ascii="Arial" w:hAnsi="Arial" w:cs="Arial"/>
          <w:sz w:val="24"/>
          <w:szCs w:val="24"/>
        </w:rPr>
        <w:t xml:space="preserve">According to Orangeville Hydro’s tariff of rates and charges, the volumetric rates and rate riders in the Sentinel Lighting class are all based on </w:t>
      </w:r>
      <w:proofErr w:type="spellStart"/>
      <w:r>
        <w:rPr>
          <w:rFonts w:ascii="Arial" w:hAnsi="Arial" w:cs="Arial"/>
          <w:sz w:val="24"/>
          <w:szCs w:val="24"/>
        </w:rPr>
        <w:t>kWs</w:t>
      </w:r>
      <w:proofErr w:type="spellEnd"/>
      <w:r>
        <w:rPr>
          <w:rFonts w:ascii="Arial" w:hAnsi="Arial" w:cs="Arial"/>
          <w:sz w:val="24"/>
          <w:szCs w:val="24"/>
        </w:rPr>
        <w:t xml:space="preserve"> (except for the GA rate rider). In </w:t>
      </w:r>
      <w:r w:rsidR="00546BA2">
        <w:rPr>
          <w:rFonts w:ascii="Arial" w:hAnsi="Arial" w:cs="Arial"/>
          <w:sz w:val="24"/>
          <w:szCs w:val="24"/>
        </w:rPr>
        <w:t xml:space="preserve">the bill impacts, the monthly demand kW value for a typical Sentinel Lighting connection </w:t>
      </w:r>
      <w:proofErr w:type="gramStart"/>
      <w:r w:rsidR="00546BA2">
        <w:rPr>
          <w:rFonts w:ascii="Arial" w:hAnsi="Arial" w:cs="Arial"/>
          <w:sz w:val="24"/>
          <w:szCs w:val="24"/>
        </w:rPr>
        <w:t>is needed</w:t>
      </w:r>
      <w:proofErr w:type="gramEnd"/>
      <w:r w:rsidR="00546BA2">
        <w:rPr>
          <w:rFonts w:ascii="Arial" w:hAnsi="Arial" w:cs="Arial"/>
          <w:sz w:val="24"/>
          <w:szCs w:val="24"/>
        </w:rPr>
        <w:t xml:space="preserve"> to complete the total bill calculations.</w:t>
      </w:r>
    </w:p>
    <w:p w:rsidR="00E93284" w:rsidRPr="00E93284" w:rsidRDefault="00E93284" w:rsidP="00E93284">
      <w:pPr>
        <w:pStyle w:val="ListParagraph"/>
        <w:rPr>
          <w:rFonts w:ascii="Arial" w:hAnsi="Arial" w:cs="Arial"/>
          <w:sz w:val="24"/>
          <w:szCs w:val="24"/>
        </w:rPr>
      </w:pPr>
      <w:r>
        <w:rPr>
          <w:rFonts w:ascii="Arial" w:hAnsi="Arial" w:cs="Arial"/>
          <w:sz w:val="24"/>
          <w:szCs w:val="24"/>
        </w:rPr>
        <w:t>Please update</w:t>
      </w:r>
      <w:r w:rsidR="00546BA2">
        <w:rPr>
          <w:rFonts w:ascii="Arial" w:hAnsi="Arial" w:cs="Arial"/>
          <w:sz w:val="24"/>
          <w:szCs w:val="24"/>
        </w:rPr>
        <w:t xml:space="preserve"> Table 1 in Tab 20 include a non-zero demand kW </w:t>
      </w:r>
      <w:r w:rsidR="00A0793E">
        <w:rPr>
          <w:rFonts w:ascii="Arial" w:hAnsi="Arial" w:cs="Arial"/>
          <w:sz w:val="24"/>
          <w:szCs w:val="24"/>
        </w:rPr>
        <w:t xml:space="preserve">value </w:t>
      </w:r>
      <w:r w:rsidR="00546BA2">
        <w:rPr>
          <w:rFonts w:ascii="Arial" w:hAnsi="Arial" w:cs="Arial"/>
          <w:sz w:val="24"/>
          <w:szCs w:val="24"/>
        </w:rPr>
        <w:t>for the Sentinel Lighting rate class.</w:t>
      </w:r>
    </w:p>
    <w:p w:rsidR="00C5100D" w:rsidRPr="00FD41FB" w:rsidRDefault="00C5100D" w:rsidP="00FD41FB">
      <w:pPr>
        <w:rPr>
          <w:rFonts w:ascii="Arial" w:hAnsi="Arial" w:cs="Arial"/>
          <w:sz w:val="24"/>
          <w:szCs w:val="24"/>
        </w:rPr>
      </w:pPr>
    </w:p>
    <w:p w:rsidR="00145A2B" w:rsidRDefault="00145A2B" w:rsidP="00145A2B">
      <w:pPr>
        <w:pStyle w:val="ListParagraph"/>
        <w:rPr>
          <w:rFonts w:ascii="Arial" w:hAnsi="Arial" w:cs="Arial"/>
          <w:sz w:val="24"/>
          <w:szCs w:val="24"/>
        </w:rPr>
      </w:pPr>
    </w:p>
    <w:p w:rsidR="003F7D01" w:rsidRDefault="003F7D01" w:rsidP="00D21A42">
      <w:pPr>
        <w:pStyle w:val="ListParagraph"/>
        <w:rPr>
          <w:rFonts w:ascii="Arial" w:hAnsi="Arial" w:cs="Arial"/>
          <w:sz w:val="24"/>
          <w:szCs w:val="24"/>
        </w:rPr>
      </w:pPr>
    </w:p>
    <w:p w:rsidR="00BC1A68" w:rsidRDefault="00BC1A68" w:rsidP="00D21A42">
      <w:pPr>
        <w:pStyle w:val="ListParagraph"/>
        <w:rPr>
          <w:rFonts w:ascii="Arial" w:hAnsi="Arial" w:cs="Arial"/>
          <w:sz w:val="24"/>
          <w:szCs w:val="24"/>
        </w:rPr>
      </w:pPr>
    </w:p>
    <w:p w:rsidR="00BC1A68" w:rsidRDefault="00BC1A68" w:rsidP="00D21A42">
      <w:pPr>
        <w:pStyle w:val="ListParagraph"/>
        <w:rPr>
          <w:rFonts w:ascii="Arial" w:hAnsi="Arial" w:cs="Arial"/>
          <w:sz w:val="24"/>
          <w:szCs w:val="24"/>
        </w:rPr>
      </w:pPr>
    </w:p>
    <w:p w:rsidR="00B076A5" w:rsidRDefault="00B076A5" w:rsidP="00B076A5">
      <w:pPr>
        <w:pStyle w:val="ListParagraph"/>
        <w:rPr>
          <w:rFonts w:ascii="Arial" w:hAnsi="Arial" w:cs="Arial"/>
          <w:b/>
          <w:sz w:val="24"/>
          <w:szCs w:val="24"/>
        </w:rPr>
      </w:pPr>
    </w:p>
    <w:p w:rsidR="003F7D01" w:rsidRDefault="003F7D01" w:rsidP="00B076A5">
      <w:pPr>
        <w:pStyle w:val="ListParagraph"/>
        <w:rPr>
          <w:rFonts w:ascii="Arial" w:hAnsi="Arial" w:cs="Arial"/>
          <w:b/>
          <w:sz w:val="24"/>
          <w:szCs w:val="24"/>
        </w:rPr>
      </w:pPr>
    </w:p>
    <w:p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EA0919">
      <w:headerReference w:type="default" r:id="rId8"/>
      <w:footerReference w:type="default" r:id="rId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418" w:rsidRDefault="00851418" w:rsidP="00851418">
      <w:pPr>
        <w:spacing w:after="0" w:line="240" w:lineRule="auto"/>
      </w:pPr>
      <w:r>
        <w:separator/>
      </w:r>
    </w:p>
  </w:endnote>
  <w:endnote w:type="continuationSeparator" w:id="0">
    <w:p w:rsidR="00851418" w:rsidRDefault="00851418"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603130"/>
      <w:docPartObj>
        <w:docPartGallery w:val="Page Numbers (Bottom of Page)"/>
        <w:docPartUnique/>
      </w:docPartObj>
    </w:sdtPr>
    <w:sdtEndPr>
      <w:rPr>
        <w:noProof/>
      </w:rPr>
    </w:sdtEndPr>
    <w:sdtContent>
      <w:p w:rsidR="0029152A" w:rsidRDefault="0029152A">
        <w:pPr>
          <w:pStyle w:val="Footer"/>
          <w:jc w:val="center"/>
        </w:pPr>
        <w:r>
          <w:fldChar w:fldCharType="begin"/>
        </w:r>
        <w:r>
          <w:instrText xml:space="preserve"> PAGE   \* MERGEFORMAT </w:instrText>
        </w:r>
        <w:r>
          <w:fldChar w:fldCharType="separate"/>
        </w:r>
        <w:r w:rsidR="00EF4142">
          <w:rPr>
            <w:noProof/>
          </w:rPr>
          <w:t>3</w:t>
        </w:r>
        <w:r>
          <w:rPr>
            <w:noProof/>
          </w:rPr>
          <w:fldChar w:fldCharType="end"/>
        </w:r>
      </w:p>
    </w:sdtContent>
  </w:sdt>
  <w:p w:rsidR="0029152A" w:rsidRDefault="00291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418" w:rsidRDefault="00851418" w:rsidP="00851418">
      <w:pPr>
        <w:spacing w:after="0" w:line="240" w:lineRule="auto"/>
      </w:pPr>
      <w:r>
        <w:separator/>
      </w:r>
    </w:p>
  </w:footnote>
  <w:footnote w:type="continuationSeparator" w:id="0">
    <w:p w:rsidR="00851418" w:rsidRDefault="00851418"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Default="00D5062F">
    <w:pPr>
      <w:pStyle w:val="Header"/>
    </w:pPr>
    <w:r>
      <w:ptab w:relativeTo="margin" w:alignment="center" w:leader="none"/>
    </w:r>
    <w:r>
      <w:ptab w:relativeTo="margin" w:alignment="right" w:leader="none"/>
    </w:r>
    <w:r w:rsidR="0029152A">
      <w:t>Orangeville Hydro Limited</w:t>
    </w:r>
  </w:p>
  <w:p w:rsidR="00E8235A" w:rsidRDefault="0029152A">
    <w:pPr>
      <w:pStyle w:val="Header"/>
    </w:pPr>
    <w:r>
      <w:tab/>
    </w:r>
    <w:r>
      <w:tab/>
      <w:t>EB-2017-0068</w:t>
    </w:r>
  </w:p>
  <w:p w:rsidR="00D5062F" w:rsidRDefault="0029152A" w:rsidP="0029152A">
    <w:pPr>
      <w:pStyle w:val="Header"/>
    </w:pPr>
    <w:r>
      <w:tab/>
    </w:r>
    <w:r w:rsidR="00D5062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15:restartNumberingAfterBreak="0">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9"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0" w15:restartNumberingAfterBreak="0">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15:restartNumberingAfterBreak="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5"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325DA4"/>
    <w:multiLevelType w:val="hybridMultilevel"/>
    <w:tmpl w:val="8A8C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61D78A4"/>
    <w:multiLevelType w:val="hybridMultilevel"/>
    <w:tmpl w:val="437C6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9"/>
  </w:num>
  <w:num w:numId="2">
    <w:abstractNumId w:val="8"/>
  </w:num>
  <w:num w:numId="3">
    <w:abstractNumId w:val="12"/>
  </w:num>
  <w:num w:numId="4">
    <w:abstractNumId w:val="10"/>
  </w:num>
  <w:num w:numId="5">
    <w:abstractNumId w:val="11"/>
  </w:num>
  <w:num w:numId="6">
    <w:abstractNumId w:val="16"/>
  </w:num>
  <w:num w:numId="7">
    <w:abstractNumId w:val="22"/>
  </w:num>
  <w:num w:numId="8">
    <w:abstractNumId w:val="25"/>
  </w:num>
  <w:num w:numId="9">
    <w:abstractNumId w:val="4"/>
  </w:num>
  <w:num w:numId="10">
    <w:abstractNumId w:val="0"/>
  </w:num>
  <w:num w:numId="11">
    <w:abstractNumId w:val="19"/>
  </w:num>
  <w:num w:numId="12">
    <w:abstractNumId w:val="13"/>
  </w:num>
  <w:num w:numId="13">
    <w:abstractNumId w:val="27"/>
  </w:num>
  <w:num w:numId="14">
    <w:abstractNumId w:val="5"/>
  </w:num>
  <w:num w:numId="15">
    <w:abstractNumId w:val="23"/>
  </w:num>
  <w:num w:numId="16">
    <w:abstractNumId w:val="1"/>
  </w:num>
  <w:num w:numId="17">
    <w:abstractNumId w:val="15"/>
  </w:num>
  <w:num w:numId="18">
    <w:abstractNumId w:val="2"/>
  </w:num>
  <w:num w:numId="19">
    <w:abstractNumId w:val="18"/>
  </w:num>
  <w:num w:numId="20">
    <w:abstractNumId w:val="24"/>
  </w:num>
  <w:num w:numId="21">
    <w:abstractNumId w:val="9"/>
  </w:num>
  <w:num w:numId="22">
    <w:abstractNumId w:val="3"/>
  </w:num>
  <w:num w:numId="23">
    <w:abstractNumId w:val="2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6"/>
  </w:num>
  <w:num w:numId="27">
    <w:abstractNumId w:val="21"/>
  </w:num>
  <w:num w:numId="28">
    <w:abstractNumId w:val="31"/>
  </w:num>
  <w:num w:numId="29">
    <w:abstractNumId w:val="7"/>
  </w:num>
  <w:num w:numId="30">
    <w:abstractNumId w:val="17"/>
  </w:num>
  <w:num w:numId="31">
    <w:abstractNumId w:val="20"/>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1354E"/>
    <w:rsid w:val="00041482"/>
    <w:rsid w:val="000414BC"/>
    <w:rsid w:val="00041BBD"/>
    <w:rsid w:val="000843ED"/>
    <w:rsid w:val="000A0898"/>
    <w:rsid w:val="000C035C"/>
    <w:rsid w:val="000D2EAF"/>
    <w:rsid w:val="000E1373"/>
    <w:rsid w:val="000E4C7B"/>
    <w:rsid w:val="00112D88"/>
    <w:rsid w:val="00145A2B"/>
    <w:rsid w:val="00146770"/>
    <w:rsid w:val="00150BE5"/>
    <w:rsid w:val="00153A81"/>
    <w:rsid w:val="001563E4"/>
    <w:rsid w:val="0016286E"/>
    <w:rsid w:val="00163BCB"/>
    <w:rsid w:val="00171C5D"/>
    <w:rsid w:val="001A7E57"/>
    <w:rsid w:val="001B1072"/>
    <w:rsid w:val="001B2AD3"/>
    <w:rsid w:val="001C7CA4"/>
    <w:rsid w:val="001D7086"/>
    <w:rsid w:val="001E069B"/>
    <w:rsid w:val="001E179B"/>
    <w:rsid w:val="001E7B41"/>
    <w:rsid w:val="00204A40"/>
    <w:rsid w:val="0023076C"/>
    <w:rsid w:val="002363C3"/>
    <w:rsid w:val="0029152A"/>
    <w:rsid w:val="00293086"/>
    <w:rsid w:val="002A72E9"/>
    <w:rsid w:val="002B0F06"/>
    <w:rsid w:val="002B7C64"/>
    <w:rsid w:val="002D2F55"/>
    <w:rsid w:val="00303671"/>
    <w:rsid w:val="00304228"/>
    <w:rsid w:val="00323BCB"/>
    <w:rsid w:val="0032442F"/>
    <w:rsid w:val="00347AE0"/>
    <w:rsid w:val="0035397C"/>
    <w:rsid w:val="00354A5F"/>
    <w:rsid w:val="00370D5B"/>
    <w:rsid w:val="0037285F"/>
    <w:rsid w:val="003856F8"/>
    <w:rsid w:val="00394351"/>
    <w:rsid w:val="0039687D"/>
    <w:rsid w:val="003A7960"/>
    <w:rsid w:val="003B43E7"/>
    <w:rsid w:val="003E076C"/>
    <w:rsid w:val="003E7D1C"/>
    <w:rsid w:val="003F7D01"/>
    <w:rsid w:val="00412DC6"/>
    <w:rsid w:val="00464D00"/>
    <w:rsid w:val="00471B90"/>
    <w:rsid w:val="0047404F"/>
    <w:rsid w:val="004A5F89"/>
    <w:rsid w:val="004C1F32"/>
    <w:rsid w:val="004D46E0"/>
    <w:rsid w:val="00511282"/>
    <w:rsid w:val="005117CF"/>
    <w:rsid w:val="00513825"/>
    <w:rsid w:val="005216D6"/>
    <w:rsid w:val="0054418E"/>
    <w:rsid w:val="00546BA2"/>
    <w:rsid w:val="00553935"/>
    <w:rsid w:val="00585122"/>
    <w:rsid w:val="005B0481"/>
    <w:rsid w:val="005B1BA0"/>
    <w:rsid w:val="005B4C39"/>
    <w:rsid w:val="005C5C6B"/>
    <w:rsid w:val="00601C3B"/>
    <w:rsid w:val="006027D1"/>
    <w:rsid w:val="0060662D"/>
    <w:rsid w:val="006125B7"/>
    <w:rsid w:val="00634992"/>
    <w:rsid w:val="006546FF"/>
    <w:rsid w:val="006561C4"/>
    <w:rsid w:val="006604B5"/>
    <w:rsid w:val="0069057C"/>
    <w:rsid w:val="00691C29"/>
    <w:rsid w:val="00692FC5"/>
    <w:rsid w:val="006A6B6B"/>
    <w:rsid w:val="006B6E93"/>
    <w:rsid w:val="006D17C1"/>
    <w:rsid w:val="006F5818"/>
    <w:rsid w:val="00746080"/>
    <w:rsid w:val="00776FED"/>
    <w:rsid w:val="00806D93"/>
    <w:rsid w:val="008122B1"/>
    <w:rsid w:val="008147CB"/>
    <w:rsid w:val="00832A00"/>
    <w:rsid w:val="00834E7C"/>
    <w:rsid w:val="00850053"/>
    <w:rsid w:val="00851418"/>
    <w:rsid w:val="008539D9"/>
    <w:rsid w:val="0087639C"/>
    <w:rsid w:val="008A5D3A"/>
    <w:rsid w:val="008C74E3"/>
    <w:rsid w:val="008F688C"/>
    <w:rsid w:val="008F73E8"/>
    <w:rsid w:val="00937121"/>
    <w:rsid w:val="009545D3"/>
    <w:rsid w:val="009643D1"/>
    <w:rsid w:val="00983A06"/>
    <w:rsid w:val="009A4440"/>
    <w:rsid w:val="009D5143"/>
    <w:rsid w:val="00A0793E"/>
    <w:rsid w:val="00A102CC"/>
    <w:rsid w:val="00A56508"/>
    <w:rsid w:val="00A704BA"/>
    <w:rsid w:val="00A72296"/>
    <w:rsid w:val="00AA06D9"/>
    <w:rsid w:val="00AF288A"/>
    <w:rsid w:val="00B076A5"/>
    <w:rsid w:val="00B20109"/>
    <w:rsid w:val="00B247C1"/>
    <w:rsid w:val="00B25576"/>
    <w:rsid w:val="00B314F3"/>
    <w:rsid w:val="00B76EA7"/>
    <w:rsid w:val="00BC07A7"/>
    <w:rsid w:val="00BC1A68"/>
    <w:rsid w:val="00BD4512"/>
    <w:rsid w:val="00BE1A92"/>
    <w:rsid w:val="00C23F96"/>
    <w:rsid w:val="00C5100D"/>
    <w:rsid w:val="00C63C8D"/>
    <w:rsid w:val="00C818E2"/>
    <w:rsid w:val="00C911F9"/>
    <w:rsid w:val="00C926DF"/>
    <w:rsid w:val="00CA0B82"/>
    <w:rsid w:val="00CB168B"/>
    <w:rsid w:val="00CC447E"/>
    <w:rsid w:val="00CC6D11"/>
    <w:rsid w:val="00CE062C"/>
    <w:rsid w:val="00CF0F7C"/>
    <w:rsid w:val="00D02D7F"/>
    <w:rsid w:val="00D0773D"/>
    <w:rsid w:val="00D21A42"/>
    <w:rsid w:val="00D36BBE"/>
    <w:rsid w:val="00D5062F"/>
    <w:rsid w:val="00D55F43"/>
    <w:rsid w:val="00D56A27"/>
    <w:rsid w:val="00D621FC"/>
    <w:rsid w:val="00D91B73"/>
    <w:rsid w:val="00D958A6"/>
    <w:rsid w:val="00D95CAA"/>
    <w:rsid w:val="00D95F3E"/>
    <w:rsid w:val="00D974D5"/>
    <w:rsid w:val="00D975C5"/>
    <w:rsid w:val="00DA09D0"/>
    <w:rsid w:val="00DA14AA"/>
    <w:rsid w:val="00DA2484"/>
    <w:rsid w:val="00DC3F8F"/>
    <w:rsid w:val="00DD09DC"/>
    <w:rsid w:val="00DD749A"/>
    <w:rsid w:val="00DF6932"/>
    <w:rsid w:val="00E12988"/>
    <w:rsid w:val="00E23ECF"/>
    <w:rsid w:val="00E261A1"/>
    <w:rsid w:val="00E2683A"/>
    <w:rsid w:val="00E3191C"/>
    <w:rsid w:val="00E336E4"/>
    <w:rsid w:val="00E45775"/>
    <w:rsid w:val="00E63408"/>
    <w:rsid w:val="00E6651E"/>
    <w:rsid w:val="00E70B6A"/>
    <w:rsid w:val="00E7523D"/>
    <w:rsid w:val="00E8235A"/>
    <w:rsid w:val="00E93284"/>
    <w:rsid w:val="00E9387D"/>
    <w:rsid w:val="00EA0919"/>
    <w:rsid w:val="00EB4E97"/>
    <w:rsid w:val="00EB68C4"/>
    <w:rsid w:val="00EC0C97"/>
    <w:rsid w:val="00EC26AE"/>
    <w:rsid w:val="00EE2A00"/>
    <w:rsid w:val="00EE450C"/>
    <w:rsid w:val="00EF3FB9"/>
    <w:rsid w:val="00EF4142"/>
    <w:rsid w:val="00F213C1"/>
    <w:rsid w:val="00F27A5F"/>
    <w:rsid w:val="00F4375E"/>
    <w:rsid w:val="00F452D5"/>
    <w:rsid w:val="00F72F89"/>
    <w:rsid w:val="00F9113C"/>
    <w:rsid w:val="00F92F12"/>
    <w:rsid w:val="00FA36C2"/>
    <w:rsid w:val="00FB3A11"/>
    <w:rsid w:val="00FD41FB"/>
    <w:rsid w:val="00FD5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D2AF9BC"/>
  <w15:docId w15:val="{2691A382-966B-44D7-BBE6-F6A149B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0E5F-BA00-41FC-8CA4-C47C53D9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Katherine Wang</cp:lastModifiedBy>
  <cp:revision>7</cp:revision>
  <cp:lastPrinted>2016-10-21T17:54:00Z</cp:lastPrinted>
  <dcterms:created xsi:type="dcterms:W3CDTF">2017-12-28T14:27:00Z</dcterms:created>
  <dcterms:modified xsi:type="dcterms:W3CDTF">2018-01-10T16:06:00Z</dcterms:modified>
</cp:coreProperties>
</file>